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C15" w:rsidRPr="00D30C15" w:rsidRDefault="00D30C15" w:rsidP="00D30C15">
      <w:pPr>
        <w:spacing w:after="0" w:line="240" w:lineRule="auto"/>
        <w:rPr>
          <w:rFonts w:ascii="Times New Roman" w:eastAsia="Times New Roman" w:hAnsi="Times New Roman" w:cs="Times New Roman"/>
          <w:sz w:val="24"/>
          <w:szCs w:val="24"/>
        </w:rPr>
      </w:pPr>
      <w:r w:rsidRPr="00D30C15">
        <w:rPr>
          <w:rFonts w:ascii="Times New Roman" w:eastAsia="Times New Roman" w:hAnsi="Times New Roman" w:cs="Times New Roman"/>
          <w:color w:val="000000"/>
          <w:sz w:val="27"/>
          <w:szCs w:val="27"/>
        </w:rPr>
        <w:t xml:space="preserve">Pubblicato </w:t>
      </w:r>
      <w:proofErr w:type="gramStart"/>
      <w:r w:rsidRPr="00D30C15">
        <w:rPr>
          <w:rFonts w:ascii="Times New Roman" w:eastAsia="Times New Roman" w:hAnsi="Times New Roman" w:cs="Times New Roman"/>
          <w:color w:val="000000"/>
          <w:sz w:val="27"/>
          <w:szCs w:val="27"/>
        </w:rPr>
        <w:t>il</w:t>
      </w:r>
      <w:proofErr w:type="gramEnd"/>
      <w:r w:rsidRPr="00D30C15">
        <w:rPr>
          <w:rFonts w:ascii="Times New Roman" w:eastAsia="Times New Roman" w:hAnsi="Times New Roman" w:cs="Times New Roman"/>
          <w:color w:val="000000"/>
          <w:sz w:val="27"/>
          <w:szCs w:val="27"/>
        </w:rPr>
        <w:t xml:space="preserve"> 25/06/2026</w:t>
      </w:r>
    </w:p>
    <w:p w:rsidR="00D30C15" w:rsidRPr="00D30C15" w:rsidRDefault="00D30C15" w:rsidP="00D30C15">
      <w:pPr>
        <w:spacing w:before="100" w:beforeAutospacing="1" w:after="100" w:afterAutospacing="1" w:line="0" w:lineRule="atLeast"/>
        <w:jc w:val="right"/>
        <w:rPr>
          <w:rFonts w:ascii="Times Nordic" w:eastAsia="Times New Roman" w:hAnsi="Times Nordic" w:cs="Times New Roman"/>
          <w:b/>
          <w:bCs/>
          <w:color w:val="000000"/>
        </w:rPr>
      </w:pPr>
      <w:proofErr w:type="gramStart"/>
      <w:r w:rsidRPr="00D30C15">
        <w:rPr>
          <w:rFonts w:ascii="Times Nordic" w:eastAsia="Times New Roman" w:hAnsi="Times Nordic" w:cs="Times New Roman"/>
          <w:b/>
          <w:bCs/>
          <w:color w:val="000000"/>
        </w:rPr>
        <w:t>N. 05085/2026REG.PROV.COLL.</w:t>
      </w:r>
      <w:proofErr w:type="gramEnd"/>
    </w:p>
    <w:p w:rsidR="00D30C15" w:rsidRPr="00D30C15" w:rsidRDefault="00D30C15" w:rsidP="00D30C15">
      <w:pPr>
        <w:spacing w:before="100" w:beforeAutospacing="1" w:after="100" w:afterAutospacing="1" w:line="0" w:lineRule="atLeast"/>
        <w:jc w:val="right"/>
        <w:rPr>
          <w:rFonts w:ascii="Times Nordic" w:eastAsia="Times New Roman" w:hAnsi="Times Nordic" w:cs="Times New Roman"/>
          <w:b/>
          <w:bCs/>
          <w:color w:val="000000"/>
        </w:rPr>
      </w:pPr>
      <w:r w:rsidRPr="00D30C15">
        <w:rPr>
          <w:rFonts w:ascii="Times Nordic" w:eastAsia="Times New Roman" w:hAnsi="Times Nordic" w:cs="Times New Roman"/>
          <w:b/>
          <w:bCs/>
          <w:color w:val="000000"/>
        </w:rPr>
        <w:t>N. 07495/2025 REG.RIC.</w:t>
      </w:r>
    </w:p>
    <w:p w:rsidR="00D30C15" w:rsidRPr="00D30C15" w:rsidRDefault="00D30C15" w:rsidP="00D30C15">
      <w:pPr>
        <w:spacing w:before="100" w:beforeAutospacing="1" w:after="100" w:afterAutospacing="1" w:line="240" w:lineRule="auto"/>
        <w:jc w:val="center"/>
        <w:rPr>
          <w:rFonts w:ascii="Garamond" w:eastAsia="Times New Roman" w:hAnsi="Garamond" w:cs="Times New Roman"/>
          <w:b/>
          <w:bCs/>
          <w:color w:val="000000"/>
          <w:spacing w:val="150"/>
          <w:sz w:val="27"/>
          <w:szCs w:val="27"/>
        </w:rPr>
      </w:pPr>
      <w:r>
        <w:rPr>
          <w:rFonts w:ascii="Garamond" w:eastAsia="Times New Roman" w:hAnsi="Garamond" w:cs="Times New Roman"/>
          <w:b/>
          <w:bCs/>
          <w:noProof/>
          <w:color w:val="000000"/>
          <w:spacing w:val="150"/>
          <w:sz w:val="27"/>
          <w:szCs w:val="27"/>
        </w:rPr>
        <w:drawing>
          <wp:inline distT="0" distB="0" distL="0" distR="0">
            <wp:extent cx="723900" cy="828675"/>
            <wp:effectExtent l="19050" t="0" r="0" b="0"/>
            <wp:docPr id="1" name="Picture 1" descr="https://mdp.giustizia-amministrativa.it/visualizza/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dp.giustizia-amministrativa.it/visualizza/stemma.jpg"/>
                    <pic:cNvPicPr>
                      <a:picLocks noChangeAspect="1" noChangeArrowheads="1"/>
                    </pic:cNvPicPr>
                  </pic:nvPicPr>
                  <pic:blipFill>
                    <a:blip r:embed="rId4" cstate="print"/>
                    <a:srcRect/>
                    <a:stretch>
                      <a:fillRect/>
                    </a:stretch>
                  </pic:blipFill>
                  <pic:spPr bwMode="auto">
                    <a:xfrm>
                      <a:off x="0" y="0"/>
                      <a:ext cx="723900" cy="828675"/>
                    </a:xfrm>
                    <a:prstGeom prst="rect">
                      <a:avLst/>
                    </a:prstGeom>
                    <a:noFill/>
                    <a:ln w="9525">
                      <a:noFill/>
                      <a:miter lim="800000"/>
                      <a:headEnd/>
                      <a:tailEnd/>
                    </a:ln>
                  </pic:spPr>
                </pic:pic>
              </a:graphicData>
            </a:graphic>
          </wp:inline>
        </w:drawing>
      </w:r>
    </w:p>
    <w:p w:rsidR="00D30C15" w:rsidRPr="00D30C15" w:rsidRDefault="00D30C15" w:rsidP="00D30C15">
      <w:pPr>
        <w:spacing w:before="100" w:beforeAutospacing="1" w:after="100" w:afterAutospacing="1" w:line="240" w:lineRule="auto"/>
        <w:jc w:val="center"/>
        <w:rPr>
          <w:rFonts w:ascii="Garamond" w:eastAsia="Times New Roman" w:hAnsi="Garamond" w:cs="Times New Roman"/>
          <w:b/>
          <w:bCs/>
          <w:color w:val="000000"/>
          <w:spacing w:val="150"/>
          <w:sz w:val="27"/>
          <w:szCs w:val="27"/>
        </w:rPr>
      </w:pPr>
      <w:r w:rsidRPr="00D30C15">
        <w:rPr>
          <w:rFonts w:ascii="Garamond" w:eastAsia="Times New Roman" w:hAnsi="Garamond" w:cs="Times New Roman"/>
          <w:b/>
          <w:bCs/>
          <w:color w:val="000000"/>
          <w:spacing w:val="150"/>
          <w:sz w:val="27"/>
          <w:szCs w:val="27"/>
        </w:rPr>
        <w:t>REPUBBLICA ITALIANA</w:t>
      </w:r>
    </w:p>
    <w:p w:rsidR="00D30C15" w:rsidRPr="00D30C15" w:rsidRDefault="00D30C15" w:rsidP="00D30C15">
      <w:pPr>
        <w:spacing w:before="100" w:beforeAutospacing="1" w:after="100" w:afterAutospacing="1" w:line="240" w:lineRule="auto"/>
        <w:jc w:val="center"/>
        <w:rPr>
          <w:rFonts w:ascii="Garamond" w:eastAsia="Times New Roman" w:hAnsi="Garamond" w:cs="Times New Roman"/>
          <w:b/>
          <w:bCs/>
          <w:color w:val="000000"/>
        </w:rPr>
      </w:pPr>
      <w:r w:rsidRPr="00D30C15">
        <w:rPr>
          <w:rFonts w:ascii="Garamond" w:eastAsia="Times New Roman" w:hAnsi="Garamond" w:cs="Times New Roman"/>
          <w:b/>
          <w:bCs/>
          <w:color w:val="000000"/>
        </w:rPr>
        <w:t>IN NOME DEL POPOLO ITALIANO</w:t>
      </w:r>
    </w:p>
    <w:p w:rsidR="00D30C15" w:rsidRPr="00D30C15" w:rsidRDefault="00D30C15" w:rsidP="00D30C15">
      <w:pPr>
        <w:spacing w:before="100" w:beforeAutospacing="1" w:after="100" w:afterAutospacing="1" w:line="240" w:lineRule="auto"/>
        <w:jc w:val="center"/>
        <w:rPr>
          <w:rFonts w:ascii="Garamond" w:eastAsia="Times New Roman" w:hAnsi="Garamond" w:cs="Times New Roman"/>
          <w:b/>
          <w:bCs/>
          <w:color w:val="000000"/>
          <w:sz w:val="26"/>
          <w:szCs w:val="26"/>
        </w:rPr>
      </w:pPr>
      <w:r w:rsidRPr="00D30C15">
        <w:rPr>
          <w:rFonts w:ascii="Garamond" w:eastAsia="Times New Roman" w:hAnsi="Garamond" w:cs="Times New Roman"/>
          <w:b/>
          <w:bCs/>
          <w:color w:val="000000"/>
          <w:sz w:val="26"/>
          <w:szCs w:val="26"/>
        </w:rPr>
        <w:t>Il Consiglio di Stato</w:t>
      </w:r>
    </w:p>
    <w:p w:rsidR="00D30C15" w:rsidRPr="00D30C15" w:rsidRDefault="00D30C15" w:rsidP="00D30C15">
      <w:pPr>
        <w:spacing w:before="100" w:beforeAutospacing="1" w:after="100" w:afterAutospacing="1" w:line="240" w:lineRule="auto"/>
        <w:jc w:val="center"/>
        <w:rPr>
          <w:rFonts w:ascii="Garamond" w:eastAsia="Times New Roman" w:hAnsi="Garamond" w:cs="Times New Roman"/>
          <w:b/>
          <w:bCs/>
          <w:color w:val="000000"/>
          <w:sz w:val="26"/>
          <w:szCs w:val="26"/>
        </w:rPr>
      </w:pPr>
      <w:proofErr w:type="gramStart"/>
      <w:r w:rsidRPr="00D30C15">
        <w:rPr>
          <w:rFonts w:ascii="Garamond" w:eastAsia="Times New Roman" w:hAnsi="Garamond" w:cs="Times New Roman"/>
          <w:b/>
          <w:bCs/>
          <w:color w:val="000000"/>
          <w:sz w:val="26"/>
          <w:szCs w:val="26"/>
        </w:rPr>
        <w:t>in</w:t>
      </w:r>
      <w:proofErr w:type="gramEnd"/>
      <w:r w:rsidRPr="00D30C15">
        <w:rPr>
          <w:rFonts w:ascii="Garamond" w:eastAsia="Times New Roman" w:hAnsi="Garamond" w:cs="Times New Roman"/>
          <w:b/>
          <w:bCs/>
          <w:color w:val="000000"/>
          <w:sz w:val="26"/>
          <w:szCs w:val="26"/>
        </w:rPr>
        <w:t xml:space="preserve"> sede giurisdizionale (Sezione Seconda)</w:t>
      </w:r>
    </w:p>
    <w:p w:rsidR="00D30C15" w:rsidRPr="00D30C15" w:rsidRDefault="00D30C15" w:rsidP="00D30C15">
      <w:pPr>
        <w:spacing w:after="0" w:line="520" w:lineRule="atLeast"/>
        <w:ind w:firstLine="567"/>
        <w:rPr>
          <w:rFonts w:ascii="Garamond" w:eastAsia="Times New Roman" w:hAnsi="Garamond" w:cs="Times New Roman"/>
          <w:color w:val="000000"/>
          <w:sz w:val="30"/>
          <w:szCs w:val="30"/>
        </w:rPr>
      </w:pPr>
      <w:proofErr w:type="gramStart"/>
      <w:r w:rsidRPr="00D30C15">
        <w:rPr>
          <w:rFonts w:ascii="Garamond" w:eastAsia="Times New Roman" w:hAnsi="Garamond" w:cs="Times New Roman"/>
          <w:color w:val="000000"/>
          <w:sz w:val="30"/>
          <w:szCs w:val="30"/>
        </w:rPr>
        <w:t>ha</w:t>
      </w:r>
      <w:proofErr w:type="gramEnd"/>
      <w:r w:rsidRPr="00D30C15">
        <w:rPr>
          <w:rFonts w:ascii="Garamond" w:eastAsia="Times New Roman" w:hAnsi="Garamond" w:cs="Times New Roman"/>
          <w:color w:val="000000"/>
          <w:sz w:val="30"/>
          <w:szCs w:val="30"/>
        </w:rPr>
        <w:t xml:space="preserve"> pronunciato la presente</w:t>
      </w:r>
    </w:p>
    <w:p w:rsidR="00D30C15" w:rsidRPr="00D30C15" w:rsidRDefault="00D30C15" w:rsidP="00D30C15">
      <w:pPr>
        <w:spacing w:before="100" w:beforeAutospacing="1" w:after="100" w:afterAutospacing="1" w:line="240" w:lineRule="auto"/>
        <w:jc w:val="center"/>
        <w:rPr>
          <w:rFonts w:ascii="Garamond" w:eastAsia="Times New Roman" w:hAnsi="Garamond" w:cs="Times New Roman"/>
          <w:b/>
          <w:bCs/>
          <w:color w:val="000000"/>
          <w:sz w:val="26"/>
          <w:szCs w:val="26"/>
        </w:rPr>
      </w:pPr>
      <w:r w:rsidRPr="00D30C15">
        <w:rPr>
          <w:rFonts w:ascii="Garamond" w:eastAsia="Times New Roman" w:hAnsi="Garamond" w:cs="Times New Roman"/>
          <w:b/>
          <w:bCs/>
          <w:color w:val="000000"/>
          <w:sz w:val="26"/>
          <w:szCs w:val="26"/>
        </w:rPr>
        <w:t>SENTENZA</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sul ricorso numero di registro generale 7495 del 2025, proposto da Gestore dei Servizi Energetici Gse s.p.a., in persona del legale rappresentante </w:t>
      </w:r>
      <w:r w:rsidRPr="00D30C15">
        <w:rPr>
          <w:rFonts w:ascii="Garamond" w:eastAsia="Times New Roman" w:hAnsi="Garamond" w:cs="Times New Roman"/>
          <w:i/>
          <w:iCs/>
          <w:color w:val="000000"/>
          <w:sz w:val="30"/>
          <w:szCs w:val="30"/>
        </w:rPr>
        <w:t>pro tempore</w:t>
      </w:r>
      <w:r w:rsidRPr="00D30C15">
        <w:rPr>
          <w:rFonts w:ascii="Garamond" w:eastAsia="Times New Roman" w:hAnsi="Garamond" w:cs="Times New Roman"/>
          <w:color w:val="000000"/>
          <w:sz w:val="30"/>
          <w:szCs w:val="30"/>
        </w:rPr>
        <w:t>, rappresentato e difeso dagli avvocati Francesco Di Ciommo e Antonio Pugliese, con domicilio digitale come da PEC Registri Giustizia e domicilio eletto presso lo studio Francesco Di Ciommo in Roma, via Tacito 41;</w:t>
      </w:r>
    </w:p>
    <w:p w:rsidR="00D30C15" w:rsidRPr="00D30C15" w:rsidRDefault="00D30C15" w:rsidP="00D30C15">
      <w:pPr>
        <w:spacing w:after="0" w:line="520" w:lineRule="atLeast"/>
        <w:jc w:val="center"/>
        <w:rPr>
          <w:rFonts w:ascii="Garamond" w:eastAsia="Times New Roman" w:hAnsi="Garamond" w:cs="Times New Roman"/>
          <w:b/>
          <w:bCs/>
          <w:i/>
          <w:iCs/>
          <w:color w:val="000000"/>
          <w:sz w:val="30"/>
          <w:szCs w:val="30"/>
        </w:rPr>
      </w:pPr>
      <w:proofErr w:type="gramStart"/>
      <w:r w:rsidRPr="00D30C15">
        <w:rPr>
          <w:rFonts w:ascii="Garamond" w:eastAsia="Times New Roman" w:hAnsi="Garamond" w:cs="Times New Roman"/>
          <w:b/>
          <w:bCs/>
          <w:i/>
          <w:iCs/>
          <w:color w:val="000000"/>
          <w:sz w:val="30"/>
          <w:szCs w:val="30"/>
        </w:rPr>
        <w:t>contro</w:t>
      </w:r>
      <w:proofErr w:type="gramEnd"/>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Altomonte Fv s.r.l., in persona del legale rappresentante </w:t>
      </w:r>
      <w:r w:rsidRPr="00D30C15">
        <w:rPr>
          <w:rFonts w:ascii="Garamond" w:eastAsia="Times New Roman" w:hAnsi="Garamond" w:cs="Times New Roman"/>
          <w:i/>
          <w:iCs/>
          <w:color w:val="000000"/>
          <w:sz w:val="30"/>
          <w:szCs w:val="30"/>
        </w:rPr>
        <w:t>pro tempore</w:t>
      </w:r>
      <w:r w:rsidRPr="00D30C15">
        <w:rPr>
          <w:rFonts w:ascii="Garamond" w:eastAsia="Times New Roman" w:hAnsi="Garamond" w:cs="Times New Roman"/>
          <w:color w:val="000000"/>
          <w:sz w:val="30"/>
          <w:szCs w:val="30"/>
        </w:rPr>
        <w:t>, rappresentato e difeso dall'avvocato Carlo Comandè, con domicilio digitale come da PEC da Registri di Giustizia; anche APPELLANTE INCIDENTALE</w:t>
      </w:r>
    </w:p>
    <w:p w:rsidR="00D30C15" w:rsidRPr="00D30C15" w:rsidRDefault="00D30C15" w:rsidP="00D30C15">
      <w:pPr>
        <w:spacing w:after="0" w:line="520" w:lineRule="atLeast"/>
        <w:jc w:val="center"/>
        <w:rPr>
          <w:rFonts w:ascii="Garamond" w:eastAsia="Times New Roman" w:hAnsi="Garamond" w:cs="Times New Roman"/>
          <w:b/>
          <w:bCs/>
          <w:i/>
          <w:iCs/>
          <w:color w:val="000000"/>
          <w:sz w:val="30"/>
          <w:szCs w:val="30"/>
        </w:rPr>
      </w:pPr>
      <w:proofErr w:type="gramStart"/>
      <w:r w:rsidRPr="00D30C15">
        <w:rPr>
          <w:rFonts w:ascii="Garamond" w:eastAsia="Times New Roman" w:hAnsi="Garamond" w:cs="Times New Roman"/>
          <w:b/>
          <w:bCs/>
          <w:i/>
          <w:iCs/>
          <w:color w:val="000000"/>
          <w:sz w:val="30"/>
          <w:szCs w:val="30"/>
        </w:rPr>
        <w:t>nei</w:t>
      </w:r>
      <w:proofErr w:type="gramEnd"/>
      <w:r w:rsidRPr="00D30C15">
        <w:rPr>
          <w:rFonts w:ascii="Garamond" w:eastAsia="Times New Roman" w:hAnsi="Garamond" w:cs="Times New Roman"/>
          <w:b/>
          <w:bCs/>
          <w:i/>
          <w:iCs/>
          <w:color w:val="000000"/>
          <w:sz w:val="30"/>
          <w:szCs w:val="30"/>
        </w:rPr>
        <w:t xml:space="preserve"> confronti</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Regione Calabria, non costituita in giudizio;</w:t>
      </w:r>
    </w:p>
    <w:p w:rsidR="00D30C15" w:rsidRPr="00D30C15" w:rsidRDefault="00D30C15" w:rsidP="00D30C15">
      <w:pPr>
        <w:spacing w:after="0" w:line="520" w:lineRule="atLeast"/>
        <w:jc w:val="center"/>
        <w:rPr>
          <w:rFonts w:ascii="Garamond" w:eastAsia="Times New Roman" w:hAnsi="Garamond" w:cs="Times New Roman"/>
          <w:b/>
          <w:bCs/>
          <w:i/>
          <w:iCs/>
          <w:color w:val="000000"/>
          <w:sz w:val="30"/>
          <w:szCs w:val="30"/>
        </w:rPr>
      </w:pPr>
      <w:proofErr w:type="gramStart"/>
      <w:r w:rsidRPr="00D30C15">
        <w:rPr>
          <w:rFonts w:ascii="Garamond" w:eastAsia="Times New Roman" w:hAnsi="Garamond" w:cs="Times New Roman"/>
          <w:b/>
          <w:bCs/>
          <w:i/>
          <w:iCs/>
          <w:color w:val="000000"/>
          <w:sz w:val="30"/>
          <w:szCs w:val="30"/>
        </w:rPr>
        <w:lastRenderedPageBreak/>
        <w:t>per</w:t>
      </w:r>
      <w:proofErr w:type="gramEnd"/>
      <w:r w:rsidRPr="00D30C15">
        <w:rPr>
          <w:rFonts w:ascii="Garamond" w:eastAsia="Times New Roman" w:hAnsi="Garamond" w:cs="Times New Roman"/>
          <w:b/>
          <w:bCs/>
          <w:i/>
          <w:iCs/>
          <w:color w:val="000000"/>
          <w:sz w:val="30"/>
          <w:szCs w:val="30"/>
        </w:rPr>
        <w:t xml:space="preserve"> la riforma,</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proofErr w:type="gramStart"/>
      <w:r w:rsidRPr="00D30C15">
        <w:rPr>
          <w:rFonts w:ascii="Garamond" w:eastAsia="Times New Roman" w:hAnsi="Garamond" w:cs="Times New Roman"/>
          <w:color w:val="000000"/>
          <w:sz w:val="30"/>
          <w:szCs w:val="30"/>
        </w:rPr>
        <w:t>della</w:t>
      </w:r>
      <w:proofErr w:type="gramEnd"/>
      <w:r w:rsidRPr="00D30C15">
        <w:rPr>
          <w:rFonts w:ascii="Garamond" w:eastAsia="Times New Roman" w:hAnsi="Garamond" w:cs="Times New Roman"/>
          <w:color w:val="000000"/>
          <w:sz w:val="30"/>
          <w:szCs w:val="30"/>
        </w:rPr>
        <w:t xml:space="preserve"> sentenza del Tribunale amministrativo regionale per il Lazio (sezione terza) n. 13393/2025, resa tra le parti,</w:t>
      </w:r>
    </w:p>
    <w:p w:rsidR="00D30C15" w:rsidRPr="00D30C15" w:rsidRDefault="00D30C15" w:rsidP="00D30C15">
      <w:pPr>
        <w:spacing w:after="0" w:line="240" w:lineRule="auto"/>
        <w:rPr>
          <w:rFonts w:ascii="Times New Roman" w:eastAsia="Times New Roman" w:hAnsi="Times New Roman" w:cs="Times New Roman"/>
          <w:sz w:val="24"/>
          <w:szCs w:val="24"/>
        </w:rPr>
      </w:pPr>
      <w:r w:rsidRPr="00D30C15">
        <w:rPr>
          <w:rFonts w:ascii="Times New Roman" w:eastAsia="Times New Roman" w:hAnsi="Times New Roman" w:cs="Times New Roman"/>
          <w:color w:val="000000"/>
          <w:sz w:val="27"/>
          <w:szCs w:val="27"/>
        </w:rPr>
        <w:br/>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Visto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ricorso in appello e i relativi allegati;</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Visto l'atto di costituzione in giudizio di Altomonte Fv s.r.l. e l’appello incidentale;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Visti tutti gli atti </w:t>
      </w:r>
      <w:proofErr w:type="gramStart"/>
      <w:r w:rsidRPr="00D30C15">
        <w:rPr>
          <w:rFonts w:ascii="Garamond" w:eastAsia="Times New Roman" w:hAnsi="Garamond" w:cs="Times New Roman"/>
          <w:color w:val="000000"/>
          <w:sz w:val="30"/>
          <w:szCs w:val="30"/>
        </w:rPr>
        <w:t>della</w:t>
      </w:r>
      <w:proofErr w:type="gramEnd"/>
      <w:r w:rsidRPr="00D30C15">
        <w:rPr>
          <w:rFonts w:ascii="Garamond" w:eastAsia="Times New Roman" w:hAnsi="Garamond" w:cs="Times New Roman"/>
          <w:color w:val="000000"/>
          <w:sz w:val="30"/>
          <w:szCs w:val="30"/>
        </w:rPr>
        <w:t xml:space="preserve"> causa;</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Relatore nell'udienza pubblica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giorno 26 maggio 2026 il cons. Stefano Filippini;</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Uditi per le parti gli avvocati Stefania Di Ciommo per Francesco Di Ciommo e Enzo Puccio per Carlo Comandé;</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Ritenuto e considerato in fatto e diritto quanto segue.</w:t>
      </w:r>
    </w:p>
    <w:p w:rsidR="00D30C15" w:rsidRPr="00D30C15" w:rsidRDefault="00D30C15" w:rsidP="00D30C15">
      <w:pPr>
        <w:spacing w:after="0" w:line="240" w:lineRule="auto"/>
        <w:rPr>
          <w:rFonts w:ascii="Times New Roman" w:eastAsia="Times New Roman" w:hAnsi="Times New Roman" w:cs="Times New Roman"/>
          <w:sz w:val="24"/>
          <w:szCs w:val="24"/>
        </w:rPr>
      </w:pPr>
      <w:r w:rsidRPr="00D30C15">
        <w:rPr>
          <w:rFonts w:ascii="Times New Roman" w:eastAsia="Times New Roman" w:hAnsi="Times New Roman" w:cs="Times New Roman"/>
          <w:color w:val="000000"/>
          <w:sz w:val="27"/>
          <w:szCs w:val="27"/>
        </w:rPr>
        <w:br/>
      </w:r>
    </w:p>
    <w:p w:rsidR="00D30C15" w:rsidRPr="00D30C15" w:rsidRDefault="00D30C15" w:rsidP="00D30C15">
      <w:pPr>
        <w:spacing w:after="0" w:line="540" w:lineRule="atLeast"/>
        <w:jc w:val="center"/>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FATTO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1. Oggetto del giudizio è la domanda di annullamento: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provvedimento, prot. </w:t>
      </w:r>
      <w:proofErr w:type="gramStart"/>
      <w:r w:rsidRPr="00D30C15">
        <w:rPr>
          <w:rFonts w:ascii="Garamond" w:eastAsia="Times New Roman" w:hAnsi="Garamond" w:cs="Times New Roman"/>
          <w:color w:val="000000"/>
          <w:sz w:val="30"/>
          <w:szCs w:val="30"/>
        </w:rPr>
        <w:t>n. GSEWEB/P20241043174</w:t>
      </w:r>
      <w:proofErr w:type="gramEnd"/>
      <w:r w:rsidRPr="00D30C15">
        <w:rPr>
          <w:rFonts w:ascii="Garamond" w:eastAsia="Times New Roman" w:hAnsi="Garamond" w:cs="Times New Roman"/>
          <w:color w:val="000000"/>
          <w:sz w:val="30"/>
          <w:szCs w:val="30"/>
        </w:rPr>
        <w:t xml:space="preserve"> del 17 dicembre 2024, con cui il GSE ha comunicato alla società ricorrente che, per l’impianto fotovoltaico realizzato nel Comune di Nocera Terinese (CZ), “</w:t>
      </w:r>
      <w:r w:rsidRPr="00D30C15">
        <w:rPr>
          <w:rFonts w:ascii="Garamond" w:eastAsia="Times New Roman" w:hAnsi="Garamond" w:cs="Times New Roman"/>
          <w:i/>
          <w:iCs/>
          <w:color w:val="000000"/>
          <w:sz w:val="30"/>
          <w:szCs w:val="30"/>
        </w:rPr>
        <w:t xml:space="preserve">la tariffa incentivante individuata nel provvedimento del 19 febbraio 2013 (prot. FTV_759553) in misura pari alla differenza, se positiva, tra la tariffa omnicomprensiva di 0,140 euro/kWh e il prezzo zonale orario, può essere riconosciuta alla Società solo per l’energia elettrica prodotta a decorrere: - dalla data di entrata in esercizio (27 marzo 2012) e sino al 31 luglio 2013; - dal 1° giugno 2022, primo giorno del mese successivo alla data in cui risulta essere divenuta </w:t>
      </w:r>
      <w:r w:rsidRPr="00D30C15">
        <w:rPr>
          <w:rFonts w:ascii="Garamond" w:eastAsia="Times New Roman" w:hAnsi="Garamond" w:cs="Times New Roman"/>
          <w:i/>
          <w:iCs/>
          <w:color w:val="000000"/>
          <w:sz w:val="30"/>
          <w:szCs w:val="30"/>
        </w:rPr>
        <w:lastRenderedPageBreak/>
        <w:t>efficace la voltura dell’Autorizzazione Unica n. 18800 del 28 dicembre 2010 (9 maggio 2022). Nel periodo di esercizio, contraddistinto dal disallineamento tra il Soggetto Responsabile dell’impianto e il soggetto intestatario del provvedimento autorizzatorio, vale a dire dal 1° agosto 2013 al 31 maggio 2022, la tariffa incentivante da riconoscere all’energia elettrica prodotta dall’impianto è pari alla differenza, se positiva, tra la tariffa omnicomprensiva decurtata, in misura pari a 0</w:t>
      </w:r>
      <w:proofErr w:type="gramStart"/>
      <w:r w:rsidRPr="00D30C15">
        <w:rPr>
          <w:rFonts w:ascii="Garamond" w:eastAsia="Times New Roman" w:hAnsi="Garamond" w:cs="Times New Roman"/>
          <w:i/>
          <w:iCs/>
          <w:color w:val="000000"/>
          <w:sz w:val="30"/>
          <w:szCs w:val="30"/>
        </w:rPr>
        <w:t>,1284</w:t>
      </w:r>
      <w:proofErr w:type="gramEnd"/>
      <w:r w:rsidRPr="00D30C15">
        <w:rPr>
          <w:rFonts w:ascii="Garamond" w:eastAsia="Times New Roman" w:hAnsi="Garamond" w:cs="Times New Roman"/>
          <w:i/>
          <w:iCs/>
          <w:color w:val="000000"/>
          <w:sz w:val="30"/>
          <w:szCs w:val="30"/>
        </w:rPr>
        <w:t xml:space="preserve"> euro/kWh e il prezzo zonale orario. Si informa che la presente comunicazione costituisce addendum alla convenzione già stipulata per </w:t>
      </w:r>
      <w:proofErr w:type="gramStart"/>
      <w:r w:rsidRPr="00D30C15">
        <w:rPr>
          <w:rFonts w:ascii="Garamond" w:eastAsia="Times New Roman" w:hAnsi="Garamond" w:cs="Times New Roman"/>
          <w:i/>
          <w:iCs/>
          <w:color w:val="000000"/>
          <w:sz w:val="30"/>
          <w:szCs w:val="30"/>
        </w:rPr>
        <w:t>il</w:t>
      </w:r>
      <w:proofErr w:type="gramEnd"/>
      <w:r w:rsidRPr="00D30C15">
        <w:rPr>
          <w:rFonts w:ascii="Garamond" w:eastAsia="Times New Roman" w:hAnsi="Garamond" w:cs="Times New Roman"/>
          <w:i/>
          <w:iCs/>
          <w:color w:val="000000"/>
          <w:sz w:val="30"/>
          <w:szCs w:val="30"/>
        </w:rPr>
        <w:t xml:space="preserve"> riconoscimento della tariffa incentivante in Conto Energia</w:t>
      </w:r>
      <w:r w:rsidRPr="00D30C15">
        <w:rPr>
          <w:rFonts w:ascii="Garamond" w:eastAsia="Times New Roman" w:hAnsi="Garamond" w:cs="Times New Roman"/>
          <w:color w:val="000000"/>
          <w:sz w:val="30"/>
          <w:szCs w:val="30"/>
        </w:rPr>
        <w:t>”.</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2. Con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ricorso introduttivo del giudizio proposto da Altomonte Fv s.r.l. (d’ora in poi Altomonte) dinanzi al T.a.r. per il Lazio, la ricorrente ha esposto in punto di fatto: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che la società Solaria Calabria s.r.l. in data 12 ottobre 2012 aveva richiesto, in relazione ad un impianto fotovoltaico sito nel Comune di Nocera Terinese (CZ), l’ammissione alle tariffe incentivanti di cui al D.M. 5 luglio 2012 (c.d. “Quinto Conto Energia”), che il GSE ha riconosciuto con provvedimento prot. FTV_759553 del 19 febbraio 2013;</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che detta società, a seguito di una fusione del 1 agosto 2013, era stata incorporata nella Altomonte FV s.r.l., la quale aveva successivamente richiesto, da un lato, alla Regione Calabria la voltura dell’Autorizzazione Unica n. 18800 (in forza della quale la Solaria Calabria aveva potuto costruire ed esercire l’impianto) e, dall’altro lato, al GSE il trasferimento della titolarità della Convenzione regolante l’erogazione degli incentivi;</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 </w:t>
      </w:r>
      <w:proofErr w:type="gramStart"/>
      <w:r w:rsidRPr="00D30C15">
        <w:rPr>
          <w:rFonts w:ascii="Garamond" w:eastAsia="Times New Roman" w:hAnsi="Garamond" w:cs="Times New Roman"/>
          <w:color w:val="000000"/>
          <w:sz w:val="30"/>
          <w:szCs w:val="30"/>
        </w:rPr>
        <w:t>che</w:t>
      </w:r>
      <w:proofErr w:type="gramEnd"/>
      <w:r w:rsidRPr="00D30C15">
        <w:rPr>
          <w:rFonts w:ascii="Garamond" w:eastAsia="Times New Roman" w:hAnsi="Garamond" w:cs="Times New Roman"/>
          <w:color w:val="000000"/>
          <w:sz w:val="30"/>
          <w:szCs w:val="30"/>
        </w:rPr>
        <w:t xml:space="preserve"> il GSE, con nota prot. GSE/FTVA20140204803 del 23 giugno 2014, aveva accettato la richiesta di trasferimento, mentre la Regione Calabria con nota </w:t>
      </w:r>
      <w:proofErr w:type="gramStart"/>
      <w:r w:rsidRPr="00D30C15">
        <w:rPr>
          <w:rFonts w:ascii="Garamond" w:eastAsia="Times New Roman" w:hAnsi="Garamond" w:cs="Times New Roman"/>
          <w:color w:val="000000"/>
          <w:sz w:val="30"/>
          <w:szCs w:val="30"/>
        </w:rPr>
        <w:lastRenderedPageBreak/>
        <w:t>prot</w:t>
      </w:r>
      <w:proofErr w:type="gramEnd"/>
      <w:r w:rsidRPr="00D30C15">
        <w:rPr>
          <w:rFonts w:ascii="Garamond" w:eastAsia="Times New Roman" w:hAnsi="Garamond" w:cs="Times New Roman"/>
          <w:color w:val="000000"/>
          <w:sz w:val="30"/>
          <w:szCs w:val="30"/>
        </w:rPr>
        <w:t xml:space="preserve">. 9905/SIAR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14 gennaio 2014 aveva richiesto un’integrazione documentale, che Altomonte ha fornito in data 29 ottobre 2014;</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 </w:t>
      </w:r>
      <w:proofErr w:type="gramStart"/>
      <w:r w:rsidRPr="00D30C15">
        <w:rPr>
          <w:rFonts w:ascii="Garamond" w:eastAsia="Times New Roman" w:hAnsi="Garamond" w:cs="Times New Roman"/>
          <w:color w:val="000000"/>
          <w:sz w:val="30"/>
          <w:szCs w:val="30"/>
        </w:rPr>
        <w:t>che</w:t>
      </w:r>
      <w:proofErr w:type="gramEnd"/>
      <w:r w:rsidRPr="00D30C15">
        <w:rPr>
          <w:rFonts w:ascii="Garamond" w:eastAsia="Times New Roman" w:hAnsi="Garamond" w:cs="Times New Roman"/>
          <w:color w:val="000000"/>
          <w:sz w:val="30"/>
          <w:szCs w:val="30"/>
        </w:rPr>
        <w:t xml:space="preserve"> con nota prot. GSE/P20200039380 dell’8 settembre 2020,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GSE aveva poi comunicato l’avvio di un procedimento di verifica sulla sussistenza e sulla permanenza dei presupposti per l’ammissione agli incentivi riconosciuti; e che, nell’ambito dei controlli svolti in tale procedimento, erano emerse (come comunicato con nota prot. GSEWEB/P20240728769 del 18 settembre 2024) le seguenti criticità: «</w:t>
      </w:r>
      <w:r w:rsidRPr="00D30C15">
        <w:rPr>
          <w:rFonts w:ascii="Garamond" w:eastAsia="Times New Roman" w:hAnsi="Garamond" w:cs="Times New Roman"/>
          <w:i/>
          <w:iCs/>
          <w:color w:val="000000"/>
          <w:sz w:val="30"/>
          <w:szCs w:val="30"/>
        </w:rPr>
        <w:t>è emerso che l’intervento di installazione dell’impianto fotovoltaico è stato autorizzato mediante il seguente iter:-Decreto Dirigenziale del 28 dicembre 2010, mediante il quale la Regione Calabria ha rilasciato alla società Sorgente Solaria Calabria S.r.l., l’Autorizzazione Unica n. 18800 relativa “alla costruzione e all’esercizio […] dell’impianto di produzione di energia elettrica da fonte fotovoltaica denominato ‘Istia 1,5 MWp’ da realizzarsi in località ‘Istia’ nel Comune di Nocera Terinese […]”;- Decreto Dirigenziale n. 4965 del 9 maggio 2022, rilasciato dalla Regione Calabria e recante ad oggetto “Voltura in favore della società Altomonte FV S.r.l. dell’Autorizzazione Unica n. 18800 del 28 dicembre 2010 […]”.</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i/>
          <w:iCs/>
          <w:color w:val="000000"/>
          <w:sz w:val="30"/>
          <w:szCs w:val="30"/>
        </w:rPr>
        <w:t xml:space="preserve">Nel provvedimento in argomento è riportato, in particolare, che: “[…] Dato Atto che […] con istanza </w:t>
      </w:r>
      <w:proofErr w:type="gramStart"/>
      <w:r w:rsidRPr="00D30C15">
        <w:rPr>
          <w:rFonts w:ascii="Garamond" w:eastAsia="Times New Roman" w:hAnsi="Garamond" w:cs="Times New Roman"/>
          <w:i/>
          <w:iCs/>
          <w:color w:val="000000"/>
          <w:sz w:val="30"/>
          <w:szCs w:val="30"/>
        </w:rPr>
        <w:t>prot</w:t>
      </w:r>
      <w:proofErr w:type="gramEnd"/>
      <w:r w:rsidRPr="00D30C15">
        <w:rPr>
          <w:rFonts w:ascii="Garamond" w:eastAsia="Times New Roman" w:hAnsi="Garamond" w:cs="Times New Roman"/>
          <w:i/>
          <w:iCs/>
          <w:color w:val="000000"/>
          <w:sz w:val="30"/>
          <w:szCs w:val="30"/>
        </w:rPr>
        <w:t xml:space="preserve">. n. 314967 del 13/07/2021 l’amministratore delegato della Società Altomonte FV S.r.l. ha chiesto la voltura del […] decreto di autorizzazione unica in favore della Altomonte FV S.r.l. […];RILEVATO che è stata prodotta, altresì, la seguente documentazione: a) copia dell’atto notarile di cessione […];[…] Decreta […] di autorizzare, in favore della Società Altomonte FV S.r.l. […], la voltura dell’Autorizzazione unica n. 18800 del 28 dicembre 2010 […]”; - in ragione di quanto illustrato ai precedenti alinea e in considerazione dei requisiti di “Soggetto Responsabile” dell’impianto previsti dalla normativa </w:t>
      </w:r>
      <w:r w:rsidRPr="00D30C15">
        <w:rPr>
          <w:rFonts w:ascii="Garamond" w:eastAsia="Times New Roman" w:hAnsi="Garamond" w:cs="Times New Roman"/>
          <w:i/>
          <w:iCs/>
          <w:color w:val="000000"/>
          <w:sz w:val="30"/>
          <w:szCs w:val="30"/>
        </w:rPr>
        <w:lastRenderedPageBreak/>
        <w:t>di riferimento, risulta che:- alla data di acquisizione dell’impianto (1° agosto 2013), la Società non era in possesso del titolo autorizzativo alla costruzione e all’esercizio dell’impianto. Il titolo in argomento è stato infatti volturato dalla Regione Calabria in favore della Società solo a far data dal 9 maggio 2022; - la Società, non essendo soggetto legittimato all’esercizio dell’impianto fotovoltaico in oggetto sino al 9 maggio 2022, non aveva diritto a percepire gli incentivi pubblici riconosciuti ai sensi del Decreto</w:t>
      </w:r>
      <w:r w:rsidRPr="00D30C15">
        <w:rPr>
          <w:rFonts w:ascii="Garamond" w:eastAsia="Times New Roman" w:hAnsi="Garamond" w:cs="Times New Roman"/>
          <w:color w:val="000000"/>
          <w:sz w:val="30"/>
          <w:szCs w:val="30"/>
        </w:rPr>
        <w:t>». Dunque Altomonte è stata invitata a fornire osservazioni, eventualmente corredate da documenti, nei successivi trenta giorni;</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che Altomonte ha fornito le predette osservazioni, evidenziando che «</w:t>
      </w:r>
      <w:r w:rsidRPr="00D30C15">
        <w:rPr>
          <w:rFonts w:ascii="Garamond" w:eastAsia="Times New Roman" w:hAnsi="Garamond" w:cs="Times New Roman"/>
          <w:i/>
          <w:iCs/>
          <w:color w:val="000000"/>
          <w:sz w:val="30"/>
          <w:szCs w:val="30"/>
        </w:rPr>
        <w:t>la circostanza dell’avvenuta fusione è stata comunicata alla competente Regione Calabria, perché l’ente potesse procedere alla reintestazione dell’Autorizzazione Unica, essendo ciò sufficiente a formalizzare gli effetti già prodottisi ipso jure in conseguenza dell’operazione societaria intervenuta. Giova infatti sul punto precisare come, essendo l’operazione in discorso consistita in una fusione per incorporazione, sotto il profilo della titolarità dell’Autorizzazione Unica in oggetto, nessuna modificazione soggettiva possa ritenersi registrabile</w:t>
      </w:r>
      <w:r w:rsidRPr="00D30C15">
        <w:rPr>
          <w:rFonts w:ascii="Garamond" w:eastAsia="Times New Roman" w:hAnsi="Garamond" w:cs="Times New Roman"/>
          <w:color w:val="000000"/>
          <w:sz w:val="30"/>
          <w:szCs w:val="30"/>
        </w:rPr>
        <w:t>» e sostenendo che ciò che «</w:t>
      </w:r>
      <w:r w:rsidRPr="00D30C15">
        <w:rPr>
          <w:rFonts w:ascii="Garamond" w:eastAsia="Times New Roman" w:hAnsi="Garamond" w:cs="Times New Roman"/>
          <w:i/>
          <w:iCs/>
          <w:color w:val="000000"/>
          <w:sz w:val="30"/>
          <w:szCs w:val="30"/>
        </w:rPr>
        <w:t>si registra è la prosecuzione dei rapporti giuridici nel soggetto incorporante, quale centro unitario di imputazione di tutti i rapporti preesistenti, e senza soluzione di continuità dal momento dell’iscrizione della fusione con efficacia di pubblicità costitutiva. La vicenda societaria in discorso, quindi, si traduce nel subentro a pieno diritto, non soltanto in tutto il patrimonio attivo e passivo della società incorporata, ma, più in generale, nel complesso delle situazioni soggettive in precedenza proprie della società incorporata, ivi compresi i titoli autorizzativi facenti capo ad essa.</w:t>
      </w:r>
      <w:r w:rsidRPr="00D30C15">
        <w:rPr>
          <w:rFonts w:ascii="Garamond" w:eastAsia="Times New Roman" w:hAnsi="Garamond" w:cs="Times New Roman"/>
          <w:color w:val="000000"/>
          <w:sz w:val="30"/>
          <w:szCs w:val="30"/>
        </w:rPr>
        <w:t> </w:t>
      </w:r>
      <w:r w:rsidRPr="00D30C15">
        <w:rPr>
          <w:rFonts w:ascii="Garamond" w:eastAsia="Times New Roman" w:hAnsi="Garamond" w:cs="Times New Roman"/>
          <w:i/>
          <w:iCs/>
          <w:color w:val="000000"/>
          <w:sz w:val="30"/>
          <w:szCs w:val="30"/>
        </w:rPr>
        <w:t xml:space="preserve">(…) è di tutta evidenza come la voltura assolva, nel caso di specie una funzione soltanto dichiarativa di un effetto, si ribadisce, già prodottosi ipso jure al momento del perfezionamento dell’atto di fusione per incorporazione, senza invece poter in </w:t>
      </w:r>
      <w:r w:rsidRPr="00D30C15">
        <w:rPr>
          <w:rFonts w:ascii="Garamond" w:eastAsia="Times New Roman" w:hAnsi="Garamond" w:cs="Times New Roman"/>
          <w:i/>
          <w:iCs/>
          <w:color w:val="000000"/>
          <w:sz w:val="30"/>
          <w:szCs w:val="30"/>
        </w:rPr>
        <w:lastRenderedPageBreak/>
        <w:t>alcun modo assurgere a presupposto per il riconoscimento, in capo alla scrivente Società, della legittimazione ad esercire l’impianto in oggetto, ed a percepire gli incentivi riconosciuti (…) in relazione allo stesso, in qualità di Soggetto Responsabile</w:t>
      </w:r>
      <w:r w:rsidRPr="00D30C15">
        <w:rPr>
          <w:rFonts w:ascii="Garamond" w:eastAsia="Times New Roman" w:hAnsi="Garamond" w:cs="Times New Roman"/>
          <w:color w:val="000000"/>
          <w:sz w:val="30"/>
          <w:szCs w:val="30"/>
        </w:rPr>
        <w:t>»;</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 </w:t>
      </w:r>
      <w:proofErr w:type="gramStart"/>
      <w:r w:rsidRPr="00D30C15">
        <w:rPr>
          <w:rFonts w:ascii="Garamond" w:eastAsia="Times New Roman" w:hAnsi="Garamond" w:cs="Times New Roman"/>
          <w:color w:val="000000"/>
          <w:sz w:val="30"/>
          <w:szCs w:val="30"/>
        </w:rPr>
        <w:t>che</w:t>
      </w:r>
      <w:proofErr w:type="gramEnd"/>
      <w:r w:rsidRPr="00D30C15">
        <w:rPr>
          <w:rFonts w:ascii="Garamond" w:eastAsia="Times New Roman" w:hAnsi="Garamond" w:cs="Times New Roman"/>
          <w:color w:val="000000"/>
          <w:sz w:val="30"/>
          <w:szCs w:val="30"/>
        </w:rPr>
        <w:t xml:space="preserve"> tuttavia il GSE, con provvedimento prot. GSEWEB/P20241043174 del 17 dicembre 2024, ha ritenuto </w:t>
      </w:r>
      <w:proofErr w:type="gramStart"/>
      <w:r w:rsidRPr="00D30C15">
        <w:rPr>
          <w:rFonts w:ascii="Garamond" w:eastAsia="Times New Roman" w:hAnsi="Garamond" w:cs="Times New Roman"/>
          <w:color w:val="000000"/>
          <w:sz w:val="30"/>
          <w:szCs w:val="30"/>
        </w:rPr>
        <w:t>non</w:t>
      </w:r>
      <w:proofErr w:type="gramEnd"/>
      <w:r w:rsidRPr="00D30C15">
        <w:rPr>
          <w:rFonts w:ascii="Garamond" w:eastAsia="Times New Roman" w:hAnsi="Garamond" w:cs="Times New Roman"/>
          <w:color w:val="000000"/>
          <w:sz w:val="30"/>
          <w:szCs w:val="30"/>
        </w:rPr>
        <w:t xml:space="preserve"> superate le rilevate criticità, poiché «</w:t>
      </w:r>
      <w:r w:rsidRPr="00D30C15">
        <w:rPr>
          <w:rFonts w:ascii="Garamond" w:eastAsia="Times New Roman" w:hAnsi="Garamond" w:cs="Times New Roman"/>
          <w:i/>
          <w:iCs/>
          <w:color w:val="000000"/>
          <w:sz w:val="30"/>
          <w:szCs w:val="30"/>
        </w:rPr>
        <w:t xml:space="preserve">in riferimento alla […] nota prot. n. 396677/siar presentata dalla Società alla Regione Calabria in data 18 dicembre 2013, con la quale sarebbe stata notificata alla Regione Calabria la variazione di intestatario del titolo autorizzativo alla costruzione e all’esercizio dell’impianto in oggetto, dalla società Sorgente Solaria Calabria S.r.l. alla Società, il GSE possiede copia della comunicazione di riscontro del 14 gennaio 2014 da parte della Regione Calabria (prot. n. 9905/siar), mediante la quale detto Ente ha richiesto alla Società la documentazione necessaria ai fini della presentazione dell’istanza di trasferimento del titolo autorizzativo, secondo quanto previsto nel punto 9.3 dell’Allegato sub 1 alla L.R. 42/2008. Sulla base di quando indicato nel Decreto Dirigenziale n. 4965 del 9 maggio 2022, detta istanza sarebbe stata presentata dalla Società solamente in data 13 luglio 2021 (prot. n. 314967); - l’Autorizzazione Unica n. 18800, originariamente rilasciata alla società Sorgente Solaria Calabria S.r.l., per la realizzazione e per l’esercizio dell’impianto in oggetto, è stata volturata in favore della Società in data 9 maggio 2022 per effetto dell’emanazione del Decreto Dirigenziale n. 4965, con ciò derivandone che, per l’impianto in esame, sussiste il disallineamento tra Soggetto Responsabile e titolare del titolo autorizzativo per l’intervallo temporale che va dal 1° agosto 2013, data del summenzionato atto notarile di fusione, al 9 maggio 2022, data in cui risulta essere divenuta efficace la voltura del richiamato titolo autorizzativo; - la Società, dal 1° agosto 2013 al 9 maggio 2022, non risultava autorizzata a esercire l’impianto in argomento, né, tantomeno, era legittimata a percepire le tariffe </w:t>
      </w:r>
      <w:r w:rsidRPr="00D30C15">
        <w:rPr>
          <w:rFonts w:ascii="Garamond" w:eastAsia="Times New Roman" w:hAnsi="Garamond" w:cs="Times New Roman"/>
          <w:i/>
          <w:iCs/>
          <w:color w:val="000000"/>
          <w:sz w:val="30"/>
          <w:szCs w:val="30"/>
        </w:rPr>
        <w:lastRenderedPageBreak/>
        <w:t>incentivanti in qualità di Soggetto Responsabile</w:t>
      </w:r>
      <w:r w:rsidRPr="00D30C15">
        <w:rPr>
          <w:rFonts w:ascii="Garamond" w:eastAsia="Times New Roman" w:hAnsi="Garamond" w:cs="Times New Roman"/>
          <w:color w:val="000000"/>
          <w:sz w:val="30"/>
          <w:szCs w:val="30"/>
        </w:rPr>
        <w:t>»; ha perciò disposto la decurtazione, nella misura del dieci per cento, della tariffa incentivante </w:t>
      </w:r>
      <w:r w:rsidRPr="00D30C15">
        <w:rPr>
          <w:rFonts w:ascii="Garamond" w:eastAsia="Times New Roman" w:hAnsi="Garamond" w:cs="Times New Roman"/>
          <w:i/>
          <w:iCs/>
          <w:color w:val="000000"/>
          <w:sz w:val="30"/>
          <w:szCs w:val="30"/>
        </w:rPr>
        <w:t>«[n]el periodo di esercizio, contraddistinto dal disallineamento tra il Soggetto Responsabile dell’impianto e il soggetto intestatario del provvedimento autorizzatorio, vale a dire dal 1° agosto 2013 al 31 maggio 2022</w:t>
      </w:r>
      <w:r w:rsidRPr="00D30C15">
        <w:rPr>
          <w:rFonts w:ascii="Garamond" w:eastAsia="Times New Roman" w:hAnsi="Garamond" w:cs="Times New Roman"/>
          <w:color w:val="000000"/>
          <w:sz w:val="30"/>
          <w:szCs w:val="30"/>
        </w:rPr>
        <w:t>».</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3. Con il detto ricorso al T.a.r. la Altomonte ha lamentato l’illegittimità del provvedimento impugnato (i) per non avere il GSE adeguatamente considerato le osservazioni fornite dalla parte in corso di procedimento, (ii) per aver ravvisato un mutamento soggettivo nella titolarità dell’Autorizzazione Unica nonostante che la vicenda della fusione non abbia mai creato alcun disallineamento fra soggetto responsabile dell’impianto e soggetto intestatario del provvedimento autorizzatorio , (iii) per il maturare della prescrizione decennale ex art. 2946 c.c. o, in subordine, per prescrizione </w:t>
      </w:r>
      <w:proofErr w:type="gramStart"/>
      <w:r w:rsidRPr="00D30C15">
        <w:rPr>
          <w:rFonts w:ascii="Garamond" w:eastAsia="Times New Roman" w:hAnsi="Garamond" w:cs="Times New Roman"/>
          <w:color w:val="000000"/>
          <w:sz w:val="30"/>
          <w:szCs w:val="30"/>
        </w:rPr>
        <w:t>della</w:t>
      </w:r>
      <w:proofErr w:type="gramEnd"/>
      <w:r w:rsidRPr="00D30C15">
        <w:rPr>
          <w:rFonts w:ascii="Garamond" w:eastAsia="Times New Roman" w:hAnsi="Garamond" w:cs="Times New Roman"/>
          <w:color w:val="000000"/>
          <w:sz w:val="30"/>
          <w:szCs w:val="30"/>
        </w:rPr>
        <w:t xml:space="preserve"> pretesa del GSE limitatamente al recupero delle somme erogate in data anteriore a dieci anni prima della notifica del provvedimento impugnato.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4. Il GSE ha resistito al ricorso, mentre la Regione Calabria è rimasta intimata.</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5. Con la sentenza n. 13393 del 8.7.2025 il T.a.r. romano ha accolto parzialmente il ricorso di Altomonte, nei soli limiti della rilevata prescrizione della pretesa del GSE al recupero delle somme erogate in data antecedente il 17 dicembre 2014, mentre lo ha respinto nel resto, compensando le spese fra la ricorrente e il GSE.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5.1. A fondamento di tale decisione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primo giudice ha posto le seguenti considerazioni:</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lastRenderedPageBreak/>
        <w:t xml:space="preserve">-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provvedimento impugnato ha senz’altro tenuto conto delle osservazioni presentate da Altomonte, così come si evincono le ragioni per cui non le ha condivise; né sono emerse carenze istruttorie;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vi è stata soluzione di continuità nella titolarità soggettiva per effetto della fusione, che non costituisce una mera vicenda modificativa, ricorrendo invece una vera e propria dissoluzione o estinzione giuridica (quanto alla società incorporata), contestuale ad un fenomeno successorio (quanto alla società incorporante); sicchè, la successione nella titolarità dell’Autorizzazione Unica non si è prodotta fintantoché la Regione Calabria non ha provveduto a volturarla in favore della ricorrente;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secondo il consolidato indirizzo ermeneutico, le norme disciplinanti l’accesso agli incentivi, anche per il particolare settore degli impianti fotovoltaici, non consentono il disallineamento tra titolarità del permesso a realizzare ed esercire l’impianto ed assunzione della “responsabilità” (di detta gestione ed esercizio) ai fini dell’accesso agli incentivi, derivandone un chiaro parallelismo tra le attività che sono assentite per mezzo del provvedimento autorizzatorio e quelle che individuano l’oggetto della “responsabilità” del “soggetto responsabile”, sulla base cioè di un binomio tra la realizzazione (o costruzione) dell’impianto ed il suo esercizio, binomio che sta a indicare come i benefici siano riservati ai soggetti cui imputare in termini giuridici la riferibilità dell’iniziativa; ne consegue che il beneficiario degli incentivi deve necessariamente essere titolare del provvedimento autorizzatorio;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 </w:t>
      </w:r>
      <w:proofErr w:type="gramStart"/>
      <w:r w:rsidRPr="00D30C15">
        <w:rPr>
          <w:rFonts w:ascii="Garamond" w:eastAsia="Times New Roman" w:hAnsi="Garamond" w:cs="Times New Roman"/>
          <w:color w:val="000000"/>
          <w:sz w:val="30"/>
          <w:szCs w:val="30"/>
        </w:rPr>
        <w:t>la</w:t>
      </w:r>
      <w:proofErr w:type="gramEnd"/>
      <w:r w:rsidRPr="00D30C15">
        <w:rPr>
          <w:rFonts w:ascii="Garamond" w:eastAsia="Times New Roman" w:hAnsi="Garamond" w:cs="Times New Roman"/>
          <w:color w:val="000000"/>
          <w:sz w:val="30"/>
          <w:szCs w:val="30"/>
        </w:rPr>
        <w:t xml:space="preserve"> tardiva effettuazione, da parte della Regione Calabria, della voltura in favore della ricorrente può rilevare sotto altri profili e ad altri fini (che esulano dal </w:t>
      </w:r>
      <w:r w:rsidRPr="00D30C15">
        <w:rPr>
          <w:rFonts w:ascii="Garamond" w:eastAsia="Times New Roman" w:hAnsi="Garamond" w:cs="Times New Roman"/>
          <w:i/>
          <w:iCs/>
          <w:color w:val="000000"/>
          <w:sz w:val="30"/>
          <w:szCs w:val="30"/>
        </w:rPr>
        <w:t xml:space="preserve">thema </w:t>
      </w:r>
      <w:r w:rsidRPr="00D30C15">
        <w:rPr>
          <w:rFonts w:ascii="Garamond" w:eastAsia="Times New Roman" w:hAnsi="Garamond" w:cs="Times New Roman"/>
          <w:i/>
          <w:iCs/>
          <w:color w:val="000000"/>
          <w:sz w:val="30"/>
          <w:szCs w:val="30"/>
        </w:rPr>
        <w:lastRenderedPageBreak/>
        <w:t>decidendum</w:t>
      </w:r>
      <w:r w:rsidRPr="00D30C15">
        <w:rPr>
          <w:rFonts w:ascii="Garamond" w:eastAsia="Times New Roman" w:hAnsi="Garamond" w:cs="Times New Roman"/>
          <w:color w:val="000000"/>
          <w:sz w:val="30"/>
          <w:szCs w:val="30"/>
        </w:rPr>
        <w:t> del giudizio), ma non incide sull’oggettiva esistenza del disallineamento registrato dal GSE fra il 2013 e il 2021;</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la decurtazione dell’incentivo (in luogo della decadenza, conformemente a quanto stabilito nel “Regolamento per la classificazione delle violazioni e per la definizione delle percentuali di decurtazione applicabili nell’ambito dell’attività di controllo su impianti di produzione di energia elettrica alimentati da fonti rinnovabili in esercizio” pubblicato dal GSE il 22 dicembre 2023) è stata perciò legittimamente applicata, risultando sussistenti i relativi presupposti fattuali;</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 </w:t>
      </w:r>
      <w:proofErr w:type="gramStart"/>
      <w:r w:rsidRPr="00D30C15">
        <w:rPr>
          <w:rFonts w:ascii="Garamond" w:eastAsia="Times New Roman" w:hAnsi="Garamond" w:cs="Times New Roman"/>
          <w:color w:val="000000"/>
          <w:sz w:val="30"/>
          <w:szCs w:val="30"/>
        </w:rPr>
        <w:t>è</w:t>
      </w:r>
      <w:proofErr w:type="gramEnd"/>
      <w:r w:rsidRPr="00D30C15">
        <w:rPr>
          <w:rFonts w:ascii="Garamond" w:eastAsia="Times New Roman" w:hAnsi="Garamond" w:cs="Times New Roman"/>
          <w:color w:val="000000"/>
          <w:sz w:val="30"/>
          <w:szCs w:val="30"/>
        </w:rPr>
        <w:t xml:space="preserve"> invece fondato il motivo che lamenta la prescrizione delle somme erogate oltre il decennio dalla notifica del provvedimento impugnato, poiché il “giorno da cui il diritto può essere fatto valere” - rilevante, ai sensi dell’art. 2935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codice civile, quale </w:t>
      </w:r>
      <w:r w:rsidRPr="00D30C15">
        <w:rPr>
          <w:rFonts w:ascii="Garamond" w:eastAsia="Times New Roman" w:hAnsi="Garamond" w:cs="Times New Roman"/>
          <w:i/>
          <w:iCs/>
          <w:color w:val="000000"/>
          <w:sz w:val="30"/>
          <w:szCs w:val="30"/>
        </w:rPr>
        <w:t>dies a quo</w:t>
      </w:r>
      <w:r w:rsidRPr="00D30C15">
        <w:rPr>
          <w:rFonts w:ascii="Garamond" w:eastAsia="Times New Roman" w:hAnsi="Garamond" w:cs="Times New Roman"/>
          <w:color w:val="000000"/>
          <w:sz w:val="30"/>
          <w:szCs w:val="30"/>
        </w:rPr>
        <w:t> di decorrenza della prescrizione - non può essere posticipato all’esito del procedimento di verifica e controllo, occorrendo distinguere tra l’impossibilità legale di esercitare il diritto (la sola ad essere contemplata dalla predetta disposizione) e l’impossibilità di mero fatto (comprese le difficoltà organizzative del creditore), che invece è irrilevante.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6. Avverso tale decisione ha proposto appello principale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GSE, incentrato sull’assunto secondo cui il primo giudice avrebbe errato a non considerare: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a) </w:t>
      </w:r>
      <w:proofErr w:type="gramStart"/>
      <w:r w:rsidRPr="00D30C15">
        <w:rPr>
          <w:rFonts w:ascii="Garamond" w:eastAsia="Times New Roman" w:hAnsi="Garamond" w:cs="Times New Roman"/>
          <w:color w:val="000000"/>
          <w:sz w:val="30"/>
          <w:szCs w:val="30"/>
        </w:rPr>
        <w:t>che</w:t>
      </w:r>
      <w:proofErr w:type="gramEnd"/>
      <w:r w:rsidRPr="00D30C15">
        <w:rPr>
          <w:rFonts w:ascii="Garamond" w:eastAsia="Times New Roman" w:hAnsi="Garamond" w:cs="Times New Roman"/>
          <w:color w:val="000000"/>
          <w:sz w:val="30"/>
          <w:szCs w:val="30"/>
        </w:rPr>
        <w:t xml:space="preserve"> il termine di prescrizione può decorrere solo a partire dal provvedimento di conclusione dell’attività di verifica e controllo da parte del GSE;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b) </w:t>
      </w:r>
      <w:proofErr w:type="gramStart"/>
      <w:r w:rsidRPr="00D30C15">
        <w:rPr>
          <w:rFonts w:ascii="Garamond" w:eastAsia="Times New Roman" w:hAnsi="Garamond" w:cs="Times New Roman"/>
          <w:color w:val="000000"/>
          <w:sz w:val="30"/>
          <w:szCs w:val="30"/>
        </w:rPr>
        <w:t>che</w:t>
      </w:r>
      <w:proofErr w:type="gramEnd"/>
      <w:r w:rsidRPr="00D30C15">
        <w:rPr>
          <w:rFonts w:ascii="Garamond" w:eastAsia="Times New Roman" w:hAnsi="Garamond" w:cs="Times New Roman"/>
          <w:color w:val="000000"/>
          <w:sz w:val="30"/>
          <w:szCs w:val="30"/>
        </w:rPr>
        <w:t xml:space="preserve"> ricorre ipotesi di dolo del debitore, capace di sospendere il decorso della prescrizione finché il dolo non è stato scoperto;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c) </w:t>
      </w:r>
      <w:proofErr w:type="gramStart"/>
      <w:r w:rsidRPr="00D30C15">
        <w:rPr>
          <w:rFonts w:ascii="Garamond" w:eastAsia="Times New Roman" w:hAnsi="Garamond" w:cs="Times New Roman"/>
          <w:color w:val="000000"/>
          <w:sz w:val="30"/>
          <w:szCs w:val="30"/>
        </w:rPr>
        <w:t>che</w:t>
      </w:r>
      <w:proofErr w:type="gramEnd"/>
      <w:r w:rsidRPr="00D30C15">
        <w:rPr>
          <w:rFonts w:ascii="Garamond" w:eastAsia="Times New Roman" w:hAnsi="Garamond" w:cs="Times New Roman"/>
          <w:color w:val="000000"/>
          <w:sz w:val="30"/>
          <w:szCs w:val="30"/>
        </w:rPr>
        <w:t xml:space="preserve"> il credito per cui il GSE procede al recupero rientra tra quelli indisponibili per cui non opera la previsione di cui all’art. 2934, comma 2, c.c</w:t>
      </w:r>
      <w:proofErr w:type="gramStart"/>
      <w:r w:rsidRPr="00D30C15">
        <w:rPr>
          <w:rFonts w:ascii="Garamond" w:eastAsia="Times New Roman" w:hAnsi="Garamond" w:cs="Times New Roman"/>
          <w:color w:val="000000"/>
          <w:sz w:val="30"/>
          <w:szCs w:val="30"/>
        </w:rPr>
        <w:t>..</w:t>
      </w:r>
      <w:proofErr w:type="gramEnd"/>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lastRenderedPageBreak/>
        <w:t>Sulla base di tali assunti, ha articolato i seguenti motivi di censura:</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6.1. SULLA ERRONEITÀ DELLA SENTENZA GRAVATA LADDOVE RITIENE INTERVENUTA LA PRESCRIZIONE DECENNALE PER LE SOMME EROGATE IN DATA ANTECEDENTE AL 17.12.2014. CONTRADDITTORIETÀ E CARENZA DI MOTIVAZIONE.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proofErr w:type="gramStart"/>
      <w:r w:rsidRPr="00D30C15">
        <w:rPr>
          <w:rFonts w:ascii="Garamond" w:eastAsia="Times New Roman" w:hAnsi="Garamond" w:cs="Times New Roman"/>
          <w:color w:val="000000"/>
          <w:sz w:val="30"/>
          <w:szCs w:val="30"/>
        </w:rPr>
        <w:t>6.2. SULLA ERRONEITÀ DELLA SENTENZA GRAVATA LADDOVE RITIENE NON SUSSISTENTE IL DOLO DEL DEBITORE EX ART.</w:t>
      </w:r>
      <w:proofErr w:type="gramEnd"/>
      <w:r w:rsidRPr="00D30C15">
        <w:rPr>
          <w:rFonts w:ascii="Garamond" w:eastAsia="Times New Roman" w:hAnsi="Garamond" w:cs="Times New Roman"/>
          <w:color w:val="000000"/>
          <w:sz w:val="30"/>
          <w:szCs w:val="30"/>
        </w:rPr>
        <w:t xml:space="preserve"> 2941, N. 8, C.C., NONCHÉ LADDOVE NON HA SCOMPUTATO DAL CALCOLO DEL TERMINE DI PRESCRIZIONE IL TEMPO NECESSARIO AL RILASCIO DELLA VOLTURA, NON DIPENDENTE DALLA VOLONTÀ DEL GSE. CONTRADDITTORIETÀ E CARENZA DI MOTIVAZIONE.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6.3. ERRONEITÀ DELLA SENTENZA LADDOVE NON RITIENE CHE IL CREDITO DEL GSE SIA UN CREDITO/DIRITTO INDISPONIBILE, IN QUANTO TALE NON SOGGETTO AL TERMINE DI PRESCRIZIONE DECENNALE. VIOLAZIONE E FALSA APPLICAZIONE DEGLI ARTT. </w:t>
      </w:r>
      <w:proofErr w:type="gramStart"/>
      <w:r w:rsidRPr="00D30C15">
        <w:rPr>
          <w:rFonts w:ascii="Garamond" w:eastAsia="Times New Roman" w:hAnsi="Garamond" w:cs="Times New Roman"/>
          <w:color w:val="000000"/>
          <w:sz w:val="30"/>
          <w:szCs w:val="30"/>
        </w:rPr>
        <w:t>2934, 2935 E 2946 C.C. ILLOGICITÀ, CONTRADDITTORIETÀ E CARENZA DI MOTIVAZIONE.</w:t>
      </w:r>
      <w:proofErr w:type="gramEnd"/>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7. La società Altomonte ha presentato appello incidentale, affidandolo ai seguenti motivi:</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7.1. ERRONEITÀ DEL CAPO II.2 DELLA SENTENZA APPELLATA CON IL QUALE IL GIUDICE HA RIGETTATO IL PRIMO MOTIVO DI RICORSO RUBRICATO “ECCESSO DI POTERE PER VIOLAZIONE E/O FALSA APPLICAZIONE DEGLI 10 E 10-BIS DELLA LEGGE N. </w:t>
      </w:r>
      <w:r w:rsidRPr="00D30C15">
        <w:rPr>
          <w:rFonts w:ascii="Garamond" w:eastAsia="Times New Roman" w:hAnsi="Garamond" w:cs="Times New Roman"/>
          <w:color w:val="000000"/>
          <w:sz w:val="30"/>
          <w:szCs w:val="30"/>
        </w:rPr>
        <w:lastRenderedPageBreak/>
        <w:t>241/1990 - DIFETTO DI MOTIVAZIONE - DIFETTO DI ISTRUTTORIA - ECCESSO DI POTERE PER TRAVISAMENTO DEI PRESUPPOSTI DI FATTO E DI DIRITTO – VIOLAZIONE DELL’ART. 1, COMMA 2-BIS, DELLA LEGGE 241/1990 – VIOLAZIONE DEL PRINCIPIO GENERALE DI COLLABORAZIONE RICAVABILE DALLA L. N. 241 DEL 1990”.</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7.2. ERRONEITÀ DEI CAPI II.3, </w:t>
      </w:r>
      <w:proofErr w:type="gramStart"/>
      <w:r w:rsidRPr="00D30C15">
        <w:rPr>
          <w:rFonts w:ascii="Garamond" w:eastAsia="Times New Roman" w:hAnsi="Garamond" w:cs="Times New Roman"/>
          <w:color w:val="000000"/>
          <w:sz w:val="30"/>
          <w:szCs w:val="30"/>
        </w:rPr>
        <w:t>II.3.1.,</w:t>
      </w:r>
      <w:proofErr w:type="gramEnd"/>
      <w:r w:rsidRPr="00D30C15">
        <w:rPr>
          <w:rFonts w:ascii="Garamond" w:eastAsia="Times New Roman" w:hAnsi="Garamond" w:cs="Times New Roman"/>
          <w:color w:val="000000"/>
          <w:sz w:val="30"/>
          <w:szCs w:val="30"/>
        </w:rPr>
        <w:t xml:space="preserve"> II.3.2., II.3.2.1., II.3.2.2. </w:t>
      </w:r>
      <w:proofErr w:type="gramStart"/>
      <w:r w:rsidRPr="00D30C15">
        <w:rPr>
          <w:rFonts w:ascii="Garamond" w:eastAsia="Times New Roman" w:hAnsi="Garamond" w:cs="Times New Roman"/>
          <w:color w:val="000000"/>
          <w:sz w:val="30"/>
          <w:szCs w:val="30"/>
        </w:rPr>
        <w:t>II.3.3. DELLA SENTENZA APPELLATA CON IL QUALE IL GIUDICE HA RIGETTATO IL SECONDO MOTIVO DI RICORSO RUBRICATO “VIOLAZIONE E/O FALSA APPLICAZIONE DELL’ART.</w:t>
      </w:r>
      <w:proofErr w:type="gramEnd"/>
      <w:r w:rsidRPr="00D30C15">
        <w:rPr>
          <w:rFonts w:ascii="Garamond" w:eastAsia="Times New Roman" w:hAnsi="Garamond" w:cs="Times New Roman"/>
          <w:color w:val="000000"/>
          <w:sz w:val="30"/>
          <w:szCs w:val="30"/>
        </w:rPr>
        <w:t xml:space="preserve"> </w:t>
      </w:r>
      <w:proofErr w:type="gramStart"/>
      <w:r w:rsidRPr="00D30C15">
        <w:rPr>
          <w:rFonts w:ascii="Garamond" w:eastAsia="Times New Roman" w:hAnsi="Garamond" w:cs="Times New Roman"/>
          <w:color w:val="000000"/>
          <w:sz w:val="30"/>
          <w:szCs w:val="30"/>
        </w:rPr>
        <w:t>2, COMMA 1, LETT.</w:t>
      </w:r>
      <w:proofErr w:type="gramEnd"/>
      <w:r w:rsidRPr="00D30C15">
        <w:rPr>
          <w:rFonts w:ascii="Garamond" w:eastAsia="Times New Roman" w:hAnsi="Garamond" w:cs="Times New Roman"/>
          <w:color w:val="000000"/>
          <w:sz w:val="30"/>
          <w:szCs w:val="30"/>
        </w:rPr>
        <w:t xml:space="preserve"> R) DEL D.M. 5 LUGLIO 2012 – VIOLAZIONE E/O FALSA APPLICAZIONE DELL’ALLEGATO 2 AL “REGOLAMENTO PER LA CLASSIFICAZIONE DELLE VIOLAZIONI E PER LA DEFINIZIONE DELLE PERCENTUALI DI DECURTAZIONE APPLICABILI NELL’AMBITO DELL’ATTIVITÀ DI CONTROLLO SU IMPIANTI DI PRODUZIONE DI ENERGIA ELETTRICA ALIMENTATI DA FONTI RINNOVABILI IN ESERCIZIO” – VIOLAZIONE E/O FALSA APPLICAZIONE DELL’ART. 2504 BIS DEL CODICE CIVILE” CON RIFERIMENTO AI SUB MOTIVI IDENTIFICATI CON LE LETTERE A), B) E C).</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8. Nel corso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giudizio: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 con memoria difensiva del 24.4.2026 la soc. Altomonte ha contrastato l’appello principale, con particolare riguardo alla configurabilità della prescrizione e all’insussistenza di alcun dolo (la società dopo avere richiesto, alla Regione </w:t>
      </w:r>
      <w:r w:rsidRPr="00D30C15">
        <w:rPr>
          <w:rFonts w:ascii="Garamond" w:eastAsia="Times New Roman" w:hAnsi="Garamond" w:cs="Times New Roman"/>
          <w:color w:val="000000"/>
          <w:sz w:val="30"/>
          <w:szCs w:val="30"/>
        </w:rPr>
        <w:lastRenderedPageBreak/>
        <w:t>Calabria, la voltura dell’A.U., ha successivamente chiesto al GSE, con nota del 13 maggio 2014, il trasferimento in proprio favore della titolarità della Convenzione per l’erogazione della tariffa incentivante, allegando l’atto di fusione, e non anche la voltura dell’A.U.;</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 con memoria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24.4.2026 il GSE ha insistito sul proprio appello principale e contrastato quello incidentale;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 con memorie di replica, rispettivamente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4 e 5 aprile 2026, Altomonte e GSE hanno ulteriormente contrastato le avverse deduzioni.</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9. Sulle difese e conclusioni in atti, la controversia è stata trattenuta in decisione all’esito dell’udienza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26 maggio 2026.</w:t>
      </w:r>
    </w:p>
    <w:p w:rsidR="00D30C15" w:rsidRPr="00D30C15" w:rsidRDefault="00D30C15" w:rsidP="00D30C15">
      <w:pPr>
        <w:spacing w:after="0" w:line="540" w:lineRule="atLeast"/>
        <w:jc w:val="center"/>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DIRITTO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proofErr w:type="gramStart"/>
      <w:r w:rsidRPr="00D30C15">
        <w:rPr>
          <w:rFonts w:ascii="Garamond" w:eastAsia="Times New Roman" w:hAnsi="Garamond" w:cs="Times New Roman"/>
          <w:color w:val="000000"/>
          <w:sz w:val="30"/>
          <w:szCs w:val="30"/>
        </w:rPr>
        <w:t>10. Sia l’appello principale che quello incidentale sono infondati.</w:t>
      </w:r>
      <w:proofErr w:type="gramEnd"/>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11. Prendendo le mosse dal gravame principale, i cui motivi possono essere trattati congiuntamente,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Collegio condivide e richiama il consolidato orientamento della Sezione (si veda, di recente, la sentenza n. 828 del 3.2.2025) secondo il quale il «</w:t>
      </w:r>
      <w:r w:rsidRPr="00D30C15">
        <w:rPr>
          <w:rFonts w:ascii="Garamond" w:eastAsia="Times New Roman" w:hAnsi="Garamond" w:cs="Times New Roman"/>
          <w:i/>
          <w:iCs/>
          <w:color w:val="000000"/>
          <w:sz w:val="30"/>
          <w:szCs w:val="30"/>
        </w:rPr>
        <w:t>giorno da cui il diritto può essere fatto valere</w:t>
      </w:r>
      <w:r w:rsidRPr="00D30C15">
        <w:rPr>
          <w:rFonts w:ascii="Garamond" w:eastAsia="Times New Roman" w:hAnsi="Garamond" w:cs="Times New Roman"/>
          <w:color w:val="000000"/>
          <w:sz w:val="30"/>
          <w:szCs w:val="30"/>
        </w:rPr>
        <w:t xml:space="preserve">» - rilevante, ai sensi dell’art. 2935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codice civile, quale </w:t>
      </w:r>
      <w:r w:rsidRPr="00D30C15">
        <w:rPr>
          <w:rFonts w:ascii="Garamond" w:eastAsia="Times New Roman" w:hAnsi="Garamond" w:cs="Times New Roman"/>
          <w:i/>
          <w:iCs/>
          <w:color w:val="000000"/>
          <w:sz w:val="30"/>
          <w:szCs w:val="30"/>
        </w:rPr>
        <w:t>dies a quo </w:t>
      </w:r>
      <w:r w:rsidRPr="00D30C15">
        <w:rPr>
          <w:rFonts w:ascii="Garamond" w:eastAsia="Times New Roman" w:hAnsi="Garamond" w:cs="Times New Roman"/>
          <w:color w:val="000000"/>
          <w:sz w:val="30"/>
          <w:szCs w:val="30"/>
        </w:rPr>
        <w:t>di decorrenza della prescrizione - non può essere posticipato all’esito del procedimento di verifica e controllo.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In proposito </w:t>
      </w:r>
      <w:proofErr w:type="gramStart"/>
      <w:r w:rsidRPr="00D30C15">
        <w:rPr>
          <w:rFonts w:ascii="Garamond" w:eastAsia="Times New Roman" w:hAnsi="Garamond" w:cs="Times New Roman"/>
          <w:color w:val="000000"/>
          <w:sz w:val="30"/>
          <w:szCs w:val="30"/>
        </w:rPr>
        <w:t>va</w:t>
      </w:r>
      <w:proofErr w:type="gramEnd"/>
      <w:r w:rsidRPr="00D30C15">
        <w:rPr>
          <w:rFonts w:ascii="Garamond" w:eastAsia="Times New Roman" w:hAnsi="Garamond" w:cs="Times New Roman"/>
          <w:color w:val="000000"/>
          <w:sz w:val="30"/>
          <w:szCs w:val="30"/>
        </w:rPr>
        <w:t xml:space="preserve"> premesso che, ai sensi dell’art. 2934, comma 1, c.c., ogni diritto si estingue per prescrizione quando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titolare non lo esercita per il tempo determinato dalla legge e che le uniche esenzioni previste concernono, per espressa previsione legislativa, i diritti indisponibili e gli altri diritti indicati dalla legge (art. 2934, comma 2, c.c.).</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lastRenderedPageBreak/>
        <w:t xml:space="preserve">Ciò posto, la natura pubblica </w:t>
      </w:r>
      <w:proofErr w:type="gramStart"/>
      <w:r w:rsidRPr="00D30C15">
        <w:rPr>
          <w:rFonts w:ascii="Garamond" w:eastAsia="Times New Roman" w:hAnsi="Garamond" w:cs="Times New Roman"/>
          <w:color w:val="000000"/>
          <w:sz w:val="30"/>
          <w:szCs w:val="30"/>
        </w:rPr>
        <w:t>della</w:t>
      </w:r>
      <w:proofErr w:type="gramEnd"/>
      <w:r w:rsidRPr="00D30C15">
        <w:rPr>
          <w:rFonts w:ascii="Garamond" w:eastAsia="Times New Roman" w:hAnsi="Garamond" w:cs="Times New Roman"/>
          <w:color w:val="000000"/>
          <w:sz w:val="30"/>
          <w:szCs w:val="30"/>
        </w:rPr>
        <w:t xml:space="preserve"> funzione riguardante la regolazione e la regolamentazione del mercato interno dell’energia e del suo sistema di incentivazione e dei relativi controlli non integra un’espressa deroga legislativa e non vale a mutare la natura del diritto, che, invero, rimane pur sempre di credito e avente ad oggetto una prestazione patrimoniale (cfr. Consiglio di Stato, sezione IV, sentenza 24 ottobre 2018, n. 6060).</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Ai fini poi </w:t>
      </w:r>
      <w:proofErr w:type="gramStart"/>
      <w:r w:rsidRPr="00D30C15">
        <w:rPr>
          <w:rFonts w:ascii="Garamond" w:eastAsia="Times New Roman" w:hAnsi="Garamond" w:cs="Times New Roman"/>
          <w:color w:val="000000"/>
          <w:sz w:val="30"/>
          <w:szCs w:val="30"/>
        </w:rPr>
        <w:t>della</w:t>
      </w:r>
      <w:proofErr w:type="gramEnd"/>
      <w:r w:rsidRPr="00D30C15">
        <w:rPr>
          <w:rFonts w:ascii="Garamond" w:eastAsia="Times New Roman" w:hAnsi="Garamond" w:cs="Times New Roman"/>
          <w:color w:val="000000"/>
          <w:sz w:val="30"/>
          <w:szCs w:val="30"/>
        </w:rPr>
        <w:t xml:space="preserve"> valutazione del predetto requisito di cui all’art. 2935 c.c. (che il GSE ritiene integrato dal solo momento in cui l’Amministrazione acquisisce contezza del difetto di “</w:t>
      </w:r>
      <w:r w:rsidRPr="00D30C15">
        <w:rPr>
          <w:rFonts w:ascii="Garamond" w:eastAsia="Times New Roman" w:hAnsi="Garamond" w:cs="Times New Roman"/>
          <w:i/>
          <w:iCs/>
          <w:color w:val="000000"/>
          <w:sz w:val="30"/>
          <w:szCs w:val="30"/>
        </w:rPr>
        <w:t>causa solvendi</w:t>
      </w:r>
      <w:r w:rsidRPr="00D30C15">
        <w:rPr>
          <w:rFonts w:ascii="Garamond" w:eastAsia="Times New Roman" w:hAnsi="Garamond" w:cs="Times New Roman"/>
          <w:color w:val="000000"/>
          <w:sz w:val="30"/>
          <w:szCs w:val="30"/>
        </w:rPr>
        <w:t xml:space="preserve">”, richiamando al riguardo giurisprudenza a preteso supporto, quale Cons. Stato, sez. VI, n. 266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13.1.2026 e sez. VI, n. 539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23.1.2026), ritiene il Collegio che al riguardo sia imprescindibile la distinzione tra l’impossibilità legale di esercitare il diritto (la sola ad essere contemplata dalla predetta disposizione) e l’impossibilità di mero fatto (comprese le difficoltà organizzative del creditore), che è irrilevante.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L’impossibilità di far valere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diritto, a cui l’art. 2935 c.c., attribuisce l’idoneità di impedire la decorrenza della prescrizione, è, infatti, soltanto quella che deriva da cause giuridiche che ostacolano l’esercizio del diritto (cfr., </w:t>
      </w:r>
      <w:r w:rsidRPr="00D30C15">
        <w:rPr>
          <w:rFonts w:ascii="Garamond" w:eastAsia="Times New Roman" w:hAnsi="Garamond" w:cs="Times New Roman"/>
          <w:i/>
          <w:iCs/>
          <w:color w:val="000000"/>
          <w:sz w:val="30"/>
          <w:szCs w:val="30"/>
        </w:rPr>
        <w:t>ex aliis</w:t>
      </w:r>
      <w:r w:rsidRPr="00D30C15">
        <w:rPr>
          <w:rFonts w:ascii="Garamond" w:eastAsia="Times New Roman" w:hAnsi="Garamond" w:cs="Times New Roman"/>
          <w:color w:val="000000"/>
          <w:sz w:val="30"/>
          <w:szCs w:val="30"/>
        </w:rPr>
        <w:t>, Corte di cassazione, sezione III civile, ordinanze 21 aprile 2023, n. 10786 e 19 luglio 2018, n. 19193), non rilevando, tra l’altro, «</w:t>
      </w:r>
      <w:r w:rsidRPr="00D30C15">
        <w:rPr>
          <w:rFonts w:ascii="Garamond" w:eastAsia="Times New Roman" w:hAnsi="Garamond" w:cs="Times New Roman"/>
          <w:i/>
          <w:iCs/>
          <w:color w:val="000000"/>
          <w:sz w:val="30"/>
          <w:szCs w:val="30"/>
        </w:rPr>
        <w:t>l’ignoranza, da parte del titolare, del fatto generatore del suo diritto, né il dubbio soggettivo sulla esistenza di tale diritto ed il ritardo indotto dalla necessità del suo accertamento</w:t>
      </w:r>
      <w:r w:rsidRPr="00D30C15">
        <w:rPr>
          <w:rFonts w:ascii="Garamond" w:eastAsia="Times New Roman" w:hAnsi="Garamond" w:cs="Times New Roman"/>
          <w:color w:val="000000"/>
          <w:sz w:val="30"/>
          <w:szCs w:val="30"/>
        </w:rPr>
        <w:t>» (Corte di cassazione, sezione lavoro, sentenza 26 maggio 2015, n. 10828; negli stessi termini Corte di cassazione, sezione III civile, sentenza 26 ottobre 2014, n. 21026 e sezione VI civile, ordinanza 7 marzo 2012, n. 3584).</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lastRenderedPageBreak/>
        <w:t>Va peraltro evidenziato che il potere di verifica e controllo è esercitabile dal Gestore immediatamente dopo l’ammissione agli incentivi, sicché la scelta dell’</w:t>
      </w:r>
      <w:r w:rsidRPr="00D30C15">
        <w:rPr>
          <w:rFonts w:ascii="Garamond" w:eastAsia="Times New Roman" w:hAnsi="Garamond" w:cs="Times New Roman"/>
          <w:i/>
          <w:iCs/>
          <w:color w:val="000000"/>
          <w:sz w:val="30"/>
          <w:szCs w:val="30"/>
        </w:rPr>
        <w:t>an</w:t>
      </w:r>
      <w:r w:rsidRPr="00D30C15">
        <w:rPr>
          <w:rFonts w:ascii="Garamond" w:eastAsia="Times New Roman" w:hAnsi="Garamond" w:cs="Times New Roman"/>
          <w:color w:val="000000"/>
          <w:sz w:val="30"/>
          <w:szCs w:val="30"/>
        </w:rPr>
        <w:t> e del quando attivare il relativo procedimento non è idonea a spostare in avanti il </w:t>
      </w:r>
      <w:r w:rsidRPr="00D30C15">
        <w:rPr>
          <w:rFonts w:ascii="Garamond" w:eastAsia="Times New Roman" w:hAnsi="Garamond" w:cs="Times New Roman"/>
          <w:i/>
          <w:iCs/>
          <w:color w:val="000000"/>
          <w:sz w:val="30"/>
          <w:szCs w:val="30"/>
        </w:rPr>
        <w:t>dies a quo</w:t>
      </w:r>
      <w:r w:rsidRPr="00D30C15">
        <w:rPr>
          <w:rFonts w:ascii="Garamond" w:eastAsia="Times New Roman" w:hAnsi="Garamond" w:cs="Times New Roman"/>
          <w:color w:val="000000"/>
          <w:sz w:val="30"/>
          <w:szCs w:val="30"/>
        </w:rPr>
        <w:t xml:space="preserve"> della prescrizione, pena un’indebita mobilità del termine di decorrenza della prescrizione rimesso alla discrezionalità del creditore, laddove la disciplina legislativa in materia di prescrizione è inderogabile ai sensi dell’art. </w:t>
      </w:r>
      <w:proofErr w:type="gramStart"/>
      <w:r w:rsidRPr="00D30C15">
        <w:rPr>
          <w:rFonts w:ascii="Garamond" w:eastAsia="Times New Roman" w:hAnsi="Garamond" w:cs="Times New Roman"/>
          <w:color w:val="000000"/>
          <w:sz w:val="30"/>
          <w:szCs w:val="30"/>
        </w:rPr>
        <w:t>2936 c.c., essendo diretta alla tutela di esigenze di carattere pubblicistico.</w:t>
      </w:r>
      <w:proofErr w:type="gramEnd"/>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11.1. In tale contesto, l’unica eccezione, prevista dall’art. 2941, n. 8), c.c., è rappresentata dal “dolo”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debitore che comporta la sospensione del decorso del termine prescrizionale finché il dolo non venga scoperto e che tuttavia non è configurabile nella fattispecie in esame.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Dolo da intendere nel senso di intenzionale occultamento di circostanze rilevanti, caratterizzato da volontà decipiente, diretta cioè a ingenerare errore o confusione nel creditore (</w:t>
      </w:r>
      <w:proofErr w:type="gramStart"/>
      <w:r w:rsidRPr="00D30C15">
        <w:rPr>
          <w:rFonts w:ascii="Garamond" w:eastAsia="Times New Roman" w:hAnsi="Garamond" w:cs="Times New Roman"/>
          <w:color w:val="000000"/>
          <w:sz w:val="30"/>
          <w:szCs w:val="30"/>
        </w:rPr>
        <w:t>cfr.,</w:t>
      </w:r>
      <w:proofErr w:type="gramEnd"/>
      <w:r w:rsidRPr="00D30C15">
        <w:rPr>
          <w:rFonts w:ascii="Garamond" w:eastAsia="Times New Roman" w:hAnsi="Garamond" w:cs="Times New Roman"/>
          <w:color w:val="000000"/>
          <w:sz w:val="30"/>
          <w:szCs w:val="30"/>
        </w:rPr>
        <w:t xml:space="preserve"> tra le tante, Cass., sezione seconda civile, n. 19240 del 20/08/2013).</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Al proposito, deve rilevarsi che lo stesso GSE non “colora” la propria deduzione al riguardo di indici sintomatici </w:t>
      </w:r>
      <w:proofErr w:type="gramStart"/>
      <w:r w:rsidRPr="00D30C15">
        <w:rPr>
          <w:rFonts w:ascii="Garamond" w:eastAsia="Times New Roman" w:hAnsi="Garamond" w:cs="Times New Roman"/>
          <w:color w:val="000000"/>
          <w:sz w:val="30"/>
          <w:szCs w:val="30"/>
        </w:rPr>
        <w:t>della</w:t>
      </w:r>
      <w:proofErr w:type="gramEnd"/>
      <w:r w:rsidRPr="00D30C15">
        <w:rPr>
          <w:rFonts w:ascii="Garamond" w:eastAsia="Times New Roman" w:hAnsi="Garamond" w:cs="Times New Roman"/>
          <w:color w:val="000000"/>
          <w:sz w:val="30"/>
          <w:szCs w:val="30"/>
        </w:rPr>
        <w:t xml:space="preserve"> ricorrenza di tale preteso dolo, limitandosi ad affermare la ricorrenza di negligenze, ritardi o distrazioni di Altomonte nel seguire o sollecitare la pratica di voltura dell’A.U. giacente presso la Regione Calabria.</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Né dagli atti di causa emerge che quest’ultima società abbia dolosamente occultato al Gestore informazioni rilevanti, o commesso altre condotte capaci di ingannare in qualche modo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GSE.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lastRenderedPageBreak/>
        <w:t xml:space="preserve">Anzi, risulta che, poco dopo l’avvenuta fusione per incorporazione del 1.08.2013, Altomonte abbia trasmesso al GSE la voltura nei contratti di utenze e la documentazione necessaria per attuare la modifica della convenzione; invero Altomonte, dopo aver richiesto alla Regione Calabria (cfr. nota inserita a sistema in data 18 dicembre 2013) la voltura dell’A.U., ha successivamente chiesto al GSE (con nota del 13 maggio 2014) il trasferimento, in proprio favore, della titolarità della Convenzione per l’erogazione della tariffa incentivante, allegando l’atto di fusione, e non anche, ovviamente, la voltura dell’A.U. (per la semplice ragione che tale adempimento non era stato ancora effettuato da parte dell’ente regionale). Non può dunque fondatamente sostenersi che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GSE non sia stato messo a conoscenza dell’intervenuto mutamento soggettivo nella gestione dell’impianto di specie, o che sia stato fatto alcunché per occultare circostanze rilevanti al fine dell’attivazione dei controlli.</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In sostanza, a partire dalla comunicazione del 13 maggio 2014, GSE era in grado di attivarsi per le eventuali verifiche circa la regolare corresponsione degli incentivi di specie, come pure di porre in essere le opportune iniziative sollecitatorie rispetto alla produzione, da parte di Altomonte, della documentazione relativa alla pratica di voltura dell’A.U..</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11.2. In definitiva, le esposte ragioni comportano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rigetto dell’appello principale e risultano assorbenti rispetto ad ogni argomento addotto dal Gestore.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12. Quanto all’appello incidentale, non può condividersi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primo motivo di censura, che ripropone le questioni relative alla mancata analitica disamina, nel provvedimento finale per cui è causa, delle osservazioni formulate dalla parte in sede procedimentale. Invero, come chiarito dalla consolidata giurisprudenza </w:t>
      </w:r>
      <w:r w:rsidRPr="00D30C15">
        <w:rPr>
          <w:rFonts w:ascii="Garamond" w:eastAsia="Times New Roman" w:hAnsi="Garamond" w:cs="Times New Roman"/>
          <w:color w:val="000000"/>
          <w:sz w:val="30"/>
          <w:szCs w:val="30"/>
        </w:rPr>
        <w:lastRenderedPageBreak/>
        <w:t>amministrativa, l’onere dell’Amministrazione di valutare le osservazioni, purché pertinenti, svolte dal privato coinvolto nel procedimento, non impone nel provvedimento finale la puntuale ed analitica confutazione delle singole argomentazioni, essendo decisiva la circostanza che dal provvedimento ne emerga la sostanziale considerazione, cosa che nella specie sussiste, atteso che il provvedimento impugnato reca l’analitica indicazione delle violazioni riscontrate ed emergenti dai documenti prodotti dalla società Altomonte.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13. Neppure coglie nel segno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secondo mezzo di censura dell’appellante incidentale, laddove ripropone sostanzialmente il secondo motivo di ricorso in primo grado. Ad avviso di Altomonte, nessun disallineamento sostanziale e rilevante si sarebbe nella specie verificato, atteso che, in seguito alla fusione per incorporazione </w:t>
      </w:r>
      <w:proofErr w:type="gramStart"/>
      <w:r w:rsidRPr="00D30C15">
        <w:rPr>
          <w:rFonts w:ascii="Garamond" w:eastAsia="Times New Roman" w:hAnsi="Garamond" w:cs="Times New Roman"/>
          <w:color w:val="000000"/>
          <w:sz w:val="30"/>
          <w:szCs w:val="30"/>
        </w:rPr>
        <w:t>della</w:t>
      </w:r>
      <w:proofErr w:type="gramEnd"/>
      <w:r w:rsidRPr="00D30C15">
        <w:rPr>
          <w:rFonts w:ascii="Garamond" w:eastAsia="Times New Roman" w:hAnsi="Garamond" w:cs="Times New Roman"/>
          <w:color w:val="000000"/>
          <w:sz w:val="30"/>
          <w:szCs w:val="30"/>
        </w:rPr>
        <w:t xml:space="preserve"> Sorgente Solaria Calabria s.r.l. nella società Altomonte FV s.r.l., sotto il profilo della titolarità dell’Autorizzazione Unica nessuna modificazione soggettiva potrebbe in concreto ravvisarsi; invero, ai sensi dell’art. 2504bis c.c., “</w:t>
      </w:r>
      <w:r w:rsidRPr="00D30C15">
        <w:rPr>
          <w:rFonts w:ascii="Garamond" w:eastAsia="Times New Roman" w:hAnsi="Garamond" w:cs="Times New Roman"/>
          <w:i/>
          <w:iCs/>
          <w:color w:val="000000"/>
          <w:sz w:val="30"/>
          <w:szCs w:val="30"/>
        </w:rPr>
        <w:t>la società che risulta dalla fusione o quella incorporante assumono i diritti e gli obblighi delle società partecipanti alla fusione, proseguendo in tutti i loro rapporti, anche processuali, anteriori alla fusione</w:t>
      </w:r>
      <w:r w:rsidRPr="00D30C15">
        <w:rPr>
          <w:rFonts w:ascii="Garamond" w:eastAsia="Times New Roman" w:hAnsi="Garamond" w:cs="Times New Roman"/>
          <w:color w:val="000000"/>
          <w:sz w:val="30"/>
          <w:szCs w:val="30"/>
        </w:rPr>
        <w:t>”; e la fusione per incorporazione determina automaticamente il subingresso per successione universale della società incorporante in tutti i rapporti sostanziali relativi alla società incorporata, ivi compresi i titoli autorizzativi facenti capo ad essa.</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13.1. Al riguardo il primo giudice ha correttamente aderito, ad avviso del Collegio, alla ricostruzione operata dalle Sezioni Unite civili della Corte di cassazione dell’istituto civilistico della fusione per incorporazione (cfr., sentenza 30 luglio 2021, n. 21970), valorizzandone la natura non meramente modificativa </w:t>
      </w:r>
      <w:r w:rsidRPr="00D30C15">
        <w:rPr>
          <w:rFonts w:ascii="Garamond" w:eastAsia="Times New Roman" w:hAnsi="Garamond" w:cs="Times New Roman"/>
          <w:color w:val="000000"/>
          <w:sz w:val="30"/>
          <w:szCs w:val="30"/>
        </w:rPr>
        <w:lastRenderedPageBreak/>
        <w:t xml:space="preserve">del fenomeno fusorio, del quale invece è stata ribadita ed evidenziata l’efficacia estintiva (quanto alla società incorporata) e successoria (quanto alla società incorporante). Invero, secondo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citato arresto della Corte di legittimità, in caso di fusione, «</w:t>
      </w:r>
      <w:r w:rsidRPr="00D30C15">
        <w:rPr>
          <w:rFonts w:ascii="Garamond" w:eastAsia="Times New Roman" w:hAnsi="Garamond" w:cs="Times New Roman"/>
          <w:i/>
          <w:iCs/>
          <w:color w:val="000000"/>
          <w:sz w:val="30"/>
          <w:szCs w:val="30"/>
        </w:rPr>
        <w:t xml:space="preserve">Non si prospetta una mera vicenda modificativa, ricorrendo invece una vera e propria dissoluzione o estinzione giuridica, contestuale ad un fenomeno successorio. La fusione realizza una successione a titolo universale corrispondente alla successione mortis causa e produce gli effetti, tra loro interdipendenti, dell'estinzione della società incorporata e della contestuale sostituzione a questa, nella titolarità dei rapporti giuridici attivi e passivi, anche processuali, della società incorporante, che rappresenta il nuovo centro di imputazione e di legittimazione dei rapporti giuridici già riguardanti i soggetti incorporati. La successione universale, come vicenda giuridica, ben si attaglia invero anche a quella </w:t>
      </w:r>
      <w:proofErr w:type="gramStart"/>
      <w:r w:rsidRPr="00D30C15">
        <w:rPr>
          <w:rFonts w:ascii="Garamond" w:eastAsia="Times New Roman" w:hAnsi="Garamond" w:cs="Times New Roman"/>
          <w:i/>
          <w:iCs/>
          <w:color w:val="000000"/>
          <w:sz w:val="30"/>
          <w:szCs w:val="30"/>
        </w:rPr>
        <w:t>fra</w:t>
      </w:r>
      <w:proofErr w:type="gramEnd"/>
      <w:r w:rsidRPr="00D30C15">
        <w:rPr>
          <w:rFonts w:ascii="Garamond" w:eastAsia="Times New Roman" w:hAnsi="Garamond" w:cs="Times New Roman"/>
          <w:i/>
          <w:iCs/>
          <w:color w:val="000000"/>
          <w:sz w:val="30"/>
          <w:szCs w:val="30"/>
        </w:rPr>
        <w:t xml:space="preserve"> enti, avente ad oggetto un patrimonio unitariamente considerato e non soltanto elementi che lo compongono. La fusione non è, in sé, operazione che mira a concludere tutti i rapporti sociali (come la liquidazione), né unicamente a trasferirli ad altro soggetto con permanenza in vita del disponente (come il conferimento in società, la cessione dei crediti o dei debiti, la cessione di azienda, etc.), quanto a darvi prosecuzione, mediante il diverso assetto organizzativo: ma ciò non può essere sminuito ed artificiosamente ridotto ad una vicenda modificativa senza successione in senso proprio in quei rapporti. Riorganizzazione e concentrazione, da </w:t>
      </w:r>
      <w:proofErr w:type="gramStart"/>
      <w:r w:rsidRPr="00D30C15">
        <w:rPr>
          <w:rFonts w:ascii="Garamond" w:eastAsia="Times New Roman" w:hAnsi="Garamond" w:cs="Times New Roman"/>
          <w:i/>
          <w:iCs/>
          <w:color w:val="000000"/>
          <w:sz w:val="30"/>
          <w:szCs w:val="30"/>
        </w:rPr>
        <w:t>un lato, ed</w:t>
      </w:r>
      <w:proofErr w:type="gramEnd"/>
      <w:r w:rsidRPr="00D30C15">
        <w:rPr>
          <w:rFonts w:ascii="Garamond" w:eastAsia="Times New Roman" w:hAnsi="Garamond" w:cs="Times New Roman"/>
          <w:i/>
          <w:iCs/>
          <w:color w:val="000000"/>
          <w:sz w:val="30"/>
          <w:szCs w:val="30"/>
        </w:rPr>
        <w:t xml:space="preserve"> estinzione e successione, dall'altro lato, non sono concetti incompatibili ed antitetici. </w:t>
      </w:r>
      <w:proofErr w:type="gramStart"/>
      <w:r w:rsidRPr="00D30C15">
        <w:rPr>
          <w:rFonts w:ascii="Garamond" w:eastAsia="Times New Roman" w:hAnsi="Garamond" w:cs="Times New Roman"/>
          <w:i/>
          <w:iCs/>
          <w:color w:val="000000"/>
          <w:sz w:val="30"/>
          <w:szCs w:val="30"/>
        </w:rPr>
        <w:t>In sostanza, si verificano entrambi gli effetti, l'estinzione e la successione, senza distinzione sul piano cronologico, derivando entrambe dall'ultima delle iscrizioni previste dall'art.</w:t>
      </w:r>
      <w:proofErr w:type="gramEnd"/>
      <w:r w:rsidRPr="00D30C15">
        <w:rPr>
          <w:rFonts w:ascii="Garamond" w:eastAsia="Times New Roman" w:hAnsi="Garamond" w:cs="Times New Roman"/>
          <w:i/>
          <w:iCs/>
          <w:color w:val="000000"/>
          <w:sz w:val="30"/>
          <w:szCs w:val="30"/>
        </w:rPr>
        <w:t xml:space="preserve"> 2504 c.c. (salva la possibilità di stabilire una data diversa ex art. 2504-bis c.c., commi 2 e 3</w:t>
      </w:r>
      <w:proofErr w:type="gramStart"/>
      <w:r w:rsidRPr="00D30C15">
        <w:rPr>
          <w:rFonts w:ascii="Garamond" w:eastAsia="Times New Roman" w:hAnsi="Garamond" w:cs="Times New Roman"/>
          <w:i/>
          <w:iCs/>
          <w:color w:val="000000"/>
          <w:sz w:val="30"/>
          <w:szCs w:val="30"/>
        </w:rPr>
        <w:t>)</w:t>
      </w:r>
      <w:r w:rsidRPr="00D30C15">
        <w:rPr>
          <w:rFonts w:ascii="Garamond" w:eastAsia="Times New Roman" w:hAnsi="Garamond" w:cs="Times New Roman"/>
          <w:color w:val="000000"/>
          <w:sz w:val="30"/>
          <w:szCs w:val="30"/>
        </w:rPr>
        <w:t>»</w:t>
      </w:r>
      <w:proofErr w:type="gramEnd"/>
      <w:r w:rsidRPr="00D30C15">
        <w:rPr>
          <w:rFonts w:ascii="Garamond" w:eastAsia="Times New Roman" w:hAnsi="Garamond" w:cs="Times New Roman"/>
          <w:color w:val="000000"/>
          <w:sz w:val="30"/>
          <w:szCs w:val="30"/>
        </w:rPr>
        <w:t>.</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Se dunque la fusione comporta necessariamente la ricorrenza di plurimi aspetti quali la “…riorganizzazione e concentrazione, da un lato, ed estinzione e </w:t>
      </w:r>
      <w:r w:rsidRPr="00D30C15">
        <w:rPr>
          <w:rFonts w:ascii="Garamond" w:eastAsia="Times New Roman" w:hAnsi="Garamond" w:cs="Times New Roman"/>
          <w:color w:val="000000"/>
          <w:sz w:val="30"/>
          <w:szCs w:val="30"/>
        </w:rPr>
        <w:lastRenderedPageBreak/>
        <w:t>successione,</w:t>
      </w:r>
      <w:r w:rsidRPr="00D30C15">
        <w:rPr>
          <w:rFonts w:ascii="Garamond" w:eastAsia="Times New Roman" w:hAnsi="Garamond" w:cs="Times New Roman"/>
          <w:i/>
          <w:iCs/>
          <w:color w:val="000000"/>
          <w:sz w:val="30"/>
          <w:szCs w:val="30"/>
        </w:rPr>
        <w:t> </w:t>
      </w:r>
      <w:r w:rsidRPr="00D30C15">
        <w:rPr>
          <w:rFonts w:ascii="Garamond" w:eastAsia="Times New Roman" w:hAnsi="Garamond" w:cs="Times New Roman"/>
          <w:color w:val="000000"/>
          <w:sz w:val="30"/>
          <w:szCs w:val="30"/>
        </w:rPr>
        <w:t>dall'altro</w:t>
      </w:r>
      <w:r w:rsidRPr="00D30C15">
        <w:rPr>
          <w:rFonts w:ascii="Garamond" w:eastAsia="Times New Roman" w:hAnsi="Garamond" w:cs="Times New Roman"/>
          <w:i/>
          <w:iCs/>
          <w:color w:val="000000"/>
          <w:sz w:val="30"/>
          <w:szCs w:val="30"/>
        </w:rPr>
        <w:t>…”, </w:t>
      </w:r>
      <w:r w:rsidRPr="00D30C15">
        <w:rPr>
          <w:rFonts w:ascii="Garamond" w:eastAsia="Times New Roman" w:hAnsi="Garamond" w:cs="Times New Roman"/>
          <w:color w:val="000000"/>
          <w:sz w:val="30"/>
          <w:szCs w:val="30"/>
        </w:rPr>
        <w:t>legittima appare la ricostruzione operata dal GSE nella vicenda, laddove ha considerato l’elemento della voltura dell’autorizzazione unica, in capo alla società Altomonte, come elemento indispensabile per la corretta attribuzione degli incentivi e non costituente un effetto automatico della fusione per incorporazione; invero, per la voltura in questione era necessaria la verifica, da parte dall’Amministrazione regionale, dei requisiti per l’emanazione del relativo decreto di voltura in capo alla società subentrante; solo all’esito positivo del riscontro, l’A.U. poteva dirsi validamente effettuata ed efficace in capo alla società Altomonte.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13.2. Ciò posto, ritiene il Collegio di non doversi discostare, anche nella vicenda in esame, dal consolidato orientamento giurisprudenziale, secondo cui le norme che disciplinano l’accesso agli incentivi non consentono il disallineamento tra titolarità del permesso a realizzare ed esercire l’impianto ed assunzione della “responsabilità”, per cui il beneficiario degli incentivi deve necessariamente essere titolare del provvedimento autorizzatorio. Invero, la necessità che l’autorizzazione in questione faccia capo – o perché rilasciata </w:t>
      </w:r>
      <w:r w:rsidRPr="00D30C15">
        <w:rPr>
          <w:rFonts w:ascii="Garamond" w:eastAsia="Times New Roman" w:hAnsi="Garamond" w:cs="Times New Roman"/>
          <w:i/>
          <w:iCs/>
          <w:color w:val="000000"/>
          <w:sz w:val="30"/>
          <w:szCs w:val="30"/>
        </w:rPr>
        <w:t>ab initio</w:t>
      </w:r>
      <w:r w:rsidRPr="00D30C15">
        <w:rPr>
          <w:rFonts w:ascii="Garamond" w:eastAsia="Times New Roman" w:hAnsi="Garamond" w:cs="Times New Roman"/>
          <w:color w:val="000000"/>
          <w:sz w:val="30"/>
          <w:szCs w:val="30"/>
        </w:rPr>
        <w:t xml:space="preserve"> o perché successivamente trasferita – al responsabile dell’impianto, è correlata al carattere indisponibile </w:t>
      </w:r>
      <w:proofErr w:type="gramStart"/>
      <w:r w:rsidRPr="00D30C15">
        <w:rPr>
          <w:rFonts w:ascii="Garamond" w:eastAsia="Times New Roman" w:hAnsi="Garamond" w:cs="Times New Roman"/>
          <w:color w:val="000000"/>
          <w:sz w:val="30"/>
          <w:szCs w:val="30"/>
        </w:rPr>
        <w:t>della</w:t>
      </w:r>
      <w:proofErr w:type="gramEnd"/>
      <w:r w:rsidRPr="00D30C15">
        <w:rPr>
          <w:rFonts w:ascii="Garamond" w:eastAsia="Times New Roman" w:hAnsi="Garamond" w:cs="Times New Roman"/>
          <w:color w:val="000000"/>
          <w:sz w:val="30"/>
          <w:szCs w:val="30"/>
        </w:rPr>
        <w:t xml:space="preserve"> medesima da parte del soggetto interessato, che può essere solo quello a nome del quale è stato emesso il provvedimento autorizzativo. Ne discende che </w:t>
      </w:r>
      <w:proofErr w:type="gramStart"/>
      <w:r w:rsidRPr="00D30C15">
        <w:rPr>
          <w:rFonts w:ascii="Garamond" w:eastAsia="Times New Roman" w:hAnsi="Garamond" w:cs="Times New Roman"/>
          <w:color w:val="000000"/>
          <w:sz w:val="30"/>
          <w:szCs w:val="30"/>
        </w:rPr>
        <w:t>il</w:t>
      </w:r>
      <w:proofErr w:type="gramEnd"/>
      <w:r w:rsidRPr="00D30C15">
        <w:rPr>
          <w:rFonts w:ascii="Garamond" w:eastAsia="Times New Roman" w:hAnsi="Garamond" w:cs="Times New Roman"/>
          <w:color w:val="000000"/>
          <w:sz w:val="30"/>
          <w:szCs w:val="30"/>
        </w:rPr>
        <w:t xml:space="preserve"> titolo deve necessariamente riferirsi al soggetto che gestisce l’impianto e percepisce gli incentivi, anche se agisce per conto altrui (cfr. al riguardo, Cons. Stato, Sez. </w:t>
      </w:r>
      <w:proofErr w:type="gramStart"/>
      <w:r w:rsidRPr="00D30C15">
        <w:rPr>
          <w:rFonts w:ascii="Garamond" w:eastAsia="Times New Roman" w:hAnsi="Garamond" w:cs="Times New Roman"/>
          <w:color w:val="000000"/>
          <w:sz w:val="30"/>
          <w:szCs w:val="30"/>
        </w:rPr>
        <w:t>II, 19.1.2023, n. 660; Sez.</w:t>
      </w:r>
      <w:proofErr w:type="gramEnd"/>
      <w:r w:rsidRPr="00D30C15">
        <w:rPr>
          <w:rFonts w:ascii="Garamond" w:eastAsia="Times New Roman" w:hAnsi="Garamond" w:cs="Times New Roman"/>
          <w:color w:val="000000"/>
          <w:sz w:val="30"/>
          <w:szCs w:val="30"/>
        </w:rPr>
        <w:t xml:space="preserve"> IV, 29.10.2018 n. 6146 e 14.9.2018 n. 5412, queste ultime richiamate da Cons. Stato, Sez. </w:t>
      </w:r>
      <w:proofErr w:type="gramStart"/>
      <w:r w:rsidRPr="00D30C15">
        <w:rPr>
          <w:rFonts w:ascii="Garamond" w:eastAsia="Times New Roman" w:hAnsi="Garamond" w:cs="Times New Roman"/>
          <w:color w:val="000000"/>
          <w:sz w:val="30"/>
          <w:szCs w:val="30"/>
        </w:rPr>
        <w:t xml:space="preserve">II, 4 aprile 2022, </w:t>
      </w:r>
      <w:r w:rsidRPr="00D30C15">
        <w:rPr>
          <w:rFonts w:ascii="Garamond" w:eastAsia="Times New Roman" w:hAnsi="Garamond" w:cs="Times New Roman"/>
          <w:color w:val="000000"/>
          <w:sz w:val="30"/>
          <w:szCs w:val="30"/>
        </w:rPr>
        <w:lastRenderedPageBreak/>
        <w:t>n. 2501).</w:t>
      </w:r>
      <w:proofErr w:type="gramEnd"/>
      <w:r w:rsidRPr="00D30C15">
        <w:rPr>
          <w:rFonts w:ascii="Garamond" w:eastAsia="Times New Roman" w:hAnsi="Garamond" w:cs="Times New Roman"/>
          <w:color w:val="000000"/>
          <w:sz w:val="30"/>
          <w:szCs w:val="30"/>
        </w:rPr>
        <w:t xml:space="preserve"> </w:t>
      </w:r>
      <w:proofErr w:type="gramStart"/>
      <w:r w:rsidRPr="00D30C15">
        <w:rPr>
          <w:rFonts w:ascii="Garamond" w:eastAsia="Times New Roman" w:hAnsi="Garamond" w:cs="Times New Roman"/>
          <w:color w:val="000000"/>
          <w:sz w:val="30"/>
          <w:szCs w:val="30"/>
        </w:rPr>
        <w:t>Nello stesso senso, cfr.</w:t>
      </w:r>
      <w:proofErr w:type="gramEnd"/>
      <w:r w:rsidRPr="00D30C15">
        <w:rPr>
          <w:rFonts w:ascii="Garamond" w:eastAsia="Times New Roman" w:hAnsi="Garamond" w:cs="Times New Roman"/>
          <w:color w:val="000000"/>
          <w:sz w:val="30"/>
          <w:szCs w:val="30"/>
        </w:rPr>
        <w:t xml:space="preserve"> Cons. Stato, Sez. II, 5 aprile 2022, n. 2536 su impossibile dissociazione tra titolarità autorizzazione </w:t>
      </w:r>
      <w:proofErr w:type="gramStart"/>
      <w:r w:rsidRPr="00D30C15">
        <w:rPr>
          <w:rFonts w:ascii="Garamond" w:eastAsia="Times New Roman" w:hAnsi="Garamond" w:cs="Times New Roman"/>
          <w:color w:val="000000"/>
          <w:sz w:val="30"/>
          <w:szCs w:val="30"/>
        </w:rPr>
        <w:t>ed</w:t>
      </w:r>
      <w:proofErr w:type="gramEnd"/>
      <w:r w:rsidRPr="00D30C15">
        <w:rPr>
          <w:rFonts w:ascii="Garamond" w:eastAsia="Times New Roman" w:hAnsi="Garamond" w:cs="Times New Roman"/>
          <w:color w:val="000000"/>
          <w:sz w:val="30"/>
          <w:szCs w:val="30"/>
        </w:rPr>
        <w:t xml:space="preserve"> esercizio.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13.2.1. Non ignora il Collegio, come peraltro sottolineato dall’appellante incidentale, che in alcuni arresti di questa Sezione è stato affermato che «</w:t>
      </w:r>
      <w:r w:rsidRPr="00D30C15">
        <w:rPr>
          <w:rFonts w:ascii="Garamond" w:eastAsia="Times New Roman" w:hAnsi="Garamond" w:cs="Times New Roman"/>
          <w:i/>
          <w:iCs/>
          <w:color w:val="000000"/>
          <w:sz w:val="30"/>
          <w:szCs w:val="30"/>
        </w:rPr>
        <w:t>se il soggetto che chiede gli incentivi dimostra di essere responsabile dell’impianto cui gli stessi devono accedere, seppure non ancora intestatario dell’autorizzazione unica per mancata voltura, che peraltro, a riprova della mera formalità dell’adempimento, gli è stata rilasciata non appena richiesta, al “disallineamento” formale non corrisponde un vero e proprio “disallineamento” sostanziale capace di legittimare la decadenza, ovvero addirittura l’annullamento d’ufficio del provvedimento accordato</w:t>
      </w:r>
      <w:r w:rsidRPr="00D30C15">
        <w:rPr>
          <w:rFonts w:ascii="Garamond" w:eastAsia="Times New Roman" w:hAnsi="Garamond" w:cs="Times New Roman"/>
          <w:color w:val="000000"/>
          <w:sz w:val="30"/>
          <w:szCs w:val="30"/>
        </w:rPr>
        <w:t xml:space="preserve">» (cfr., Consiglio di Stato, Sez. </w:t>
      </w:r>
      <w:proofErr w:type="gramStart"/>
      <w:r w:rsidRPr="00D30C15">
        <w:rPr>
          <w:rFonts w:ascii="Garamond" w:eastAsia="Times New Roman" w:hAnsi="Garamond" w:cs="Times New Roman"/>
          <w:color w:val="000000"/>
          <w:sz w:val="30"/>
          <w:szCs w:val="30"/>
        </w:rPr>
        <w:t>II, n. 736/2024 e Sez.</w:t>
      </w:r>
      <w:proofErr w:type="gramEnd"/>
      <w:r w:rsidRPr="00D30C15">
        <w:rPr>
          <w:rFonts w:ascii="Garamond" w:eastAsia="Times New Roman" w:hAnsi="Garamond" w:cs="Times New Roman"/>
          <w:color w:val="000000"/>
          <w:sz w:val="30"/>
          <w:szCs w:val="30"/>
        </w:rPr>
        <w:t xml:space="preserve"> </w:t>
      </w:r>
      <w:proofErr w:type="gramStart"/>
      <w:r w:rsidRPr="00D30C15">
        <w:rPr>
          <w:rFonts w:ascii="Garamond" w:eastAsia="Times New Roman" w:hAnsi="Garamond" w:cs="Times New Roman"/>
          <w:color w:val="000000"/>
          <w:sz w:val="30"/>
          <w:szCs w:val="30"/>
        </w:rPr>
        <w:t>II, n. 7404/2023).</w:t>
      </w:r>
      <w:proofErr w:type="gramEnd"/>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Tuttavia, ferma la peculiarità del caso di specie, nel quale la voltura dell’A.U. è pervenuta a grande distanza temporale (circa sette anni) dal momento della richiesta, nella vicenda in esame neppure risultano documentate le ragioni che hanno determinato un ritardo tanto significativo, né l’eventuale ricorrenza di responsabilità in capo al soggetto privato o a quello pubblico; sicché non può affatto ritenersi dimostrato che la voltura di specie abbia rappresentato un adempimento meramente formale, o che risulti accertata in causa la carenza di ragioni sostanziali nel disallineamento tra soggetto che percepisce gli incentivi, responsabile dell’impianto e titolare dell’autorizzazione unica.</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Argomenti, questi ultimi dirimenti anche rispetto alle ulteriori censure riproposte in via subordinata dall’appellante incidentale (quelle relative alla esclusiva responsabilità </w:t>
      </w:r>
      <w:proofErr w:type="gramStart"/>
      <w:r w:rsidRPr="00D30C15">
        <w:rPr>
          <w:rFonts w:ascii="Garamond" w:eastAsia="Times New Roman" w:hAnsi="Garamond" w:cs="Times New Roman"/>
          <w:color w:val="000000"/>
          <w:sz w:val="30"/>
          <w:szCs w:val="30"/>
        </w:rPr>
        <w:t>della</w:t>
      </w:r>
      <w:proofErr w:type="gramEnd"/>
      <w:r w:rsidRPr="00D30C15">
        <w:rPr>
          <w:rFonts w:ascii="Garamond" w:eastAsia="Times New Roman" w:hAnsi="Garamond" w:cs="Times New Roman"/>
          <w:color w:val="000000"/>
          <w:sz w:val="30"/>
          <w:szCs w:val="30"/>
        </w:rPr>
        <w:t xml:space="preserve"> Regione Calabria rispetto al ritardo nella voltura nonché alla </w:t>
      </w:r>
      <w:r w:rsidRPr="00D30C15">
        <w:rPr>
          <w:rFonts w:ascii="Garamond" w:eastAsia="Times New Roman" w:hAnsi="Garamond" w:cs="Times New Roman"/>
          <w:color w:val="000000"/>
          <w:sz w:val="30"/>
          <w:szCs w:val="30"/>
        </w:rPr>
        <w:lastRenderedPageBreak/>
        <w:t>richiesta di operare la sola decurtazione del 10% della tariffa incentivante limitatamente al periodo 1 agosto 2013 – 17 dicembre 2013).</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14. </w:t>
      </w:r>
      <w:proofErr w:type="gramStart"/>
      <w:r w:rsidRPr="00D30C15">
        <w:rPr>
          <w:rFonts w:ascii="Garamond" w:eastAsia="Times New Roman" w:hAnsi="Garamond" w:cs="Times New Roman"/>
          <w:color w:val="000000"/>
          <w:sz w:val="30"/>
          <w:szCs w:val="30"/>
        </w:rPr>
        <w:t>In</w:t>
      </w:r>
      <w:proofErr w:type="gramEnd"/>
      <w:r w:rsidRPr="00D30C15">
        <w:rPr>
          <w:rFonts w:ascii="Garamond" w:eastAsia="Times New Roman" w:hAnsi="Garamond" w:cs="Times New Roman"/>
          <w:color w:val="000000"/>
          <w:sz w:val="30"/>
          <w:szCs w:val="30"/>
        </w:rPr>
        <w:t xml:space="preserve"> definitiva, anche l’appello incidentale va rigettato.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15. Sussistono evidenti ragioni per disporre la compensazione tra le parti delle spese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grado.</w:t>
      </w:r>
    </w:p>
    <w:p w:rsidR="00D30C15" w:rsidRPr="00D30C15" w:rsidRDefault="00D30C15" w:rsidP="00D30C15">
      <w:pPr>
        <w:spacing w:after="0" w:line="540" w:lineRule="atLeast"/>
        <w:jc w:val="center"/>
        <w:rPr>
          <w:rFonts w:ascii="Garamond" w:eastAsia="Times New Roman" w:hAnsi="Garamond" w:cs="Times New Roman"/>
          <w:color w:val="000000"/>
          <w:sz w:val="30"/>
          <w:szCs w:val="30"/>
        </w:rPr>
      </w:pPr>
      <w:proofErr w:type="gramStart"/>
      <w:r w:rsidRPr="00D30C15">
        <w:rPr>
          <w:rFonts w:ascii="Garamond" w:eastAsia="Times New Roman" w:hAnsi="Garamond" w:cs="Times New Roman"/>
          <w:color w:val="000000"/>
          <w:sz w:val="30"/>
          <w:szCs w:val="30"/>
        </w:rPr>
        <w:t>P.Q.M.</w:t>
      </w:r>
      <w:proofErr w:type="gramEnd"/>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Il Consiglio di Stato in sede giurisdizionale (Sezione Seconda), definitivamente pronunciando sul giudizio, </w:t>
      </w:r>
      <w:proofErr w:type="gramStart"/>
      <w:r w:rsidRPr="00D30C15">
        <w:rPr>
          <w:rFonts w:ascii="Garamond" w:eastAsia="Times New Roman" w:hAnsi="Garamond" w:cs="Times New Roman"/>
          <w:color w:val="000000"/>
          <w:sz w:val="30"/>
          <w:szCs w:val="30"/>
        </w:rPr>
        <w:t>come</w:t>
      </w:r>
      <w:proofErr w:type="gramEnd"/>
      <w:r w:rsidRPr="00D30C15">
        <w:rPr>
          <w:rFonts w:ascii="Garamond" w:eastAsia="Times New Roman" w:hAnsi="Garamond" w:cs="Times New Roman"/>
          <w:color w:val="000000"/>
          <w:sz w:val="30"/>
          <w:szCs w:val="30"/>
        </w:rPr>
        <w:t xml:space="preserve"> in epigrafe proposto, respinge sia l’appello principale che quello incidentale.</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Compensa tra le parti le spese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presente grado di giudizio.</w:t>
      </w:r>
    </w:p>
    <w:p w:rsidR="00D30C15" w:rsidRPr="00D30C15" w:rsidRDefault="00D30C15" w:rsidP="00D30C15">
      <w:pPr>
        <w:spacing w:after="0" w:line="520" w:lineRule="atLeast"/>
        <w:jc w:val="both"/>
        <w:rPr>
          <w:rFonts w:ascii="Garamond" w:eastAsia="Times New Roman" w:hAnsi="Garamond" w:cs="Times New Roman"/>
          <w:color w:val="000000"/>
          <w:sz w:val="30"/>
          <w:szCs w:val="30"/>
        </w:rPr>
      </w:pPr>
      <w:proofErr w:type="gramStart"/>
      <w:r w:rsidRPr="00D30C15">
        <w:rPr>
          <w:rFonts w:ascii="Garamond" w:eastAsia="Times New Roman" w:hAnsi="Garamond" w:cs="Times New Roman"/>
          <w:color w:val="000000"/>
          <w:sz w:val="30"/>
          <w:szCs w:val="30"/>
        </w:rPr>
        <w:t>Ordina che la presente sentenza sia eseguita dall'autorità amministrativa.</w:t>
      </w:r>
      <w:proofErr w:type="gramEnd"/>
    </w:p>
    <w:p w:rsidR="00D30C15" w:rsidRPr="00D30C15" w:rsidRDefault="00D30C15" w:rsidP="00D30C15">
      <w:pPr>
        <w:spacing w:after="0" w:line="520" w:lineRule="atLeast"/>
        <w:jc w:val="both"/>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 xml:space="preserve">Così deciso in Roma nella camera di consiglio </w:t>
      </w:r>
      <w:proofErr w:type="gramStart"/>
      <w:r w:rsidRPr="00D30C15">
        <w:rPr>
          <w:rFonts w:ascii="Garamond" w:eastAsia="Times New Roman" w:hAnsi="Garamond" w:cs="Times New Roman"/>
          <w:color w:val="000000"/>
          <w:sz w:val="30"/>
          <w:szCs w:val="30"/>
        </w:rPr>
        <w:t>del</w:t>
      </w:r>
      <w:proofErr w:type="gramEnd"/>
      <w:r w:rsidRPr="00D30C15">
        <w:rPr>
          <w:rFonts w:ascii="Garamond" w:eastAsia="Times New Roman" w:hAnsi="Garamond" w:cs="Times New Roman"/>
          <w:color w:val="000000"/>
          <w:sz w:val="30"/>
          <w:szCs w:val="30"/>
        </w:rPr>
        <w:t xml:space="preserve"> giorno 26 maggio 2026 con l'intervento dei magistrati:</w:t>
      </w:r>
    </w:p>
    <w:p w:rsidR="00D30C15" w:rsidRPr="00D30C15" w:rsidRDefault="00D30C15" w:rsidP="00D30C15">
      <w:pPr>
        <w:spacing w:after="0" w:line="520" w:lineRule="atLeast"/>
        <w:ind w:firstLine="567"/>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Oberdan Forlenza, Presidente</w:t>
      </w:r>
    </w:p>
    <w:p w:rsidR="00D30C15" w:rsidRPr="00D30C15" w:rsidRDefault="00D30C15" w:rsidP="00D30C15">
      <w:pPr>
        <w:spacing w:after="0" w:line="520" w:lineRule="atLeast"/>
        <w:ind w:firstLine="567"/>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Francesco Frigida, Consigliere</w:t>
      </w:r>
    </w:p>
    <w:p w:rsidR="00D30C15" w:rsidRPr="00D30C15" w:rsidRDefault="00D30C15" w:rsidP="00D30C15">
      <w:pPr>
        <w:spacing w:after="0" w:line="520" w:lineRule="atLeast"/>
        <w:ind w:firstLine="567"/>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Carmelina Addesso, Consigliere</w:t>
      </w:r>
    </w:p>
    <w:p w:rsidR="00D30C15" w:rsidRPr="00D30C15" w:rsidRDefault="00D30C15" w:rsidP="00D30C15">
      <w:pPr>
        <w:spacing w:after="0" w:line="520" w:lineRule="atLeast"/>
        <w:ind w:firstLine="567"/>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Stefano Filippini, Consigliere, Estensore</w:t>
      </w:r>
    </w:p>
    <w:p w:rsidR="00D30C15" w:rsidRPr="00D30C15" w:rsidRDefault="00D30C15" w:rsidP="00D30C15">
      <w:pPr>
        <w:spacing w:after="0" w:line="520" w:lineRule="atLeast"/>
        <w:ind w:firstLine="567"/>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t>Luca Emanuele Ricci, Consigliere</w:t>
      </w:r>
    </w:p>
    <w:tbl>
      <w:tblPr>
        <w:tblW w:w="5000" w:type="pct"/>
        <w:tblCellMar>
          <w:top w:w="15" w:type="dxa"/>
          <w:left w:w="15" w:type="dxa"/>
          <w:bottom w:w="15" w:type="dxa"/>
          <w:right w:w="15" w:type="dxa"/>
        </w:tblCellMar>
        <w:tblLook w:val="04A0"/>
      </w:tblPr>
      <w:tblGrid>
        <w:gridCol w:w="4436"/>
        <w:gridCol w:w="79"/>
        <w:gridCol w:w="4875"/>
      </w:tblGrid>
      <w:tr w:rsidR="00D30C15" w:rsidRPr="00D30C15" w:rsidTr="00D30C15">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r w:rsidRPr="00D30C15">
              <w:rPr>
                <w:rFonts w:ascii="Times New Roman" w:eastAsia="Times New Roman" w:hAnsi="Times New Roman" w:cs="Times New Roman"/>
                <w:b/>
                <w:bCs/>
                <w:sz w:val="28"/>
                <w:szCs w:val="28"/>
              </w:rPr>
              <w:t> </w:t>
            </w: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r>
      <w:tr w:rsidR="00D30C15" w:rsidRPr="00D30C15" w:rsidTr="00D30C15">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r w:rsidRPr="00D30C15">
              <w:rPr>
                <w:rFonts w:ascii="Times New Roman" w:eastAsia="Times New Roman" w:hAnsi="Times New Roman" w:cs="Times New Roman"/>
                <w:b/>
                <w:bCs/>
                <w:sz w:val="28"/>
                <w:szCs w:val="28"/>
              </w:rPr>
              <w:t> </w:t>
            </w: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r>
      <w:tr w:rsidR="00D30C15" w:rsidRPr="00D30C15" w:rsidTr="00D30C15">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r w:rsidRPr="00D30C15">
              <w:rPr>
                <w:rFonts w:ascii="Times New Roman" w:eastAsia="Times New Roman" w:hAnsi="Times New Roman" w:cs="Times New Roman"/>
                <w:b/>
                <w:bCs/>
                <w:sz w:val="28"/>
                <w:szCs w:val="28"/>
              </w:rPr>
              <w:t>L'ESTENSORE</w:t>
            </w: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r w:rsidRPr="00D30C15">
              <w:rPr>
                <w:rFonts w:ascii="Times New Roman" w:eastAsia="Times New Roman" w:hAnsi="Times New Roman" w:cs="Times New Roman"/>
                <w:b/>
                <w:bCs/>
                <w:sz w:val="28"/>
                <w:szCs w:val="28"/>
              </w:rPr>
              <w:t>IL PRESIDENTE</w:t>
            </w:r>
          </w:p>
        </w:tc>
      </w:tr>
      <w:tr w:rsidR="00D30C15" w:rsidRPr="00D30C15" w:rsidTr="00D30C15">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r w:rsidRPr="00D30C15">
              <w:rPr>
                <w:rFonts w:ascii="Times New Roman" w:eastAsia="Times New Roman" w:hAnsi="Times New Roman" w:cs="Times New Roman"/>
                <w:b/>
                <w:bCs/>
                <w:sz w:val="28"/>
                <w:szCs w:val="28"/>
              </w:rPr>
              <w:t>Stefano Filippini</w:t>
            </w: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r w:rsidRPr="00D30C15">
              <w:rPr>
                <w:rFonts w:ascii="Times New Roman" w:eastAsia="Times New Roman" w:hAnsi="Times New Roman" w:cs="Times New Roman"/>
                <w:b/>
                <w:bCs/>
                <w:sz w:val="28"/>
                <w:szCs w:val="28"/>
              </w:rPr>
              <w:t>Oberdan Forlenza</w:t>
            </w:r>
          </w:p>
        </w:tc>
      </w:tr>
      <w:tr w:rsidR="00D30C15" w:rsidRPr="00D30C15" w:rsidTr="00D30C15">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r w:rsidRPr="00D30C15">
              <w:rPr>
                <w:rFonts w:ascii="Times New Roman" w:eastAsia="Times New Roman" w:hAnsi="Times New Roman" w:cs="Times New Roman"/>
                <w:b/>
                <w:bCs/>
                <w:sz w:val="28"/>
                <w:szCs w:val="28"/>
              </w:rPr>
              <w:t> </w:t>
            </w: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r>
      <w:tr w:rsidR="00D30C15" w:rsidRPr="00D30C15" w:rsidTr="00D30C15">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r w:rsidRPr="00D30C15">
              <w:rPr>
                <w:rFonts w:ascii="Times New Roman" w:eastAsia="Times New Roman" w:hAnsi="Times New Roman" w:cs="Times New Roman"/>
                <w:b/>
                <w:bCs/>
                <w:sz w:val="28"/>
                <w:szCs w:val="28"/>
              </w:rPr>
              <w:t> </w:t>
            </w: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r>
      <w:tr w:rsidR="00D30C15" w:rsidRPr="00D30C15" w:rsidTr="00D30C15">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r w:rsidRPr="00D30C15">
              <w:rPr>
                <w:rFonts w:ascii="Times New Roman" w:eastAsia="Times New Roman" w:hAnsi="Times New Roman" w:cs="Times New Roman"/>
                <w:b/>
                <w:bCs/>
                <w:sz w:val="28"/>
                <w:szCs w:val="28"/>
              </w:rPr>
              <w:t> </w:t>
            </w: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r>
      <w:tr w:rsidR="00D30C15" w:rsidRPr="00D30C15" w:rsidTr="00D30C15">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r w:rsidRPr="00D30C15">
              <w:rPr>
                <w:rFonts w:ascii="Times New Roman" w:eastAsia="Times New Roman" w:hAnsi="Times New Roman" w:cs="Times New Roman"/>
                <w:b/>
                <w:bCs/>
                <w:sz w:val="28"/>
                <w:szCs w:val="28"/>
              </w:rPr>
              <w:t> </w:t>
            </w: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r>
      <w:tr w:rsidR="00D30C15" w:rsidRPr="00D30C15" w:rsidTr="00D30C15">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r w:rsidRPr="00D30C15">
              <w:rPr>
                <w:rFonts w:ascii="Times New Roman" w:eastAsia="Times New Roman" w:hAnsi="Times New Roman" w:cs="Times New Roman"/>
                <w:b/>
                <w:bCs/>
                <w:sz w:val="28"/>
                <w:szCs w:val="28"/>
              </w:rPr>
              <w:t> </w:t>
            </w: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D30C15" w:rsidRPr="00D30C15" w:rsidRDefault="00D30C15" w:rsidP="00D30C15">
            <w:pPr>
              <w:spacing w:after="0" w:line="240" w:lineRule="auto"/>
              <w:jc w:val="center"/>
              <w:rPr>
                <w:rFonts w:ascii="Times New Roman" w:eastAsia="Times New Roman" w:hAnsi="Times New Roman" w:cs="Times New Roman"/>
                <w:b/>
                <w:bCs/>
                <w:sz w:val="28"/>
                <w:szCs w:val="28"/>
              </w:rPr>
            </w:pPr>
          </w:p>
        </w:tc>
      </w:tr>
    </w:tbl>
    <w:p w:rsidR="00D30C15" w:rsidRPr="00D30C15" w:rsidRDefault="00D30C15" w:rsidP="00D30C15">
      <w:pPr>
        <w:spacing w:after="0" w:line="540" w:lineRule="atLeast"/>
        <w:jc w:val="center"/>
        <w:rPr>
          <w:rFonts w:ascii="Garamond" w:eastAsia="Times New Roman" w:hAnsi="Garamond" w:cs="Times New Roman"/>
          <w:color w:val="000000"/>
          <w:sz w:val="30"/>
          <w:szCs w:val="30"/>
        </w:rPr>
      </w:pPr>
      <w:r w:rsidRPr="00D30C15">
        <w:rPr>
          <w:rFonts w:ascii="Garamond" w:eastAsia="Times New Roman" w:hAnsi="Garamond" w:cs="Times New Roman"/>
          <w:color w:val="000000"/>
          <w:sz w:val="30"/>
          <w:szCs w:val="30"/>
        </w:rPr>
        <w:lastRenderedPageBreak/>
        <w:t>IL SEGRETARIO</w:t>
      </w:r>
    </w:p>
    <w:p w:rsidR="003C580A" w:rsidRDefault="003C580A"/>
    <w:sectPr w:rsidR="003C580A" w:rsidSect="003C58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ordic">
    <w:altName w:val="Times New Roman"/>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D30C15"/>
    <w:rsid w:val="003C580A"/>
    <w:rsid w:val="00D30C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8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gistri">
    <w:name w:val="registri"/>
    <w:basedOn w:val="Normal"/>
    <w:rsid w:val="00D30C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pubblica">
    <w:name w:val="repubblica"/>
    <w:basedOn w:val="Normal"/>
    <w:rsid w:val="00D30C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ome">
    <w:name w:val="innome"/>
    <w:basedOn w:val="Normal"/>
    <w:rsid w:val="00D30C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zione">
    <w:name w:val="sezione"/>
    <w:basedOn w:val="Normal"/>
    <w:rsid w:val="00D30C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ula">
    <w:name w:val="tabula"/>
    <w:basedOn w:val="Normal"/>
    <w:rsid w:val="00D30C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olo">
    <w:name w:val="popolo"/>
    <w:basedOn w:val="Normal"/>
    <w:rsid w:val="00D30C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ro">
    <w:name w:val="contro"/>
    <w:basedOn w:val="Normal"/>
    <w:rsid w:val="00D30C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tto">
    <w:name w:val="fatto"/>
    <w:basedOn w:val="Normal"/>
    <w:rsid w:val="00D30C1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0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C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35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5018</Words>
  <Characters>28605</Characters>
  <Application>Microsoft Office Word</Application>
  <DocSecurity>0</DocSecurity>
  <Lines>238</Lines>
  <Paragraphs>67</Paragraphs>
  <ScaleCrop>false</ScaleCrop>
  <Company/>
  <LinksUpToDate>false</LinksUpToDate>
  <CharactersWithSpaces>33556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cp:lastModifiedBy>Denis</cp:lastModifiedBy>
  <cp:revision>1</cp:revision>
  <dcterms:created xsi:type="dcterms:W3CDTF">2026-06-29T12:42:00Z</dcterms:created>
  <dcterms:modified xsi:type="dcterms:W3CDTF">2026-06-29T12:43:00Z</dcterms:modified>
</cp:coreProperties>
</file>