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0" w:rsidRPr="007A36B0" w:rsidRDefault="007A36B0" w:rsidP="007A36B0">
      <w:pPr>
        <w:spacing w:after="0" w:line="240" w:lineRule="auto"/>
        <w:rPr>
          <w:rFonts w:ascii="Times New Roman" w:eastAsia="Times New Roman" w:hAnsi="Times New Roman" w:cs="Times New Roman"/>
          <w:sz w:val="24"/>
          <w:szCs w:val="24"/>
        </w:rPr>
      </w:pPr>
      <w:r w:rsidRPr="007A36B0">
        <w:rPr>
          <w:rFonts w:ascii="Times New Roman" w:eastAsia="Times New Roman" w:hAnsi="Times New Roman" w:cs="Times New Roman"/>
          <w:color w:val="000000"/>
          <w:sz w:val="27"/>
          <w:szCs w:val="27"/>
        </w:rPr>
        <w:t xml:space="preserve">Pubblicato </w:t>
      </w:r>
      <w:proofErr w:type="gramStart"/>
      <w:r w:rsidRPr="007A36B0">
        <w:rPr>
          <w:rFonts w:ascii="Times New Roman" w:eastAsia="Times New Roman" w:hAnsi="Times New Roman" w:cs="Times New Roman"/>
          <w:color w:val="000000"/>
          <w:sz w:val="27"/>
          <w:szCs w:val="27"/>
        </w:rPr>
        <w:t>il</w:t>
      </w:r>
      <w:proofErr w:type="gramEnd"/>
      <w:r w:rsidRPr="007A36B0">
        <w:rPr>
          <w:rFonts w:ascii="Times New Roman" w:eastAsia="Times New Roman" w:hAnsi="Times New Roman" w:cs="Times New Roman"/>
          <w:color w:val="000000"/>
          <w:sz w:val="27"/>
          <w:szCs w:val="27"/>
        </w:rPr>
        <w:t xml:space="preserve"> 09/01/2026</w:t>
      </w:r>
    </w:p>
    <w:p w:rsidR="007A36B0" w:rsidRPr="007A36B0" w:rsidRDefault="007A36B0" w:rsidP="007A36B0">
      <w:pPr>
        <w:spacing w:before="100" w:beforeAutospacing="1" w:after="100" w:afterAutospacing="1" w:line="0" w:lineRule="atLeast"/>
        <w:jc w:val="right"/>
        <w:rPr>
          <w:rFonts w:ascii="Times Nordic" w:eastAsia="Times New Roman" w:hAnsi="Times Nordic" w:cs="Times New Roman"/>
          <w:b/>
          <w:bCs/>
          <w:color w:val="000000"/>
        </w:rPr>
      </w:pPr>
      <w:proofErr w:type="gramStart"/>
      <w:r w:rsidRPr="007A36B0">
        <w:rPr>
          <w:rFonts w:ascii="Times Nordic" w:eastAsia="Times New Roman" w:hAnsi="Times Nordic" w:cs="Times New Roman"/>
          <w:b/>
          <w:bCs/>
          <w:color w:val="000000"/>
        </w:rPr>
        <w:t>N. 00186/2026REG.PROV.COLL.</w:t>
      </w:r>
      <w:proofErr w:type="gramEnd"/>
    </w:p>
    <w:p w:rsidR="007A36B0" w:rsidRPr="007A36B0" w:rsidRDefault="007A36B0" w:rsidP="007A36B0">
      <w:pPr>
        <w:spacing w:before="100" w:beforeAutospacing="1" w:after="100" w:afterAutospacing="1" w:line="0" w:lineRule="atLeast"/>
        <w:jc w:val="right"/>
        <w:rPr>
          <w:rFonts w:ascii="Times Nordic" w:eastAsia="Times New Roman" w:hAnsi="Times Nordic" w:cs="Times New Roman"/>
          <w:b/>
          <w:bCs/>
          <w:color w:val="000000"/>
        </w:rPr>
      </w:pPr>
      <w:r w:rsidRPr="007A36B0">
        <w:rPr>
          <w:rFonts w:ascii="Times Nordic" w:eastAsia="Times New Roman" w:hAnsi="Times Nordic" w:cs="Times New Roman"/>
          <w:b/>
          <w:bCs/>
          <w:color w:val="000000"/>
        </w:rPr>
        <w:t>N. 04688/2023 REG.RIC.</w:t>
      </w:r>
    </w:p>
    <w:p w:rsidR="007A36B0" w:rsidRPr="007A36B0" w:rsidRDefault="007A36B0" w:rsidP="007A36B0">
      <w:pPr>
        <w:spacing w:before="100" w:beforeAutospacing="1" w:after="100" w:afterAutospacing="1" w:line="240" w:lineRule="auto"/>
        <w:jc w:val="center"/>
        <w:rPr>
          <w:rFonts w:ascii="Garamond" w:eastAsia="Times New Roman" w:hAnsi="Garamond" w:cs="Times New Roman"/>
          <w:b/>
          <w:bCs/>
          <w:color w:val="000000"/>
          <w:spacing w:val="162"/>
          <w:sz w:val="27"/>
          <w:szCs w:val="27"/>
        </w:rPr>
      </w:pPr>
      <w:r>
        <w:rPr>
          <w:rFonts w:ascii="Garamond" w:eastAsia="Times New Roman" w:hAnsi="Garamond" w:cs="Times New Roman"/>
          <w:b/>
          <w:bCs/>
          <w:noProof/>
          <w:color w:val="000000"/>
          <w:spacing w:val="162"/>
          <w:sz w:val="27"/>
          <w:szCs w:val="27"/>
        </w:rPr>
        <w:drawing>
          <wp:inline distT="0" distB="0" distL="0" distR="0">
            <wp:extent cx="719455" cy="832485"/>
            <wp:effectExtent l="19050" t="0" r="4445"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19455" cy="832485"/>
                    </a:xfrm>
                    <a:prstGeom prst="rect">
                      <a:avLst/>
                    </a:prstGeom>
                    <a:noFill/>
                    <a:ln w="9525">
                      <a:noFill/>
                      <a:miter lim="800000"/>
                      <a:headEnd/>
                      <a:tailEnd/>
                    </a:ln>
                  </pic:spPr>
                </pic:pic>
              </a:graphicData>
            </a:graphic>
          </wp:inline>
        </w:drawing>
      </w:r>
    </w:p>
    <w:p w:rsidR="007A36B0" w:rsidRPr="007A36B0" w:rsidRDefault="007A36B0" w:rsidP="007A36B0">
      <w:pPr>
        <w:spacing w:before="100" w:beforeAutospacing="1" w:after="100" w:afterAutospacing="1" w:line="240" w:lineRule="auto"/>
        <w:jc w:val="center"/>
        <w:rPr>
          <w:rFonts w:ascii="Garamond" w:eastAsia="Times New Roman" w:hAnsi="Garamond" w:cs="Times New Roman"/>
          <w:b/>
          <w:bCs/>
          <w:color w:val="000000"/>
          <w:spacing w:val="162"/>
          <w:sz w:val="27"/>
          <w:szCs w:val="27"/>
        </w:rPr>
      </w:pPr>
      <w:r w:rsidRPr="007A36B0">
        <w:rPr>
          <w:rFonts w:ascii="Garamond" w:eastAsia="Times New Roman" w:hAnsi="Garamond" w:cs="Times New Roman"/>
          <w:b/>
          <w:bCs/>
          <w:color w:val="000000"/>
          <w:spacing w:val="162"/>
          <w:sz w:val="27"/>
          <w:szCs w:val="27"/>
        </w:rPr>
        <w:t>REPUBBLICA ITALIANA</w:t>
      </w:r>
    </w:p>
    <w:p w:rsidR="007A36B0" w:rsidRPr="007A36B0" w:rsidRDefault="007A36B0" w:rsidP="007A36B0">
      <w:pPr>
        <w:spacing w:before="100" w:beforeAutospacing="1" w:after="100" w:afterAutospacing="1" w:line="240" w:lineRule="auto"/>
        <w:jc w:val="center"/>
        <w:rPr>
          <w:rFonts w:ascii="Garamond" w:eastAsia="Times New Roman" w:hAnsi="Garamond" w:cs="Times New Roman"/>
          <w:b/>
          <w:bCs/>
          <w:color w:val="000000"/>
        </w:rPr>
      </w:pPr>
      <w:r w:rsidRPr="007A36B0">
        <w:rPr>
          <w:rFonts w:ascii="Garamond" w:eastAsia="Times New Roman" w:hAnsi="Garamond" w:cs="Times New Roman"/>
          <w:b/>
          <w:bCs/>
          <w:color w:val="000000"/>
        </w:rPr>
        <w:t>IN NOME DEL POPOLO ITALIANO</w:t>
      </w:r>
    </w:p>
    <w:p w:rsidR="007A36B0" w:rsidRPr="007A36B0" w:rsidRDefault="007A36B0" w:rsidP="007A36B0">
      <w:pPr>
        <w:spacing w:before="100" w:beforeAutospacing="1" w:after="100" w:afterAutospacing="1" w:line="240" w:lineRule="auto"/>
        <w:jc w:val="center"/>
        <w:rPr>
          <w:rFonts w:ascii="Garamond" w:eastAsia="Times New Roman" w:hAnsi="Garamond" w:cs="Times New Roman"/>
          <w:b/>
          <w:bCs/>
          <w:color w:val="000000"/>
          <w:sz w:val="26"/>
          <w:szCs w:val="26"/>
        </w:rPr>
      </w:pPr>
      <w:r w:rsidRPr="007A36B0">
        <w:rPr>
          <w:rFonts w:ascii="Garamond" w:eastAsia="Times New Roman" w:hAnsi="Garamond" w:cs="Times New Roman"/>
          <w:b/>
          <w:bCs/>
          <w:color w:val="000000"/>
          <w:sz w:val="26"/>
          <w:szCs w:val="26"/>
        </w:rPr>
        <w:t>Il Consiglio di Stato</w:t>
      </w:r>
    </w:p>
    <w:p w:rsidR="007A36B0" w:rsidRPr="007A36B0" w:rsidRDefault="007A36B0" w:rsidP="007A36B0">
      <w:pPr>
        <w:spacing w:before="100" w:beforeAutospacing="1" w:after="100" w:afterAutospacing="1" w:line="240" w:lineRule="auto"/>
        <w:jc w:val="center"/>
        <w:rPr>
          <w:rFonts w:ascii="Garamond" w:eastAsia="Times New Roman" w:hAnsi="Garamond" w:cs="Times New Roman"/>
          <w:b/>
          <w:bCs/>
          <w:color w:val="000000"/>
          <w:sz w:val="26"/>
          <w:szCs w:val="26"/>
        </w:rPr>
      </w:pPr>
      <w:proofErr w:type="gramStart"/>
      <w:r w:rsidRPr="007A36B0">
        <w:rPr>
          <w:rFonts w:ascii="Garamond" w:eastAsia="Times New Roman" w:hAnsi="Garamond" w:cs="Times New Roman"/>
          <w:b/>
          <w:bCs/>
          <w:color w:val="000000"/>
          <w:sz w:val="26"/>
          <w:szCs w:val="26"/>
        </w:rPr>
        <w:t>in</w:t>
      </w:r>
      <w:proofErr w:type="gramEnd"/>
      <w:r w:rsidRPr="007A36B0">
        <w:rPr>
          <w:rFonts w:ascii="Garamond" w:eastAsia="Times New Roman" w:hAnsi="Garamond" w:cs="Times New Roman"/>
          <w:b/>
          <w:bCs/>
          <w:color w:val="000000"/>
          <w:sz w:val="26"/>
          <w:szCs w:val="26"/>
        </w:rPr>
        <w:t xml:space="preserve"> sede giurisdizionale (Sezione Settima)</w:t>
      </w:r>
    </w:p>
    <w:p w:rsidR="007A36B0" w:rsidRPr="007A36B0" w:rsidRDefault="007A36B0" w:rsidP="007A36B0">
      <w:pPr>
        <w:spacing w:after="0" w:line="520" w:lineRule="atLeast"/>
        <w:ind w:firstLine="567"/>
        <w:rPr>
          <w:rFonts w:ascii="Garamond" w:eastAsia="Times New Roman" w:hAnsi="Garamond" w:cs="Times New Roman"/>
          <w:color w:val="000000"/>
          <w:sz w:val="30"/>
          <w:szCs w:val="30"/>
        </w:rPr>
      </w:pPr>
      <w:proofErr w:type="gramStart"/>
      <w:r w:rsidRPr="007A36B0">
        <w:rPr>
          <w:rFonts w:ascii="Garamond" w:eastAsia="Times New Roman" w:hAnsi="Garamond" w:cs="Times New Roman"/>
          <w:color w:val="000000"/>
          <w:sz w:val="30"/>
          <w:szCs w:val="30"/>
        </w:rPr>
        <w:t>ha</w:t>
      </w:r>
      <w:proofErr w:type="gramEnd"/>
      <w:r w:rsidRPr="007A36B0">
        <w:rPr>
          <w:rFonts w:ascii="Garamond" w:eastAsia="Times New Roman" w:hAnsi="Garamond" w:cs="Times New Roman"/>
          <w:color w:val="000000"/>
          <w:sz w:val="30"/>
          <w:szCs w:val="30"/>
        </w:rPr>
        <w:t xml:space="preserve"> pronunciato la presente</w:t>
      </w:r>
    </w:p>
    <w:p w:rsidR="007A36B0" w:rsidRPr="007A36B0" w:rsidRDefault="007A36B0" w:rsidP="007A36B0">
      <w:pPr>
        <w:spacing w:before="100" w:beforeAutospacing="1" w:after="100" w:afterAutospacing="1" w:line="240" w:lineRule="auto"/>
        <w:jc w:val="center"/>
        <w:rPr>
          <w:rFonts w:ascii="Garamond" w:eastAsia="Times New Roman" w:hAnsi="Garamond" w:cs="Times New Roman"/>
          <w:b/>
          <w:bCs/>
          <w:color w:val="000000"/>
          <w:sz w:val="26"/>
          <w:szCs w:val="26"/>
        </w:rPr>
      </w:pPr>
      <w:r w:rsidRPr="007A36B0">
        <w:rPr>
          <w:rFonts w:ascii="Garamond" w:eastAsia="Times New Roman" w:hAnsi="Garamond" w:cs="Times New Roman"/>
          <w:b/>
          <w:bCs/>
          <w:color w:val="000000"/>
          <w:sz w:val="26"/>
          <w:szCs w:val="26"/>
        </w:rPr>
        <w:t>SENTENZA</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sul ricorso numero di registro generale 4688 del 2023, proposto da Ellida Carmela Peluso, rappresentata e difesa dagli avvocati Pietro Di Stefano, Felice Terracciano, con domicilio digitale come da PEC da Registri di Giustizia;</w:t>
      </w:r>
    </w:p>
    <w:p w:rsidR="007A36B0" w:rsidRPr="007A36B0" w:rsidRDefault="007A36B0" w:rsidP="007A36B0">
      <w:pPr>
        <w:spacing w:after="0" w:line="520" w:lineRule="atLeast"/>
        <w:jc w:val="center"/>
        <w:rPr>
          <w:rFonts w:ascii="Garamond" w:eastAsia="Times New Roman" w:hAnsi="Garamond" w:cs="Times New Roman"/>
          <w:b/>
          <w:bCs/>
          <w:i/>
          <w:iCs/>
          <w:color w:val="000000"/>
          <w:sz w:val="30"/>
          <w:szCs w:val="30"/>
        </w:rPr>
      </w:pPr>
      <w:proofErr w:type="gramStart"/>
      <w:r w:rsidRPr="007A36B0">
        <w:rPr>
          <w:rFonts w:ascii="Garamond" w:eastAsia="Times New Roman" w:hAnsi="Garamond" w:cs="Times New Roman"/>
          <w:b/>
          <w:bCs/>
          <w:i/>
          <w:iCs/>
          <w:color w:val="000000"/>
          <w:sz w:val="30"/>
          <w:szCs w:val="30"/>
        </w:rPr>
        <w:t>contro</w:t>
      </w:r>
      <w:proofErr w:type="gramEnd"/>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Comune di Brusciano, in persona del Sindaco </w:t>
      </w:r>
      <w:r w:rsidRPr="007A36B0">
        <w:rPr>
          <w:rFonts w:ascii="Garamond" w:eastAsia="Times New Roman" w:hAnsi="Garamond" w:cs="Times New Roman"/>
          <w:i/>
          <w:iCs/>
          <w:color w:val="000000"/>
          <w:sz w:val="30"/>
          <w:szCs w:val="30"/>
        </w:rPr>
        <w:t>pro tempore</w:t>
      </w:r>
      <w:r w:rsidRPr="007A36B0">
        <w:rPr>
          <w:rFonts w:ascii="Garamond" w:eastAsia="Times New Roman" w:hAnsi="Garamond" w:cs="Times New Roman"/>
          <w:color w:val="000000"/>
          <w:sz w:val="30"/>
          <w:szCs w:val="30"/>
        </w:rPr>
        <w:t>, rappresentato e difeso dall'avvocato Aniello Mele, con domicilio digitale come da PEC da Registri di Giustizia;</w:t>
      </w:r>
    </w:p>
    <w:p w:rsidR="007A36B0" w:rsidRPr="007A36B0" w:rsidRDefault="007A36B0" w:rsidP="007A36B0">
      <w:pPr>
        <w:spacing w:after="0" w:line="520" w:lineRule="atLeast"/>
        <w:jc w:val="center"/>
        <w:rPr>
          <w:rFonts w:ascii="Garamond" w:eastAsia="Times New Roman" w:hAnsi="Garamond" w:cs="Times New Roman"/>
          <w:b/>
          <w:bCs/>
          <w:i/>
          <w:iCs/>
          <w:color w:val="000000"/>
          <w:sz w:val="30"/>
          <w:szCs w:val="30"/>
        </w:rPr>
      </w:pPr>
      <w:proofErr w:type="gramStart"/>
      <w:r w:rsidRPr="007A36B0">
        <w:rPr>
          <w:rFonts w:ascii="Garamond" w:eastAsia="Times New Roman" w:hAnsi="Garamond" w:cs="Times New Roman"/>
          <w:b/>
          <w:bCs/>
          <w:i/>
          <w:iCs/>
          <w:color w:val="000000"/>
          <w:sz w:val="30"/>
          <w:szCs w:val="30"/>
        </w:rPr>
        <w:t>per</w:t>
      </w:r>
      <w:proofErr w:type="gramEnd"/>
      <w:r w:rsidRPr="007A36B0">
        <w:rPr>
          <w:rFonts w:ascii="Garamond" w:eastAsia="Times New Roman" w:hAnsi="Garamond" w:cs="Times New Roman"/>
          <w:b/>
          <w:bCs/>
          <w:i/>
          <w:iCs/>
          <w:color w:val="000000"/>
          <w:sz w:val="30"/>
          <w:szCs w:val="30"/>
        </w:rPr>
        <w:t xml:space="preserve"> la riforma</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proofErr w:type="gramStart"/>
      <w:r w:rsidRPr="007A36B0">
        <w:rPr>
          <w:rFonts w:ascii="Garamond" w:eastAsia="Times New Roman" w:hAnsi="Garamond" w:cs="Times New Roman"/>
          <w:color w:val="000000"/>
          <w:sz w:val="30"/>
          <w:szCs w:val="30"/>
        </w:rPr>
        <w:t>della</w:t>
      </w:r>
      <w:proofErr w:type="gramEnd"/>
      <w:r w:rsidRPr="007A36B0">
        <w:rPr>
          <w:rFonts w:ascii="Garamond" w:eastAsia="Times New Roman" w:hAnsi="Garamond" w:cs="Times New Roman"/>
          <w:color w:val="000000"/>
          <w:sz w:val="30"/>
          <w:szCs w:val="30"/>
        </w:rPr>
        <w:t xml:space="preserve"> sentenza del Tribunale Amministrativo Regionale per la Campania (Sezione Seconda) n. 7010/2022.</w:t>
      </w:r>
    </w:p>
    <w:p w:rsidR="007A36B0" w:rsidRPr="007A36B0" w:rsidRDefault="007A36B0" w:rsidP="007A36B0">
      <w:pPr>
        <w:spacing w:after="0" w:line="240" w:lineRule="auto"/>
        <w:rPr>
          <w:rFonts w:ascii="Times New Roman" w:eastAsia="Times New Roman" w:hAnsi="Times New Roman" w:cs="Times New Roman"/>
          <w:sz w:val="24"/>
          <w:szCs w:val="24"/>
        </w:rPr>
      </w:pPr>
      <w:r w:rsidRPr="007A36B0">
        <w:rPr>
          <w:rFonts w:ascii="Times New Roman" w:eastAsia="Times New Roman" w:hAnsi="Times New Roman" w:cs="Times New Roman"/>
          <w:color w:val="000000"/>
          <w:sz w:val="27"/>
          <w:szCs w:val="27"/>
        </w:rPr>
        <w:br/>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lastRenderedPageBreak/>
        <w:t xml:space="preserve">Visti </w:t>
      </w:r>
      <w:proofErr w:type="gramStart"/>
      <w:r w:rsidRPr="007A36B0">
        <w:rPr>
          <w:rFonts w:ascii="Garamond" w:eastAsia="Times New Roman" w:hAnsi="Garamond" w:cs="Times New Roman"/>
          <w:color w:val="000000"/>
          <w:sz w:val="30"/>
          <w:szCs w:val="30"/>
        </w:rPr>
        <w:t>il</w:t>
      </w:r>
      <w:proofErr w:type="gramEnd"/>
      <w:r w:rsidRPr="007A36B0">
        <w:rPr>
          <w:rFonts w:ascii="Garamond" w:eastAsia="Times New Roman" w:hAnsi="Garamond" w:cs="Times New Roman"/>
          <w:color w:val="000000"/>
          <w:sz w:val="30"/>
          <w:szCs w:val="30"/>
        </w:rPr>
        <w:t xml:space="preserve"> ricorso in appello e i relativi allegati;</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Visto l'atto di costituzione in giudizio </w:t>
      </w:r>
      <w:proofErr w:type="gramStart"/>
      <w:r w:rsidRPr="007A36B0">
        <w:rPr>
          <w:rFonts w:ascii="Garamond" w:eastAsia="Times New Roman" w:hAnsi="Garamond" w:cs="Times New Roman"/>
          <w:color w:val="000000"/>
          <w:sz w:val="30"/>
          <w:szCs w:val="30"/>
        </w:rPr>
        <w:t>del</w:t>
      </w:r>
      <w:proofErr w:type="gramEnd"/>
      <w:r w:rsidRPr="007A36B0">
        <w:rPr>
          <w:rFonts w:ascii="Garamond" w:eastAsia="Times New Roman" w:hAnsi="Garamond" w:cs="Times New Roman"/>
          <w:color w:val="000000"/>
          <w:sz w:val="30"/>
          <w:szCs w:val="30"/>
        </w:rPr>
        <w:t xml:space="preserve"> Comune di Brusciano;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Visti tutti gli atti </w:t>
      </w:r>
      <w:proofErr w:type="gramStart"/>
      <w:r w:rsidRPr="007A36B0">
        <w:rPr>
          <w:rFonts w:ascii="Garamond" w:eastAsia="Times New Roman" w:hAnsi="Garamond" w:cs="Times New Roman"/>
          <w:color w:val="000000"/>
          <w:sz w:val="30"/>
          <w:szCs w:val="30"/>
        </w:rPr>
        <w:t>della</w:t>
      </w:r>
      <w:proofErr w:type="gramEnd"/>
      <w:r w:rsidRPr="007A36B0">
        <w:rPr>
          <w:rFonts w:ascii="Garamond" w:eastAsia="Times New Roman" w:hAnsi="Garamond" w:cs="Times New Roman"/>
          <w:color w:val="000000"/>
          <w:sz w:val="30"/>
          <w:szCs w:val="30"/>
        </w:rPr>
        <w:t xml:space="preserve"> causa;</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Relatore nell'udienza pubblica </w:t>
      </w:r>
      <w:proofErr w:type="gramStart"/>
      <w:r w:rsidRPr="007A36B0">
        <w:rPr>
          <w:rFonts w:ascii="Garamond" w:eastAsia="Times New Roman" w:hAnsi="Garamond" w:cs="Times New Roman"/>
          <w:color w:val="000000"/>
          <w:sz w:val="30"/>
          <w:szCs w:val="30"/>
        </w:rPr>
        <w:t>del</w:t>
      </w:r>
      <w:proofErr w:type="gramEnd"/>
      <w:r w:rsidRPr="007A36B0">
        <w:rPr>
          <w:rFonts w:ascii="Garamond" w:eastAsia="Times New Roman" w:hAnsi="Garamond" w:cs="Times New Roman"/>
          <w:color w:val="000000"/>
          <w:sz w:val="30"/>
          <w:szCs w:val="30"/>
        </w:rPr>
        <w:t xml:space="preserve"> giorno 11 novembre 2025 il Cons. Raffaello Sestini;</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Viste le conclusioni delle parti come da verbale;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Ritenuto e considerato in fatto e diritto quanto segue.</w:t>
      </w:r>
    </w:p>
    <w:p w:rsidR="007A36B0" w:rsidRPr="007A36B0" w:rsidRDefault="007A36B0" w:rsidP="007A36B0">
      <w:pPr>
        <w:spacing w:after="0" w:line="240" w:lineRule="auto"/>
        <w:rPr>
          <w:rFonts w:ascii="Times New Roman" w:eastAsia="Times New Roman" w:hAnsi="Times New Roman" w:cs="Times New Roman"/>
          <w:sz w:val="24"/>
          <w:szCs w:val="24"/>
        </w:rPr>
      </w:pPr>
      <w:r w:rsidRPr="007A36B0">
        <w:rPr>
          <w:rFonts w:ascii="Times New Roman" w:eastAsia="Times New Roman" w:hAnsi="Times New Roman" w:cs="Times New Roman"/>
          <w:color w:val="000000"/>
          <w:sz w:val="27"/>
          <w:szCs w:val="27"/>
        </w:rPr>
        <w:br/>
      </w:r>
    </w:p>
    <w:p w:rsidR="007A36B0" w:rsidRPr="007A36B0" w:rsidRDefault="007A36B0" w:rsidP="007A36B0">
      <w:pPr>
        <w:spacing w:after="0" w:line="540" w:lineRule="atLeast"/>
        <w:jc w:val="center"/>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FATTO e DIRITTO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1 – Con </w:t>
      </w:r>
      <w:proofErr w:type="gramStart"/>
      <w:r w:rsidRPr="007A36B0">
        <w:rPr>
          <w:rFonts w:ascii="Garamond" w:eastAsia="Times New Roman" w:hAnsi="Garamond" w:cs="Times New Roman"/>
          <w:color w:val="000000"/>
          <w:sz w:val="30"/>
          <w:szCs w:val="30"/>
        </w:rPr>
        <w:t>il</w:t>
      </w:r>
      <w:proofErr w:type="gramEnd"/>
      <w:r w:rsidRPr="007A36B0">
        <w:rPr>
          <w:rFonts w:ascii="Garamond" w:eastAsia="Times New Roman" w:hAnsi="Garamond" w:cs="Times New Roman"/>
          <w:color w:val="000000"/>
          <w:sz w:val="30"/>
          <w:szCs w:val="30"/>
        </w:rPr>
        <w:t xml:space="preserve"> ricorso in primo grado, l’odierna appellante impugnava l’atto, adottato dal comune di Brusciano, di annullamento della S.C.I.A., prot. 28139 </w:t>
      </w:r>
      <w:proofErr w:type="gramStart"/>
      <w:r w:rsidRPr="007A36B0">
        <w:rPr>
          <w:rFonts w:ascii="Garamond" w:eastAsia="Times New Roman" w:hAnsi="Garamond" w:cs="Times New Roman"/>
          <w:color w:val="000000"/>
          <w:sz w:val="30"/>
          <w:szCs w:val="30"/>
        </w:rPr>
        <w:t>del</w:t>
      </w:r>
      <w:proofErr w:type="gramEnd"/>
      <w:r w:rsidRPr="007A36B0">
        <w:rPr>
          <w:rFonts w:ascii="Garamond" w:eastAsia="Times New Roman" w:hAnsi="Garamond" w:cs="Times New Roman"/>
          <w:color w:val="000000"/>
          <w:sz w:val="30"/>
          <w:szCs w:val="30"/>
        </w:rPr>
        <w:t xml:space="preserve"> 12 dicembre 2020, avente ad oggetto il cambio di destinazione d’uso di un immobile da rurale a residenziale.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La sentenza impugnata respingeva il ricorso, osservando che in data 16 febbraio 2007 il Comune aveva accertato, in esito a sopralluogo, la realizzazione di opere in totale difformità dai titoli edilizi e notificato un’ordinanza per la loro demolizione, mai ottemperata, conseguendone l’inidoneità di una SCIA a sanare tale situazione.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2 - Tale sentenza veniva appellata dall’interessata mediante la deduzione di plurimi motivi.</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Il Comune si costitutiva in giudizio e </w:t>
      </w:r>
      <w:proofErr w:type="gramStart"/>
      <w:r w:rsidRPr="007A36B0">
        <w:rPr>
          <w:rFonts w:ascii="Garamond" w:eastAsia="Times New Roman" w:hAnsi="Garamond" w:cs="Times New Roman"/>
          <w:color w:val="000000"/>
          <w:sz w:val="30"/>
          <w:szCs w:val="30"/>
        </w:rPr>
        <w:t>vi</w:t>
      </w:r>
      <w:proofErr w:type="gramEnd"/>
      <w:r w:rsidRPr="007A36B0">
        <w:rPr>
          <w:rFonts w:ascii="Garamond" w:eastAsia="Times New Roman" w:hAnsi="Garamond" w:cs="Times New Roman"/>
          <w:color w:val="000000"/>
          <w:sz w:val="30"/>
          <w:szCs w:val="30"/>
        </w:rPr>
        <w:t xml:space="preserve"> era scambio di memorie.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3 - In prossimità dell’udienza di merito, l’appellante ha chiesto </w:t>
      </w:r>
      <w:proofErr w:type="gramStart"/>
      <w:r w:rsidRPr="007A36B0">
        <w:rPr>
          <w:rFonts w:ascii="Garamond" w:eastAsia="Times New Roman" w:hAnsi="Garamond" w:cs="Times New Roman"/>
          <w:color w:val="000000"/>
          <w:sz w:val="30"/>
          <w:szCs w:val="30"/>
        </w:rPr>
        <w:t>un</w:t>
      </w:r>
      <w:proofErr w:type="gramEnd"/>
      <w:r w:rsidRPr="007A36B0">
        <w:rPr>
          <w:rFonts w:ascii="Garamond" w:eastAsia="Times New Roman" w:hAnsi="Garamond" w:cs="Times New Roman"/>
          <w:color w:val="000000"/>
          <w:sz w:val="30"/>
          <w:szCs w:val="30"/>
        </w:rPr>
        <w:t xml:space="preserve"> rinvio della trattazione, rappresentando di avere presentato, in data 9 ottobre 2025, istanza </w:t>
      </w:r>
      <w:r w:rsidRPr="007A36B0">
        <w:rPr>
          <w:rFonts w:ascii="Garamond" w:eastAsia="Times New Roman" w:hAnsi="Garamond" w:cs="Times New Roman"/>
          <w:color w:val="000000"/>
          <w:sz w:val="30"/>
          <w:szCs w:val="30"/>
        </w:rPr>
        <w:lastRenderedPageBreak/>
        <w:t>di permesso di costruire in sanatoria per i medesimi interventi abusivi già interessati dal provvedimento impugnato in primo grado.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4 –Eccepisce </w:t>
      </w:r>
      <w:proofErr w:type="gramStart"/>
      <w:r w:rsidRPr="007A36B0">
        <w:rPr>
          <w:rFonts w:ascii="Garamond" w:eastAsia="Times New Roman" w:hAnsi="Garamond" w:cs="Times New Roman"/>
          <w:color w:val="000000"/>
          <w:sz w:val="30"/>
          <w:szCs w:val="30"/>
        </w:rPr>
        <w:t>il</w:t>
      </w:r>
      <w:proofErr w:type="gramEnd"/>
      <w:r w:rsidRPr="007A36B0">
        <w:rPr>
          <w:rFonts w:ascii="Garamond" w:eastAsia="Times New Roman" w:hAnsi="Garamond" w:cs="Times New Roman"/>
          <w:color w:val="000000"/>
          <w:sz w:val="30"/>
          <w:szCs w:val="30"/>
        </w:rPr>
        <w:t xml:space="preserve"> Comune resistente, che l’interesse alla definizione del giudizio è venuto meno, in quanto la pretesa sostanziale al bene della vita reclamato con l’appello si è spostato sull’esito della predetta istanza, in quanto, sia in caso di accoglimento, che di rigetto della stessa, all’odierna appellante non deriverebbe più alcuna utilità dalla decisione della presente impugnazione. </w:t>
      </w:r>
      <w:proofErr w:type="gramStart"/>
      <w:r w:rsidRPr="007A36B0">
        <w:rPr>
          <w:rFonts w:ascii="Garamond" w:eastAsia="Times New Roman" w:hAnsi="Garamond" w:cs="Times New Roman"/>
          <w:color w:val="000000"/>
          <w:sz w:val="30"/>
          <w:szCs w:val="30"/>
        </w:rPr>
        <w:t>Chiede pertanto che sia dichiarata la sopravvenuta carenza di interesse alla decisione ex art.</w:t>
      </w:r>
      <w:proofErr w:type="gramEnd"/>
      <w:r w:rsidRPr="007A36B0">
        <w:rPr>
          <w:rFonts w:ascii="Garamond" w:eastAsia="Times New Roman" w:hAnsi="Garamond" w:cs="Times New Roman"/>
          <w:color w:val="000000"/>
          <w:sz w:val="30"/>
          <w:szCs w:val="30"/>
        </w:rPr>
        <w:t xml:space="preserve"> 35, comma 1, </w:t>
      </w:r>
      <w:proofErr w:type="gramStart"/>
      <w:r w:rsidRPr="007A36B0">
        <w:rPr>
          <w:rFonts w:ascii="Garamond" w:eastAsia="Times New Roman" w:hAnsi="Garamond" w:cs="Times New Roman"/>
          <w:color w:val="000000"/>
          <w:sz w:val="30"/>
          <w:szCs w:val="30"/>
        </w:rPr>
        <w:t>lett</w:t>
      </w:r>
      <w:proofErr w:type="gramEnd"/>
      <w:r w:rsidRPr="007A36B0">
        <w:rPr>
          <w:rFonts w:ascii="Garamond" w:eastAsia="Times New Roman" w:hAnsi="Garamond" w:cs="Times New Roman"/>
          <w:color w:val="000000"/>
          <w:sz w:val="30"/>
          <w:szCs w:val="30"/>
        </w:rPr>
        <w:t>. c), c.p.a., dovendosi rigettare la richiesta di rinvio.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5 – Al riguardo, considera il Collegio che l’istanza di permesso di costruire in sanatoria per i medesimi interventi abusivi oggetto del contenzioso in esame è stata validamente presentata, così come ammesso dal Comune,che sulla stessa dovrà motivatamente pronunciarsi, e che tuttavia l’avvenuta presentazione di tale domanda non impone né una sospensione del giudizio né una dichiarazione di improcedibilità del medesimo, atteso che, al contrario, la futura determinazione del Comune sulla medesima istanza alla stregua della disciplina applicabile </w:t>
      </w:r>
      <w:r w:rsidRPr="007A36B0">
        <w:rPr>
          <w:rFonts w:ascii="Garamond" w:eastAsia="Times New Roman" w:hAnsi="Garamond" w:cs="Times New Roman"/>
          <w:i/>
          <w:iCs/>
          <w:color w:val="000000"/>
          <w:sz w:val="30"/>
          <w:szCs w:val="30"/>
        </w:rPr>
        <w:t>pro tempore</w:t>
      </w:r>
      <w:r w:rsidRPr="007A36B0">
        <w:rPr>
          <w:rFonts w:ascii="Garamond" w:eastAsia="Times New Roman" w:hAnsi="Garamond" w:cs="Times New Roman"/>
          <w:color w:val="000000"/>
          <w:sz w:val="30"/>
          <w:szCs w:val="30"/>
        </w:rPr>
        <w:t> al momento della futura decisione, da un lato, non può sostituirsi alla definizione del giudizio </w:t>
      </w:r>
      <w:r w:rsidRPr="007A36B0">
        <w:rPr>
          <w:rFonts w:ascii="Garamond" w:eastAsia="Times New Roman" w:hAnsi="Garamond" w:cs="Times New Roman"/>
          <w:i/>
          <w:iCs/>
          <w:color w:val="000000"/>
          <w:sz w:val="30"/>
          <w:szCs w:val="30"/>
        </w:rPr>
        <w:t>a quo </w:t>
      </w:r>
      <w:r w:rsidRPr="007A36B0">
        <w:rPr>
          <w:rFonts w:ascii="Garamond" w:eastAsia="Times New Roman" w:hAnsi="Garamond" w:cs="Times New Roman"/>
          <w:color w:val="000000"/>
          <w:sz w:val="30"/>
          <w:szCs w:val="30"/>
        </w:rPr>
        <w:t>né condizionare tale decisione quanto agli effetti prodottisi</w:t>
      </w:r>
      <w:r w:rsidRPr="007A36B0">
        <w:rPr>
          <w:rFonts w:ascii="Garamond" w:eastAsia="Times New Roman" w:hAnsi="Garamond" w:cs="Times New Roman"/>
          <w:i/>
          <w:iCs/>
          <w:color w:val="000000"/>
          <w:sz w:val="30"/>
          <w:szCs w:val="30"/>
        </w:rPr>
        <w:t> medio tempore </w:t>
      </w:r>
      <w:r w:rsidRPr="007A36B0">
        <w:rPr>
          <w:rFonts w:ascii="Garamond" w:eastAsia="Times New Roman" w:hAnsi="Garamond" w:cs="Times New Roman"/>
          <w:color w:val="000000"/>
          <w:sz w:val="30"/>
          <w:szCs w:val="30"/>
        </w:rPr>
        <w:t>ma, dall’altro, è condizionata dalla decisione del presente contenzioso, in quanto un accoglimento dell’appello determinerebbe una sopravvenuta improcedibilità dell’istanza, che diverrebbe priva di contenuto, mentre</w:t>
      </w:r>
      <w:r w:rsidRPr="007A36B0">
        <w:rPr>
          <w:rFonts w:ascii="Garamond" w:eastAsia="Times New Roman" w:hAnsi="Garamond" w:cs="Times New Roman"/>
          <w:i/>
          <w:iCs/>
          <w:color w:val="000000"/>
          <w:sz w:val="30"/>
          <w:szCs w:val="30"/>
        </w:rPr>
        <w:t> </w:t>
      </w:r>
      <w:r w:rsidRPr="007A36B0">
        <w:rPr>
          <w:rFonts w:ascii="Garamond" w:eastAsia="Times New Roman" w:hAnsi="Garamond" w:cs="Times New Roman"/>
          <w:color w:val="000000"/>
          <w:sz w:val="30"/>
          <w:szCs w:val="30"/>
        </w:rPr>
        <w:t>una</w:t>
      </w:r>
      <w:r w:rsidRPr="007A36B0">
        <w:rPr>
          <w:rFonts w:ascii="Garamond" w:eastAsia="Times New Roman" w:hAnsi="Garamond" w:cs="Times New Roman"/>
          <w:i/>
          <w:iCs/>
          <w:color w:val="000000"/>
          <w:sz w:val="30"/>
          <w:szCs w:val="30"/>
        </w:rPr>
        <w:t> </w:t>
      </w:r>
      <w:r w:rsidRPr="007A36B0">
        <w:rPr>
          <w:rFonts w:ascii="Garamond" w:eastAsia="Times New Roman" w:hAnsi="Garamond" w:cs="Times New Roman"/>
          <w:color w:val="000000"/>
          <w:sz w:val="30"/>
          <w:szCs w:val="30"/>
        </w:rPr>
        <w:t xml:space="preserve">reiezione dell’appello renderebbe, al contrario , la definizione della medesima istanza dirimente per le sorti dell’intervento edilizio accertato come abusivo, dovendo l’appellante, in caso di reiezione </w:t>
      </w:r>
      <w:r w:rsidRPr="007A36B0">
        <w:rPr>
          <w:rFonts w:ascii="Garamond" w:eastAsia="Times New Roman" w:hAnsi="Garamond" w:cs="Times New Roman"/>
          <w:color w:val="000000"/>
          <w:sz w:val="30"/>
          <w:szCs w:val="30"/>
        </w:rPr>
        <w:lastRenderedPageBreak/>
        <w:t>dell’istanza, provvedere al ripristino dei luoghi entro i termini posti dall’originario provvedimento di demolizione, che riprenderebbero a decorrere da tale momento.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6 - Chiariti in </w:t>
      </w:r>
      <w:proofErr w:type="gramStart"/>
      <w:r w:rsidRPr="007A36B0">
        <w:rPr>
          <w:rFonts w:ascii="Garamond" w:eastAsia="Times New Roman" w:hAnsi="Garamond" w:cs="Times New Roman"/>
          <w:color w:val="000000"/>
          <w:sz w:val="30"/>
          <w:szCs w:val="30"/>
        </w:rPr>
        <w:t>tal</w:t>
      </w:r>
      <w:proofErr w:type="gramEnd"/>
      <w:r w:rsidRPr="007A36B0">
        <w:rPr>
          <w:rFonts w:ascii="Garamond" w:eastAsia="Times New Roman" w:hAnsi="Garamond" w:cs="Times New Roman"/>
          <w:color w:val="000000"/>
          <w:sz w:val="30"/>
          <w:szCs w:val="30"/>
        </w:rPr>
        <w:t xml:space="preserve"> senso i termini della controversia, è possibile passare all’esame delle censure dedotte dalla appellante avverso la sentenza appellata.</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7 – In particolare, vengono dedotti i vizi di “</w:t>
      </w:r>
      <w:r w:rsidRPr="007A36B0">
        <w:rPr>
          <w:rFonts w:ascii="Garamond" w:eastAsia="Times New Roman" w:hAnsi="Garamond" w:cs="Times New Roman"/>
          <w:i/>
          <w:iCs/>
          <w:color w:val="000000"/>
          <w:sz w:val="30"/>
          <w:szCs w:val="30"/>
        </w:rPr>
        <w:t xml:space="preserve">Difetto di adeguata istruttoria – Violazione </w:t>
      </w:r>
      <w:proofErr w:type="gramStart"/>
      <w:r w:rsidRPr="007A36B0">
        <w:rPr>
          <w:rFonts w:ascii="Garamond" w:eastAsia="Times New Roman" w:hAnsi="Garamond" w:cs="Times New Roman"/>
          <w:i/>
          <w:iCs/>
          <w:color w:val="000000"/>
          <w:sz w:val="30"/>
          <w:szCs w:val="30"/>
        </w:rPr>
        <w:t>del</w:t>
      </w:r>
      <w:proofErr w:type="gramEnd"/>
      <w:r w:rsidRPr="007A36B0">
        <w:rPr>
          <w:rFonts w:ascii="Garamond" w:eastAsia="Times New Roman" w:hAnsi="Garamond" w:cs="Times New Roman"/>
          <w:i/>
          <w:iCs/>
          <w:color w:val="000000"/>
          <w:sz w:val="30"/>
          <w:szCs w:val="30"/>
        </w:rPr>
        <w:t xml:space="preserve"> principio di proporzionalità dell’azione amministrativa – Violazione del principio di buon andamento della p.a. (art. 97 cost.) – Motivazione apparente – Difetto di motivazione – Violazione art. </w:t>
      </w:r>
      <w:proofErr w:type="gramStart"/>
      <w:r w:rsidRPr="007A36B0">
        <w:rPr>
          <w:rFonts w:ascii="Garamond" w:eastAsia="Times New Roman" w:hAnsi="Garamond" w:cs="Times New Roman"/>
          <w:i/>
          <w:iCs/>
          <w:color w:val="000000"/>
          <w:sz w:val="30"/>
          <w:szCs w:val="30"/>
        </w:rPr>
        <w:t>34 d.p.r. 380/2001 – Indemolibilità opera in difformità parziale – Applicazione sanzione alternativa”.</w:t>
      </w:r>
      <w:proofErr w:type="gramEnd"/>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Infatti premesso che il mutamento di destinazione d’uso di un fabbricato, che determini, dal punto di vista urbanistico, il passaggio tra diverse categorie in rapporto di reciproca autonomia funzionale, comporta inevitabilmente un differente carico ed un maggiore impatto urbanistico, anche se nell’ambito di zone territoriali omogenee, tale variazione doveva essere comunque accertata dal Comune in relazione ai servizi e agli standard ivi esistenti anche indipendentemente dalla esecuzione di opere, configurandosi un potere-dovere di accertamento dell’incidenza dell’intervento sul territorio, non esercitato dal Comune nella fattispecie in esame.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Si lamenta pertanto </w:t>
      </w:r>
      <w:proofErr w:type="gramStart"/>
      <w:r w:rsidRPr="007A36B0">
        <w:rPr>
          <w:rFonts w:ascii="Garamond" w:eastAsia="Times New Roman" w:hAnsi="Garamond" w:cs="Times New Roman"/>
          <w:color w:val="000000"/>
          <w:sz w:val="30"/>
          <w:szCs w:val="30"/>
        </w:rPr>
        <w:t>il</w:t>
      </w:r>
      <w:proofErr w:type="gramEnd"/>
      <w:r w:rsidRPr="007A36B0">
        <w:rPr>
          <w:rFonts w:ascii="Garamond" w:eastAsia="Times New Roman" w:hAnsi="Garamond" w:cs="Times New Roman"/>
          <w:color w:val="000000"/>
          <w:sz w:val="30"/>
          <w:szCs w:val="30"/>
        </w:rPr>
        <w:t xml:space="preserve"> difetto di un’adeguata istruttoria e di una congrua motivazione nel rispetto del principio di proporzionalità dell’azione amministrativa e di buon andamento della P.A. anche in ragione della impossibilità di demolire la sola parte dell’opera parzialmente difforme.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lastRenderedPageBreak/>
        <w:t xml:space="preserve">Inoltre, quanto alla necessità </w:t>
      </w:r>
      <w:proofErr w:type="gramStart"/>
      <w:r w:rsidRPr="007A36B0">
        <w:rPr>
          <w:rFonts w:ascii="Garamond" w:eastAsia="Times New Roman" w:hAnsi="Garamond" w:cs="Times New Roman"/>
          <w:color w:val="000000"/>
          <w:sz w:val="30"/>
          <w:szCs w:val="30"/>
        </w:rPr>
        <w:t>della</w:t>
      </w:r>
      <w:proofErr w:type="gramEnd"/>
      <w:r w:rsidRPr="007A36B0">
        <w:rPr>
          <w:rFonts w:ascii="Garamond" w:eastAsia="Times New Roman" w:hAnsi="Garamond" w:cs="Times New Roman"/>
          <w:color w:val="000000"/>
          <w:sz w:val="30"/>
          <w:szCs w:val="30"/>
        </w:rPr>
        <w:t xml:space="preserve"> c.d. doppia conformità dell’area, sia all’epoca dell’abuso che al momento del rilascio della sanatoria, rileverebbe che la zona in questione è ora classificata: B2- Tessuto residenziale di completamento mentre all’epoca del cambio di destinazione d’uso eseguito, la zona era classificata agricola. </w:t>
      </w:r>
      <w:proofErr w:type="gramStart"/>
      <w:r w:rsidRPr="007A36B0">
        <w:rPr>
          <w:rFonts w:ascii="Garamond" w:eastAsia="Times New Roman" w:hAnsi="Garamond" w:cs="Times New Roman"/>
          <w:color w:val="000000"/>
          <w:sz w:val="30"/>
          <w:szCs w:val="30"/>
        </w:rPr>
        <w:t>Tuttavia, la zona in questione all’epoca degli abusi aveva già una vocazione edificatoria, dimostrata proprio dal suo sviluppo edilizio.</w:t>
      </w:r>
      <w:proofErr w:type="gramEnd"/>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Un’adeguata istruttoria avrebbe poi consentito di rilevare che gli abusi riscontrati attenevano ad </w:t>
      </w:r>
      <w:proofErr w:type="gramStart"/>
      <w:r w:rsidRPr="007A36B0">
        <w:rPr>
          <w:rFonts w:ascii="Garamond" w:eastAsia="Times New Roman" w:hAnsi="Garamond" w:cs="Times New Roman"/>
          <w:color w:val="000000"/>
          <w:sz w:val="30"/>
          <w:szCs w:val="30"/>
        </w:rPr>
        <w:t>un</w:t>
      </w:r>
      <w:proofErr w:type="gramEnd"/>
      <w:r w:rsidRPr="007A36B0">
        <w:rPr>
          <w:rFonts w:ascii="Garamond" w:eastAsia="Times New Roman" w:hAnsi="Garamond" w:cs="Times New Roman"/>
          <w:color w:val="000000"/>
          <w:sz w:val="30"/>
          <w:szCs w:val="30"/>
        </w:rPr>
        <w:t xml:space="preserve"> cambio di destinazione d’uso di ambienti interni alla sagoma del fabbricato legittimamente realizzato, oltre piccole modifiche interne, di modo che occorreva valutare l’applicazione dell’art. 34, comma 2, del Testo unico dell’edilizia, convertendo la demolizione nell’applicazione di una sanzione pari al doppio del costo di produzione, stabilito in base alla legge 27 luglio 1978, n. 392, della parte dell'opera realizzata in difformità dal permesso di costruire.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8 – Così come ampiamente argomentato nelle difese comunali, le predette censure sono infondate.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Infatti, il TAR ha adeguatamente motivato il diniego alla luce della consolidata giurisprudenza secondo la quale, alla stregua della disciplina applicabile pro tempore, non è sufficiente la SCIA, ma occorre il permesso di costruire, quando il mutamento della destinazione d'uso interviene tra categorie edilizie funzionalmente autonome e non omogenee, poiché tale modificazione edilizia incide sul carico urbanistico senza che rilevi l'avvenuta esecuzione di opere, in particolare in caso di</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proofErr w:type="gramStart"/>
      <w:r w:rsidRPr="007A36B0">
        <w:rPr>
          <w:rFonts w:ascii="Garamond" w:eastAsia="Times New Roman" w:hAnsi="Garamond" w:cs="Times New Roman"/>
          <w:color w:val="000000"/>
          <w:sz w:val="30"/>
          <w:szCs w:val="30"/>
        </w:rPr>
        <w:t>mutamento</w:t>
      </w:r>
      <w:proofErr w:type="gramEnd"/>
      <w:r w:rsidRPr="007A36B0">
        <w:rPr>
          <w:rFonts w:ascii="Garamond" w:eastAsia="Times New Roman" w:hAnsi="Garamond" w:cs="Times New Roman"/>
          <w:color w:val="000000"/>
          <w:sz w:val="30"/>
          <w:szCs w:val="30"/>
        </w:rPr>
        <w:t xml:space="preserve"> di destinazione di uso di manufatto, come nella specie, da agricolo a residenziale, fisiologicamente comportante un diverso carico urbanistico.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lastRenderedPageBreak/>
        <w:t xml:space="preserve">Quanto, poi, alla contestata mancata applicazione </w:t>
      </w:r>
      <w:proofErr w:type="gramStart"/>
      <w:r w:rsidRPr="007A36B0">
        <w:rPr>
          <w:rFonts w:ascii="Garamond" w:eastAsia="Times New Roman" w:hAnsi="Garamond" w:cs="Times New Roman"/>
          <w:color w:val="000000"/>
          <w:sz w:val="30"/>
          <w:szCs w:val="30"/>
        </w:rPr>
        <w:t>della</w:t>
      </w:r>
      <w:proofErr w:type="gramEnd"/>
      <w:r w:rsidRPr="007A36B0">
        <w:rPr>
          <w:rFonts w:ascii="Garamond" w:eastAsia="Times New Roman" w:hAnsi="Garamond" w:cs="Times New Roman"/>
          <w:color w:val="000000"/>
          <w:sz w:val="30"/>
          <w:szCs w:val="30"/>
        </w:rPr>
        <w:t xml:space="preserve"> sanzione pecuniaria sostitutiva, occorre rilevare che, in relazione alla tipologia di abuso contestata, la disposta demolizione doveva necessariamente intendersi come riferita al solo mutamento d’uso ed alle singole opere (interne) strettamente funzionali a tale mutamento, e pertanto non necessitava di alcuna conversione in sanzione patrimoniale a salvaguardia della sicurezza statica dell’edifico.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La conseguente inidoneità dello strumento giuridico attivato (la SCIA) ai fini dell’ottenimento </w:t>
      </w:r>
      <w:proofErr w:type="gramStart"/>
      <w:r w:rsidRPr="007A36B0">
        <w:rPr>
          <w:rFonts w:ascii="Garamond" w:eastAsia="Times New Roman" w:hAnsi="Garamond" w:cs="Times New Roman"/>
          <w:color w:val="000000"/>
          <w:sz w:val="30"/>
          <w:szCs w:val="30"/>
        </w:rPr>
        <w:t>del</w:t>
      </w:r>
      <w:proofErr w:type="gramEnd"/>
      <w:r w:rsidRPr="007A36B0">
        <w:rPr>
          <w:rFonts w:ascii="Garamond" w:eastAsia="Times New Roman" w:hAnsi="Garamond" w:cs="Times New Roman"/>
          <w:color w:val="000000"/>
          <w:sz w:val="30"/>
          <w:szCs w:val="30"/>
        </w:rPr>
        <w:t xml:space="preserve"> titolo, unitamente alla ragionevolezza della disposta misura di riduzione in pristino, rende non dirimenti le altre censure sollevate.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9 – La reiezione dell’appello nei predetti termini comporta la conferma </w:t>
      </w:r>
      <w:proofErr w:type="gramStart"/>
      <w:r w:rsidRPr="007A36B0">
        <w:rPr>
          <w:rFonts w:ascii="Garamond" w:eastAsia="Times New Roman" w:hAnsi="Garamond" w:cs="Times New Roman"/>
          <w:color w:val="000000"/>
          <w:sz w:val="30"/>
          <w:szCs w:val="30"/>
        </w:rPr>
        <w:t>della</w:t>
      </w:r>
      <w:proofErr w:type="gramEnd"/>
      <w:r w:rsidRPr="007A36B0">
        <w:rPr>
          <w:rFonts w:ascii="Garamond" w:eastAsia="Times New Roman" w:hAnsi="Garamond" w:cs="Times New Roman"/>
          <w:color w:val="000000"/>
          <w:sz w:val="30"/>
          <w:szCs w:val="30"/>
        </w:rPr>
        <w:t xml:space="preserve"> sentenza di reiezione di primo grado rendendo decisiva, come sopra indicato, la futura decisione del Comune intimato sulla successiva istanza di sanatoria, ai fini della sorte delle opere in esame.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10 - La complessità e peculiarità </w:t>
      </w:r>
      <w:proofErr w:type="gramStart"/>
      <w:r w:rsidRPr="007A36B0">
        <w:rPr>
          <w:rFonts w:ascii="Garamond" w:eastAsia="Times New Roman" w:hAnsi="Garamond" w:cs="Times New Roman"/>
          <w:color w:val="000000"/>
          <w:sz w:val="30"/>
          <w:szCs w:val="30"/>
        </w:rPr>
        <w:t>della</w:t>
      </w:r>
      <w:proofErr w:type="gramEnd"/>
      <w:r w:rsidRPr="007A36B0">
        <w:rPr>
          <w:rFonts w:ascii="Garamond" w:eastAsia="Times New Roman" w:hAnsi="Garamond" w:cs="Times New Roman"/>
          <w:color w:val="000000"/>
          <w:sz w:val="30"/>
          <w:szCs w:val="30"/>
        </w:rPr>
        <w:t xml:space="preserve"> fattispecie controversa motiva, infine, la compensazione delle spese del presente grado di giudizio.</w:t>
      </w:r>
    </w:p>
    <w:p w:rsidR="007A36B0" w:rsidRPr="007A36B0" w:rsidRDefault="007A36B0" w:rsidP="007A36B0">
      <w:pPr>
        <w:spacing w:after="0" w:line="540" w:lineRule="atLeast"/>
        <w:jc w:val="center"/>
        <w:rPr>
          <w:rFonts w:ascii="Garamond" w:eastAsia="Times New Roman" w:hAnsi="Garamond" w:cs="Times New Roman"/>
          <w:color w:val="000000"/>
          <w:sz w:val="30"/>
          <w:szCs w:val="30"/>
        </w:rPr>
      </w:pPr>
      <w:proofErr w:type="gramStart"/>
      <w:r w:rsidRPr="007A36B0">
        <w:rPr>
          <w:rFonts w:ascii="Garamond" w:eastAsia="Times New Roman" w:hAnsi="Garamond" w:cs="Times New Roman"/>
          <w:color w:val="000000"/>
          <w:sz w:val="30"/>
          <w:szCs w:val="30"/>
        </w:rPr>
        <w:t>P.Q.M.</w:t>
      </w:r>
      <w:proofErr w:type="gramEnd"/>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Il Consiglio di Stato in sede giurisdizionale (Sezione Settima), definitivamente pronunciando sull'appello, </w:t>
      </w:r>
      <w:proofErr w:type="gramStart"/>
      <w:r w:rsidRPr="007A36B0">
        <w:rPr>
          <w:rFonts w:ascii="Garamond" w:eastAsia="Times New Roman" w:hAnsi="Garamond" w:cs="Times New Roman"/>
          <w:color w:val="000000"/>
          <w:sz w:val="30"/>
          <w:szCs w:val="30"/>
        </w:rPr>
        <w:t>come</w:t>
      </w:r>
      <w:proofErr w:type="gramEnd"/>
      <w:r w:rsidRPr="007A36B0">
        <w:rPr>
          <w:rFonts w:ascii="Garamond" w:eastAsia="Times New Roman" w:hAnsi="Garamond" w:cs="Times New Roman"/>
          <w:color w:val="000000"/>
          <w:sz w:val="30"/>
          <w:szCs w:val="30"/>
        </w:rPr>
        <w:t xml:space="preserve"> in epigrafe proposto, lo respinge.</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Compensa </w:t>
      </w:r>
      <w:proofErr w:type="gramStart"/>
      <w:r w:rsidRPr="007A36B0">
        <w:rPr>
          <w:rFonts w:ascii="Garamond" w:eastAsia="Times New Roman" w:hAnsi="Garamond" w:cs="Times New Roman"/>
          <w:color w:val="000000"/>
          <w:sz w:val="30"/>
          <w:szCs w:val="30"/>
        </w:rPr>
        <w:t>fra</w:t>
      </w:r>
      <w:proofErr w:type="gramEnd"/>
      <w:r w:rsidRPr="007A36B0">
        <w:rPr>
          <w:rFonts w:ascii="Garamond" w:eastAsia="Times New Roman" w:hAnsi="Garamond" w:cs="Times New Roman"/>
          <w:color w:val="000000"/>
          <w:sz w:val="30"/>
          <w:szCs w:val="30"/>
        </w:rPr>
        <w:t xml:space="preserve"> le parti le spese del presente grado di giudizio.</w:t>
      </w:r>
    </w:p>
    <w:p w:rsidR="007A36B0" w:rsidRPr="007A36B0" w:rsidRDefault="007A36B0" w:rsidP="007A36B0">
      <w:pPr>
        <w:spacing w:after="0" w:line="520" w:lineRule="atLeast"/>
        <w:jc w:val="both"/>
        <w:rPr>
          <w:rFonts w:ascii="Garamond" w:eastAsia="Times New Roman" w:hAnsi="Garamond" w:cs="Times New Roman"/>
          <w:color w:val="000000"/>
          <w:sz w:val="30"/>
          <w:szCs w:val="30"/>
        </w:rPr>
      </w:pPr>
      <w:proofErr w:type="gramStart"/>
      <w:r w:rsidRPr="007A36B0">
        <w:rPr>
          <w:rFonts w:ascii="Garamond" w:eastAsia="Times New Roman" w:hAnsi="Garamond" w:cs="Times New Roman"/>
          <w:color w:val="000000"/>
          <w:sz w:val="30"/>
          <w:szCs w:val="30"/>
        </w:rPr>
        <w:t>Ordina che la presente sentenza sia eseguita dall'autorità amministrativa.</w:t>
      </w:r>
      <w:proofErr w:type="gramEnd"/>
    </w:p>
    <w:p w:rsidR="007A36B0" w:rsidRPr="007A36B0" w:rsidRDefault="007A36B0" w:rsidP="007A36B0">
      <w:pPr>
        <w:spacing w:after="0" w:line="520" w:lineRule="atLeast"/>
        <w:jc w:val="both"/>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 xml:space="preserve">Così deciso in Roma nella camera di consiglio </w:t>
      </w:r>
      <w:proofErr w:type="gramStart"/>
      <w:r w:rsidRPr="007A36B0">
        <w:rPr>
          <w:rFonts w:ascii="Garamond" w:eastAsia="Times New Roman" w:hAnsi="Garamond" w:cs="Times New Roman"/>
          <w:color w:val="000000"/>
          <w:sz w:val="30"/>
          <w:szCs w:val="30"/>
        </w:rPr>
        <w:t>del</w:t>
      </w:r>
      <w:proofErr w:type="gramEnd"/>
      <w:r w:rsidRPr="007A36B0">
        <w:rPr>
          <w:rFonts w:ascii="Garamond" w:eastAsia="Times New Roman" w:hAnsi="Garamond" w:cs="Times New Roman"/>
          <w:color w:val="000000"/>
          <w:sz w:val="30"/>
          <w:szCs w:val="30"/>
        </w:rPr>
        <w:t xml:space="preserve"> giorno 11 novembre 2025 con l'intervento dei magistrati:</w:t>
      </w:r>
    </w:p>
    <w:p w:rsidR="007A36B0" w:rsidRPr="007A36B0" w:rsidRDefault="007A36B0" w:rsidP="007A36B0">
      <w:pPr>
        <w:spacing w:after="0" w:line="520" w:lineRule="atLeast"/>
        <w:ind w:firstLine="567"/>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Marco Lipari, Presidente</w:t>
      </w:r>
    </w:p>
    <w:p w:rsidR="007A36B0" w:rsidRPr="007A36B0" w:rsidRDefault="007A36B0" w:rsidP="007A36B0">
      <w:pPr>
        <w:spacing w:after="0" w:line="520" w:lineRule="atLeast"/>
        <w:ind w:firstLine="567"/>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Massimiliano Noccelli, Consigliere</w:t>
      </w:r>
    </w:p>
    <w:p w:rsidR="007A36B0" w:rsidRPr="007A36B0" w:rsidRDefault="007A36B0" w:rsidP="007A36B0">
      <w:pPr>
        <w:spacing w:after="0" w:line="520" w:lineRule="atLeast"/>
        <w:ind w:firstLine="567"/>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lastRenderedPageBreak/>
        <w:t>Daniela Di Carlo, Consigliere</w:t>
      </w:r>
    </w:p>
    <w:p w:rsidR="007A36B0" w:rsidRPr="007A36B0" w:rsidRDefault="007A36B0" w:rsidP="007A36B0">
      <w:pPr>
        <w:spacing w:after="0" w:line="520" w:lineRule="atLeast"/>
        <w:ind w:firstLine="567"/>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Raffaello Sestini, Consigliere, Estensore</w:t>
      </w:r>
    </w:p>
    <w:p w:rsidR="007A36B0" w:rsidRPr="007A36B0" w:rsidRDefault="007A36B0" w:rsidP="007A36B0">
      <w:pPr>
        <w:spacing w:after="0" w:line="520" w:lineRule="atLeast"/>
        <w:ind w:firstLine="567"/>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Marco Morgantini, Consigliere</w:t>
      </w:r>
    </w:p>
    <w:tbl>
      <w:tblPr>
        <w:tblW w:w="5000" w:type="pct"/>
        <w:tblCellMar>
          <w:top w:w="15" w:type="dxa"/>
          <w:left w:w="15" w:type="dxa"/>
          <w:bottom w:w="15" w:type="dxa"/>
          <w:right w:w="15" w:type="dxa"/>
        </w:tblCellMar>
        <w:tblLook w:val="04A0"/>
      </w:tblPr>
      <w:tblGrid>
        <w:gridCol w:w="4429"/>
        <w:gridCol w:w="80"/>
        <w:gridCol w:w="4881"/>
      </w:tblGrid>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 </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 </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L'ESTENSORE</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IL PRESIDENTE</w:t>
            </w: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Raffaello Sestini</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Marco Lipari</w:t>
            </w: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 </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 </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 </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 </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r>
      <w:tr w:rsidR="007A36B0" w:rsidRPr="007A36B0" w:rsidTr="007A36B0">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r w:rsidRPr="007A36B0">
              <w:rPr>
                <w:rFonts w:ascii="Times New Roman" w:eastAsia="Times New Roman" w:hAnsi="Times New Roman" w:cs="Times New Roman"/>
                <w:b/>
                <w:bCs/>
                <w:sz w:val="28"/>
                <w:szCs w:val="28"/>
              </w:rPr>
              <w:t> </w:t>
            </w: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A36B0" w:rsidRPr="007A36B0" w:rsidRDefault="007A36B0" w:rsidP="007A36B0">
            <w:pPr>
              <w:spacing w:after="0" w:line="240" w:lineRule="auto"/>
              <w:jc w:val="center"/>
              <w:rPr>
                <w:rFonts w:ascii="Times New Roman" w:eastAsia="Times New Roman" w:hAnsi="Times New Roman" w:cs="Times New Roman"/>
                <w:b/>
                <w:bCs/>
                <w:sz w:val="28"/>
                <w:szCs w:val="28"/>
              </w:rPr>
            </w:pPr>
          </w:p>
        </w:tc>
      </w:tr>
    </w:tbl>
    <w:p w:rsidR="007A36B0" w:rsidRPr="007A36B0" w:rsidRDefault="007A36B0" w:rsidP="007A36B0">
      <w:pPr>
        <w:spacing w:after="0" w:line="540" w:lineRule="atLeast"/>
        <w:jc w:val="center"/>
        <w:rPr>
          <w:rFonts w:ascii="Garamond" w:eastAsia="Times New Roman" w:hAnsi="Garamond" w:cs="Times New Roman"/>
          <w:color w:val="000000"/>
          <w:sz w:val="30"/>
          <w:szCs w:val="30"/>
        </w:rPr>
      </w:pPr>
      <w:r w:rsidRPr="007A36B0">
        <w:rPr>
          <w:rFonts w:ascii="Garamond" w:eastAsia="Times New Roman" w:hAnsi="Garamond" w:cs="Times New Roman"/>
          <w:color w:val="000000"/>
          <w:sz w:val="30"/>
          <w:szCs w:val="30"/>
        </w:rPr>
        <w:t>IL SEGRETARIO</w:t>
      </w:r>
    </w:p>
    <w:p w:rsidR="0089054B" w:rsidRDefault="0089054B"/>
    <w:sectPr w:rsidR="0089054B" w:rsidSect="00890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7A36B0"/>
    <w:rsid w:val="007A36B0"/>
    <w:rsid w:val="00890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7A36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3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6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5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2026-01-13T10:54:00Z</dcterms:created>
  <dcterms:modified xsi:type="dcterms:W3CDTF">2026-01-13T10:59:00Z</dcterms:modified>
</cp:coreProperties>
</file>