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GoBack"/>
    <w:bookmarkEnd w:id="0"/>
    <w:p w14:paraId="134ABE20" w14:textId="2D9133BC" w:rsidR="008901D4" w:rsidRPr="009567B0" w:rsidRDefault="008901D4" w:rsidP="00834B80">
      <w:pPr>
        <w:ind w:left="3600" w:firstLine="720"/>
        <w:rPr>
          <w:rFonts w:ascii="Times New Roman" w:hAnsi="Times New Roman"/>
          <w:b/>
          <w:noProof/>
        </w:rPr>
      </w:pPr>
      <w:r w:rsidRPr="009567B0">
        <w:rPr>
          <w:rFonts w:ascii="Times New Roman" w:hAnsi="Times New Roman"/>
          <w:b/>
          <w:noProof/>
        </w:rPr>
        <w:object w:dxaOrig="6674" w:dyaOrig="10036" w14:anchorId="72BB3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36pt" o:ole="">
            <v:imagedata r:id="rId8" o:title=""/>
          </v:shape>
          <o:OLEObject Type="Embed" ProgID="MSPhotoEd.3" ShapeID="_x0000_i1025" DrawAspect="Content" ObjectID="_1850897899" r:id="rId9"/>
        </w:object>
      </w:r>
    </w:p>
    <w:p w14:paraId="356C7D9C" w14:textId="77777777" w:rsidR="008901D4" w:rsidRPr="009567B0" w:rsidRDefault="008901D4" w:rsidP="00834B80">
      <w:pPr>
        <w:jc w:val="center"/>
        <w:rPr>
          <w:rFonts w:ascii="Times New Roman" w:hAnsi="Times New Roman"/>
          <w:b/>
          <w:noProof/>
        </w:rPr>
      </w:pPr>
      <w:r w:rsidRPr="009567B0">
        <w:rPr>
          <w:rFonts w:ascii="Times New Roman" w:hAnsi="Times New Roman"/>
          <w:b/>
          <w:noProof/>
        </w:rPr>
        <w:t xml:space="preserve">    REPUBLIKA E SHQIPËRISË</w:t>
      </w:r>
    </w:p>
    <w:p w14:paraId="1E1B950D" w14:textId="77777777" w:rsidR="008901D4" w:rsidRPr="009567B0" w:rsidRDefault="008901D4" w:rsidP="00834B80">
      <w:pPr>
        <w:jc w:val="center"/>
        <w:rPr>
          <w:rFonts w:ascii="Times New Roman" w:hAnsi="Times New Roman"/>
          <w:b/>
          <w:noProof/>
        </w:rPr>
      </w:pPr>
      <w:r w:rsidRPr="009567B0">
        <w:rPr>
          <w:rFonts w:ascii="Times New Roman" w:hAnsi="Times New Roman"/>
          <w:b/>
          <w:noProof/>
        </w:rPr>
        <w:t>GJYKATA E LARTË</w:t>
      </w:r>
    </w:p>
    <w:p w14:paraId="2331E339" w14:textId="77777777" w:rsidR="008901D4" w:rsidRPr="009567B0" w:rsidRDefault="008901D4" w:rsidP="00834B80">
      <w:pPr>
        <w:jc w:val="center"/>
        <w:rPr>
          <w:rFonts w:ascii="Times New Roman" w:hAnsi="Times New Roman"/>
          <w:b/>
          <w:noProof/>
        </w:rPr>
      </w:pPr>
      <w:r w:rsidRPr="009567B0">
        <w:rPr>
          <w:rFonts w:ascii="Times New Roman" w:hAnsi="Times New Roman"/>
          <w:b/>
          <w:noProof/>
        </w:rPr>
        <w:t>KOLEGJI PENAL</w:t>
      </w:r>
    </w:p>
    <w:p w14:paraId="4BE6D0D5" w14:textId="77777777" w:rsidR="008901D4" w:rsidRPr="009567B0" w:rsidRDefault="008901D4" w:rsidP="00834B80">
      <w:pPr>
        <w:jc w:val="both"/>
        <w:rPr>
          <w:rFonts w:ascii="Times New Roman" w:eastAsia="Calibri" w:hAnsi="Times New Roman"/>
          <w:b/>
          <w:bCs/>
          <w:noProof/>
        </w:rPr>
      </w:pPr>
    </w:p>
    <w:p w14:paraId="70E64E06" w14:textId="77777777" w:rsidR="008901D4" w:rsidRPr="009567B0" w:rsidRDefault="008901D4" w:rsidP="00834B80">
      <w:pPr>
        <w:jc w:val="both"/>
        <w:rPr>
          <w:rFonts w:ascii="Times New Roman" w:eastAsia="Calibri" w:hAnsi="Times New Roman"/>
          <w:b/>
          <w:noProof/>
        </w:rPr>
      </w:pPr>
      <w:r w:rsidRPr="009567B0">
        <w:rPr>
          <w:rFonts w:ascii="Times New Roman" w:eastAsia="Calibri" w:hAnsi="Times New Roman"/>
          <w:b/>
          <w:bCs/>
          <w:noProof/>
        </w:rPr>
        <w:t>Nr</w:t>
      </w:r>
      <w:r w:rsidRPr="009567B0">
        <w:rPr>
          <w:rFonts w:ascii="Times New Roman" w:hAnsi="Times New Roman"/>
          <w:b/>
          <w:iCs/>
        </w:rPr>
        <w:t xml:space="preserve">. </w:t>
      </w:r>
      <w:r w:rsidRPr="009567B0">
        <w:rPr>
          <w:rFonts w:ascii="Times New Roman" w:hAnsi="Times New Roman"/>
          <w:b/>
        </w:rPr>
        <w:t>70017-00465-00-2026</w:t>
      </w:r>
      <w:r w:rsidRPr="009567B0">
        <w:rPr>
          <w:rFonts w:ascii="Times New Roman" w:hAnsi="Times New Roman"/>
          <w:b/>
          <w:bCs/>
        </w:rPr>
        <w:t xml:space="preserve"> </w:t>
      </w:r>
      <w:r w:rsidRPr="009567B0">
        <w:rPr>
          <w:rFonts w:ascii="Times New Roman" w:eastAsia="Calibri" w:hAnsi="Times New Roman"/>
          <w:b/>
          <w:bCs/>
          <w:noProof/>
        </w:rPr>
        <w:t>Regj. Themeltar</w:t>
      </w:r>
      <w:r w:rsidRPr="009567B0">
        <w:rPr>
          <w:rFonts w:ascii="Times New Roman" w:hAnsi="Times New Roman"/>
          <w:b/>
          <w:noProof/>
        </w:rPr>
        <w:t xml:space="preserve"> </w:t>
      </w:r>
    </w:p>
    <w:p w14:paraId="4E4C236E" w14:textId="535E56CD" w:rsidR="008901D4" w:rsidRPr="009567B0" w:rsidRDefault="008901D4" w:rsidP="00834B80">
      <w:pPr>
        <w:jc w:val="both"/>
        <w:rPr>
          <w:rFonts w:ascii="Times New Roman" w:eastAsia="Calibri" w:hAnsi="Times New Roman"/>
          <w:b/>
          <w:bCs/>
          <w:noProof/>
        </w:rPr>
      </w:pPr>
      <w:r w:rsidRPr="009567B0">
        <w:rPr>
          <w:rFonts w:ascii="Times New Roman" w:eastAsia="Calibri" w:hAnsi="Times New Roman"/>
          <w:b/>
          <w:bCs/>
          <w:noProof/>
        </w:rPr>
        <w:t xml:space="preserve">Nr. </w:t>
      </w:r>
      <w:r w:rsidR="006157CD" w:rsidRPr="009567B0">
        <w:rPr>
          <w:rFonts w:ascii="Times New Roman" w:eastAsia="Calibri" w:hAnsi="Times New Roman"/>
          <w:b/>
          <w:bCs/>
          <w:noProof/>
        </w:rPr>
        <w:t xml:space="preserve">00-2026-796 i </w:t>
      </w:r>
      <w:r w:rsidRPr="009567B0">
        <w:rPr>
          <w:rFonts w:ascii="Times New Roman" w:eastAsia="Calibri" w:hAnsi="Times New Roman"/>
          <w:b/>
          <w:bCs/>
          <w:noProof/>
        </w:rPr>
        <w:t>Vendimi</w:t>
      </w:r>
      <w:r w:rsidR="006157CD" w:rsidRPr="009567B0">
        <w:rPr>
          <w:rFonts w:ascii="Times New Roman" w:eastAsia="Calibri" w:hAnsi="Times New Roman"/>
          <w:b/>
          <w:bCs/>
          <w:noProof/>
        </w:rPr>
        <w:t>t (134)</w:t>
      </w:r>
    </w:p>
    <w:p w14:paraId="6534C5E5" w14:textId="77777777" w:rsidR="006157CD" w:rsidRPr="009567B0" w:rsidRDefault="006157CD" w:rsidP="00834B80">
      <w:pPr>
        <w:jc w:val="both"/>
        <w:rPr>
          <w:rFonts w:ascii="Times New Roman" w:eastAsia="Calibri" w:hAnsi="Times New Roman"/>
          <w:b/>
          <w:bCs/>
          <w:noProof/>
        </w:rPr>
      </w:pPr>
    </w:p>
    <w:p w14:paraId="59F8187D" w14:textId="77777777" w:rsidR="008901D4" w:rsidRPr="009567B0" w:rsidRDefault="008901D4" w:rsidP="00834B80">
      <w:pPr>
        <w:pStyle w:val="Heading2"/>
        <w:spacing w:before="0" w:after="0"/>
        <w:jc w:val="center"/>
        <w:rPr>
          <w:rFonts w:ascii="Times New Roman" w:hAnsi="Times New Roman"/>
          <w:i w:val="0"/>
          <w:noProof/>
          <w:sz w:val="24"/>
          <w:szCs w:val="24"/>
        </w:rPr>
      </w:pPr>
      <w:r w:rsidRPr="009567B0">
        <w:rPr>
          <w:rFonts w:ascii="Times New Roman" w:hAnsi="Times New Roman"/>
          <w:i w:val="0"/>
          <w:noProof/>
          <w:sz w:val="24"/>
          <w:szCs w:val="24"/>
        </w:rPr>
        <w:t>VENDIM</w:t>
      </w:r>
    </w:p>
    <w:p w14:paraId="5BE579C6" w14:textId="77777777" w:rsidR="008901D4" w:rsidRPr="009567B0" w:rsidRDefault="008901D4" w:rsidP="00834B80">
      <w:pPr>
        <w:jc w:val="center"/>
        <w:rPr>
          <w:rFonts w:ascii="Times New Roman" w:hAnsi="Times New Roman"/>
          <w:b/>
          <w:bCs/>
          <w:noProof/>
        </w:rPr>
      </w:pPr>
      <w:r w:rsidRPr="009567B0">
        <w:rPr>
          <w:rFonts w:ascii="Times New Roman" w:hAnsi="Times New Roman"/>
          <w:b/>
          <w:bCs/>
          <w:noProof/>
        </w:rPr>
        <w:t>NË EMËR TË REPUBLIKËS</w:t>
      </w:r>
    </w:p>
    <w:p w14:paraId="0D7D833D" w14:textId="77777777" w:rsidR="008901D4" w:rsidRPr="009567B0" w:rsidRDefault="008901D4" w:rsidP="00834B80">
      <w:pPr>
        <w:jc w:val="both"/>
        <w:rPr>
          <w:rFonts w:ascii="Times New Roman" w:hAnsi="Times New Roman"/>
          <w:b/>
          <w:bCs/>
          <w:noProof/>
        </w:rPr>
      </w:pPr>
    </w:p>
    <w:p w14:paraId="23207AA0" w14:textId="5B4C0024" w:rsidR="008901D4" w:rsidRPr="009567B0" w:rsidRDefault="008901D4" w:rsidP="00834B80">
      <w:pPr>
        <w:jc w:val="center"/>
        <w:rPr>
          <w:rFonts w:ascii="Times New Roman" w:hAnsi="Times New Roman"/>
          <w:noProof/>
        </w:rPr>
      </w:pPr>
      <w:r w:rsidRPr="009567B0">
        <w:rPr>
          <w:rFonts w:ascii="Times New Roman" w:hAnsi="Times New Roman"/>
          <w:noProof/>
        </w:rPr>
        <w:t xml:space="preserve">Kolegji Penal i Gjykatës së Lartë, </w:t>
      </w:r>
      <w:r w:rsidR="008B1C2F" w:rsidRPr="009567B0">
        <w:rPr>
          <w:rFonts w:ascii="Times New Roman" w:hAnsi="Times New Roman"/>
        </w:rPr>
        <w:t>i përbërë nga gjyqtarët</w:t>
      </w:r>
      <w:r w:rsidRPr="009567B0">
        <w:rPr>
          <w:rFonts w:ascii="Times New Roman" w:hAnsi="Times New Roman"/>
          <w:noProof/>
        </w:rPr>
        <w:t>:</w:t>
      </w:r>
    </w:p>
    <w:p w14:paraId="300D2032" w14:textId="77777777" w:rsidR="008901D4" w:rsidRPr="009567B0" w:rsidRDefault="008901D4" w:rsidP="00834B80">
      <w:pPr>
        <w:jc w:val="both"/>
        <w:rPr>
          <w:rFonts w:ascii="Times New Roman" w:hAnsi="Times New Roman"/>
          <w:noProof/>
        </w:rPr>
      </w:pPr>
    </w:p>
    <w:p w14:paraId="0298F05D" w14:textId="77777777" w:rsidR="008901D4" w:rsidRPr="009567B0" w:rsidRDefault="008901D4" w:rsidP="00834B80">
      <w:pPr>
        <w:ind w:left="2880"/>
        <w:jc w:val="both"/>
        <w:rPr>
          <w:rFonts w:ascii="Times New Roman" w:hAnsi="Times New Roman"/>
          <w:b/>
          <w:bCs/>
          <w:lang w:bidi="ar-SA"/>
        </w:rPr>
      </w:pPr>
      <w:r w:rsidRPr="009567B0">
        <w:rPr>
          <w:rFonts w:ascii="Times New Roman" w:hAnsi="Times New Roman"/>
          <w:b/>
          <w:bCs/>
          <w:lang w:bidi="ar-SA"/>
        </w:rPr>
        <w:t>Ilir PANDA</w:t>
      </w:r>
      <w:r w:rsidRPr="009567B0">
        <w:rPr>
          <w:rFonts w:ascii="Times New Roman" w:hAnsi="Times New Roman"/>
          <w:b/>
          <w:bCs/>
          <w:lang w:bidi="ar-SA"/>
        </w:rPr>
        <w:tab/>
        <w:t xml:space="preserve">            Kryesues</w:t>
      </w:r>
    </w:p>
    <w:p w14:paraId="4049DD3A" w14:textId="0B945D5D" w:rsidR="008901D4" w:rsidRPr="009567B0" w:rsidRDefault="008901D4" w:rsidP="00834B80">
      <w:pPr>
        <w:ind w:left="2880"/>
        <w:jc w:val="both"/>
        <w:rPr>
          <w:rFonts w:ascii="Times New Roman" w:hAnsi="Times New Roman"/>
          <w:b/>
          <w:bCs/>
          <w:lang w:bidi="ar-SA"/>
        </w:rPr>
      </w:pPr>
      <w:r w:rsidRPr="009567B0">
        <w:rPr>
          <w:rFonts w:ascii="Times New Roman" w:hAnsi="Times New Roman"/>
          <w:b/>
          <w:bCs/>
          <w:lang w:bidi="ar-SA"/>
        </w:rPr>
        <w:t xml:space="preserve">Sokol BINAJ   </w:t>
      </w:r>
      <w:r w:rsidRPr="009567B0">
        <w:rPr>
          <w:rFonts w:ascii="Times New Roman" w:hAnsi="Times New Roman"/>
          <w:b/>
          <w:bCs/>
          <w:lang w:bidi="ar-SA"/>
        </w:rPr>
        <w:tab/>
      </w:r>
      <w:r w:rsidR="008B1C2F" w:rsidRPr="009567B0">
        <w:rPr>
          <w:rFonts w:ascii="Times New Roman" w:hAnsi="Times New Roman"/>
          <w:b/>
          <w:bCs/>
          <w:lang w:bidi="ar-SA"/>
        </w:rPr>
        <w:t xml:space="preserve"> </w:t>
      </w:r>
      <w:r w:rsidRPr="009567B0">
        <w:rPr>
          <w:rFonts w:ascii="Times New Roman" w:hAnsi="Times New Roman"/>
          <w:b/>
          <w:bCs/>
          <w:lang w:bidi="ar-SA"/>
        </w:rPr>
        <w:t>Anëtar</w:t>
      </w:r>
    </w:p>
    <w:p w14:paraId="6CB8D1D0" w14:textId="1A5B7FB6" w:rsidR="008901D4" w:rsidRPr="009567B0" w:rsidRDefault="008901D4" w:rsidP="00834B80">
      <w:pPr>
        <w:ind w:left="2880"/>
        <w:jc w:val="both"/>
        <w:rPr>
          <w:rFonts w:ascii="Times New Roman" w:hAnsi="Times New Roman"/>
          <w:b/>
          <w:bCs/>
          <w:lang w:bidi="ar-SA"/>
        </w:rPr>
      </w:pPr>
      <w:r w:rsidRPr="009567B0">
        <w:rPr>
          <w:rFonts w:ascii="Times New Roman" w:hAnsi="Times New Roman"/>
          <w:b/>
          <w:bCs/>
          <w:lang w:bidi="ar-SA"/>
        </w:rPr>
        <w:t>Sandër SIMONI</w:t>
      </w:r>
      <w:r w:rsidRPr="009567B0">
        <w:rPr>
          <w:rFonts w:ascii="Times New Roman" w:hAnsi="Times New Roman"/>
          <w:b/>
          <w:bCs/>
          <w:lang w:bidi="ar-SA"/>
        </w:rPr>
        <w:tab/>
      </w:r>
      <w:r w:rsidR="008B1C2F" w:rsidRPr="009567B0">
        <w:rPr>
          <w:rFonts w:ascii="Times New Roman" w:hAnsi="Times New Roman"/>
          <w:b/>
          <w:bCs/>
          <w:lang w:bidi="ar-SA"/>
        </w:rPr>
        <w:t xml:space="preserve"> </w:t>
      </w:r>
      <w:r w:rsidRPr="009567B0">
        <w:rPr>
          <w:rFonts w:ascii="Times New Roman" w:hAnsi="Times New Roman"/>
          <w:b/>
          <w:bCs/>
          <w:lang w:bidi="ar-SA"/>
        </w:rPr>
        <w:t>Anëtar</w:t>
      </w:r>
    </w:p>
    <w:p w14:paraId="0955FDF2" w14:textId="77777777" w:rsidR="008901D4" w:rsidRPr="009567B0" w:rsidRDefault="008901D4" w:rsidP="00834B80">
      <w:pPr>
        <w:tabs>
          <w:tab w:val="left" w:pos="2070"/>
          <w:tab w:val="left" w:pos="2250"/>
          <w:tab w:val="left" w:pos="3150"/>
        </w:tabs>
        <w:rPr>
          <w:rFonts w:ascii="Times New Roman" w:hAnsi="Times New Roman"/>
          <w:noProof/>
        </w:rPr>
      </w:pPr>
    </w:p>
    <w:p w14:paraId="42FBD740" w14:textId="6B2192EA" w:rsidR="008901D4" w:rsidRPr="009567B0" w:rsidRDefault="000B3B21" w:rsidP="008B1C2F">
      <w:pPr>
        <w:pStyle w:val="Title"/>
        <w:tabs>
          <w:tab w:val="left" w:pos="360"/>
        </w:tabs>
        <w:ind w:firstLine="360"/>
        <w:jc w:val="both"/>
        <w:rPr>
          <w:sz w:val="24"/>
          <w:szCs w:val="24"/>
          <w:lang w:val="sq-AL" w:eastAsia="en-US"/>
        </w:rPr>
      </w:pPr>
      <w:r w:rsidRPr="009567B0">
        <w:rPr>
          <w:sz w:val="24"/>
          <w:szCs w:val="24"/>
          <w:lang w:val="sq-AL"/>
        </w:rPr>
        <w:t>Sot, më datë</w:t>
      </w:r>
      <w:r w:rsidR="008901D4" w:rsidRPr="009567B0">
        <w:rPr>
          <w:sz w:val="24"/>
          <w:szCs w:val="24"/>
          <w:lang w:val="sq-AL"/>
        </w:rPr>
        <w:t xml:space="preserve"> 21.07.2026, mori në shqyrtim në dhomë këshillimi, </w:t>
      </w:r>
      <w:r w:rsidR="008901D4" w:rsidRPr="009567B0">
        <w:rPr>
          <w:noProof/>
          <w:sz w:val="24"/>
          <w:szCs w:val="24"/>
          <w:lang w:val="sq-AL"/>
        </w:rPr>
        <w:t>çështjen penale</w:t>
      </w:r>
      <w:r w:rsidR="008B1C2F" w:rsidRPr="009567B0">
        <w:rPr>
          <w:noProof/>
          <w:sz w:val="24"/>
          <w:szCs w:val="24"/>
          <w:lang w:val="sq-AL"/>
        </w:rPr>
        <w:t xml:space="preserve"> nr. </w:t>
      </w:r>
      <w:r w:rsidR="008B1C2F" w:rsidRPr="009567B0">
        <w:rPr>
          <w:sz w:val="24"/>
          <w:szCs w:val="24"/>
          <w:lang w:val="sq-AL"/>
        </w:rPr>
        <w:t>70017-00465-00-2026 akti</w:t>
      </w:r>
      <w:r w:rsidR="008901D4" w:rsidRPr="009567B0">
        <w:rPr>
          <w:noProof/>
          <w:sz w:val="24"/>
          <w:szCs w:val="24"/>
          <w:lang w:val="sq-AL"/>
        </w:rPr>
        <w:t>, që i’u përket</w:t>
      </w:r>
      <w:r w:rsidR="008901D4" w:rsidRPr="009567B0">
        <w:rPr>
          <w:sz w:val="24"/>
          <w:szCs w:val="24"/>
          <w:lang w:val="sq-AL"/>
        </w:rPr>
        <w:t>:</w:t>
      </w:r>
    </w:p>
    <w:p w14:paraId="527D7DC7" w14:textId="77777777" w:rsidR="008901D4" w:rsidRPr="009567B0" w:rsidRDefault="008901D4" w:rsidP="00834B80">
      <w:pPr>
        <w:jc w:val="both"/>
        <w:rPr>
          <w:rFonts w:ascii="Times New Roman" w:hAnsi="Times New Roman"/>
        </w:rPr>
      </w:pPr>
    </w:p>
    <w:p w14:paraId="334F18BB" w14:textId="09EE5292" w:rsidR="008901D4" w:rsidRPr="009567B0" w:rsidRDefault="008901D4" w:rsidP="006A6222">
      <w:pPr>
        <w:pStyle w:val="NoSpacing"/>
        <w:ind w:left="2880" w:hanging="2880"/>
        <w:jc w:val="both"/>
        <w:rPr>
          <w:rFonts w:ascii="Times New Roman" w:hAnsi="Times New Roman"/>
          <w:bCs/>
          <w:lang w:val="sq-AL"/>
        </w:rPr>
      </w:pPr>
      <w:r w:rsidRPr="009567B0">
        <w:rPr>
          <w:rFonts w:ascii="Times New Roman" w:hAnsi="Times New Roman"/>
          <w:b/>
          <w:lang w:val="sq-AL"/>
        </w:rPr>
        <w:t>KËRKUES</w:t>
      </w:r>
      <w:r w:rsidR="000B3B21" w:rsidRPr="009567B0">
        <w:rPr>
          <w:rFonts w:ascii="Times New Roman" w:hAnsi="Times New Roman"/>
          <w:b/>
          <w:lang w:val="sq-AL"/>
        </w:rPr>
        <w:t>E</w:t>
      </w:r>
      <w:r w:rsidRPr="009567B0">
        <w:rPr>
          <w:rFonts w:ascii="Times New Roman" w:hAnsi="Times New Roman"/>
          <w:b/>
          <w:lang w:val="sq-AL"/>
        </w:rPr>
        <w:t>:</w:t>
      </w:r>
      <w:r w:rsidRPr="009567B0">
        <w:rPr>
          <w:rFonts w:ascii="Times New Roman" w:hAnsi="Times New Roman"/>
          <w:b/>
          <w:lang w:val="sq-AL"/>
        </w:rPr>
        <w:tab/>
      </w:r>
      <w:r w:rsidRPr="009567B0">
        <w:rPr>
          <w:rFonts w:ascii="Times New Roman" w:hAnsi="Times New Roman"/>
          <w:bCs/>
          <w:lang w:val="sq-AL"/>
        </w:rPr>
        <w:t>Prokuroria pranë Gjykatës së Shkallës së Parë të Juridiksionit të Përgjithshëm Dibër</w:t>
      </w:r>
    </w:p>
    <w:p w14:paraId="7C7484D0" w14:textId="77777777" w:rsidR="008901D4" w:rsidRPr="009567B0" w:rsidRDefault="008901D4" w:rsidP="00834B80">
      <w:pPr>
        <w:pStyle w:val="NoSpacing"/>
        <w:jc w:val="both"/>
        <w:rPr>
          <w:rFonts w:ascii="Times New Roman" w:hAnsi="Times New Roman"/>
          <w:b/>
          <w:lang w:val="sq-AL"/>
        </w:rPr>
      </w:pPr>
    </w:p>
    <w:p w14:paraId="1D181953" w14:textId="0E097FD5" w:rsidR="008901D4" w:rsidRPr="009567B0" w:rsidRDefault="008901D4" w:rsidP="00834B80">
      <w:pPr>
        <w:pStyle w:val="NoSpacing"/>
        <w:ind w:left="2160" w:hanging="2160"/>
        <w:jc w:val="both"/>
        <w:rPr>
          <w:rFonts w:ascii="Times New Roman" w:hAnsi="Times New Roman"/>
          <w:bCs/>
          <w:lang w:val="sq-AL"/>
        </w:rPr>
      </w:pPr>
      <w:r w:rsidRPr="009567B0">
        <w:rPr>
          <w:rFonts w:ascii="Times New Roman" w:hAnsi="Times New Roman"/>
          <w:b/>
          <w:lang w:val="sq-AL"/>
        </w:rPr>
        <w:t>I PANDEHUR:</w:t>
      </w:r>
      <w:r w:rsidRPr="009567B0">
        <w:rPr>
          <w:rFonts w:ascii="Times New Roman" w:hAnsi="Times New Roman"/>
          <w:b/>
          <w:lang w:val="sq-AL"/>
        </w:rPr>
        <w:tab/>
      </w:r>
      <w:r w:rsidR="006A6222" w:rsidRPr="009567B0">
        <w:rPr>
          <w:rFonts w:ascii="Times New Roman" w:hAnsi="Times New Roman"/>
          <w:b/>
          <w:lang w:val="sq-AL"/>
        </w:rPr>
        <w:tab/>
      </w:r>
      <w:r w:rsidRPr="009567B0">
        <w:rPr>
          <w:rFonts w:ascii="Times New Roman" w:hAnsi="Times New Roman"/>
          <w:bCs/>
          <w:lang w:val="sq-AL"/>
        </w:rPr>
        <w:t>Musa Manjani</w:t>
      </w:r>
    </w:p>
    <w:p w14:paraId="40903F12" w14:textId="77777777" w:rsidR="008901D4" w:rsidRPr="009567B0" w:rsidRDefault="008901D4" w:rsidP="00834B80">
      <w:pPr>
        <w:pStyle w:val="NoSpacing"/>
        <w:ind w:left="2160" w:hanging="2160"/>
        <w:jc w:val="both"/>
        <w:rPr>
          <w:rFonts w:ascii="Times New Roman" w:hAnsi="Times New Roman"/>
          <w:bCs/>
          <w:lang w:val="sq-AL"/>
        </w:rPr>
      </w:pPr>
    </w:p>
    <w:p w14:paraId="78D07F09" w14:textId="5AB78E1D" w:rsidR="008901D4" w:rsidRPr="009567B0" w:rsidRDefault="008901D4" w:rsidP="00834B80">
      <w:pPr>
        <w:pStyle w:val="NoSpacing"/>
        <w:ind w:left="2160" w:hanging="2160"/>
        <w:jc w:val="both"/>
        <w:rPr>
          <w:rFonts w:ascii="Times New Roman" w:hAnsi="Times New Roman"/>
          <w:bCs/>
          <w:lang w:val="sq-AL"/>
        </w:rPr>
      </w:pPr>
      <w:r w:rsidRPr="009567B0">
        <w:rPr>
          <w:rFonts w:ascii="Times New Roman" w:hAnsi="Times New Roman"/>
          <w:b/>
          <w:lang w:val="sq-AL"/>
        </w:rPr>
        <w:t>KALLËZUES:</w:t>
      </w:r>
      <w:r w:rsidRPr="009567B0">
        <w:rPr>
          <w:rFonts w:ascii="Times New Roman" w:hAnsi="Times New Roman"/>
          <w:bCs/>
          <w:lang w:val="sq-AL"/>
        </w:rPr>
        <w:tab/>
      </w:r>
      <w:r w:rsidR="006A6222" w:rsidRPr="009567B0">
        <w:rPr>
          <w:rFonts w:ascii="Times New Roman" w:hAnsi="Times New Roman"/>
          <w:bCs/>
          <w:lang w:val="sq-AL"/>
        </w:rPr>
        <w:tab/>
      </w:r>
      <w:r w:rsidRPr="009567B0">
        <w:rPr>
          <w:rFonts w:ascii="Times New Roman" w:hAnsi="Times New Roman"/>
          <w:bCs/>
          <w:lang w:val="sq-AL"/>
        </w:rPr>
        <w:t>Behar Xholi</w:t>
      </w:r>
    </w:p>
    <w:p w14:paraId="71A672E1" w14:textId="77777777" w:rsidR="008901D4" w:rsidRPr="009567B0" w:rsidRDefault="008901D4" w:rsidP="00834B80">
      <w:pPr>
        <w:pStyle w:val="NoSpacing"/>
        <w:jc w:val="both"/>
        <w:rPr>
          <w:rFonts w:ascii="Times New Roman" w:hAnsi="Times New Roman"/>
          <w:lang w:val="sq-AL"/>
        </w:rPr>
      </w:pPr>
      <w:r w:rsidRPr="009567B0">
        <w:rPr>
          <w:rFonts w:ascii="Times New Roman" w:hAnsi="Times New Roman"/>
          <w:lang w:val="sq-AL"/>
        </w:rPr>
        <w:tab/>
      </w:r>
      <w:r w:rsidRPr="009567B0">
        <w:rPr>
          <w:rFonts w:ascii="Times New Roman" w:hAnsi="Times New Roman"/>
          <w:lang w:val="sq-AL"/>
        </w:rPr>
        <w:tab/>
      </w:r>
      <w:r w:rsidRPr="009567B0">
        <w:rPr>
          <w:rFonts w:ascii="Times New Roman" w:hAnsi="Times New Roman"/>
          <w:lang w:val="sq-AL"/>
        </w:rPr>
        <w:tab/>
      </w:r>
    </w:p>
    <w:p w14:paraId="19921043" w14:textId="1AE65313" w:rsidR="008901D4" w:rsidRPr="009567B0" w:rsidRDefault="008901D4" w:rsidP="006A6222">
      <w:pPr>
        <w:pStyle w:val="NoSpacing"/>
        <w:ind w:left="2880" w:hanging="2880"/>
        <w:jc w:val="both"/>
        <w:rPr>
          <w:rFonts w:ascii="Times New Roman" w:hAnsi="Times New Roman"/>
          <w:lang w:val="sq-AL"/>
        </w:rPr>
      </w:pPr>
      <w:r w:rsidRPr="009567B0">
        <w:rPr>
          <w:rFonts w:ascii="Times New Roman" w:hAnsi="Times New Roman"/>
          <w:b/>
          <w:lang w:val="sq-AL"/>
        </w:rPr>
        <w:t>OBJEKTI:</w:t>
      </w:r>
      <w:r w:rsidRPr="009567B0">
        <w:rPr>
          <w:rFonts w:ascii="Times New Roman" w:hAnsi="Times New Roman"/>
          <w:lang w:val="sq-AL"/>
        </w:rPr>
        <w:tab/>
        <w:t>Pushimin e çështjes penale që i përket procedimit penal nr. 537, datë 29.12.2022, për kryerjen e veprës penale “Ndërtimi i paligjshëm", parashikuar nga nenet 199/a/1 dhe 199/a/3 të Kodit Penal.</w:t>
      </w:r>
    </w:p>
    <w:p w14:paraId="13868AD2" w14:textId="77777777" w:rsidR="008901D4" w:rsidRPr="009567B0" w:rsidRDefault="008901D4" w:rsidP="00834B80">
      <w:pPr>
        <w:pStyle w:val="NoSpacing"/>
        <w:ind w:left="2160" w:hanging="2160"/>
        <w:jc w:val="both"/>
        <w:rPr>
          <w:rFonts w:ascii="Times New Roman" w:hAnsi="Times New Roman"/>
          <w:lang w:val="sq-AL"/>
        </w:rPr>
      </w:pPr>
    </w:p>
    <w:p w14:paraId="2B8861C6" w14:textId="04709B16" w:rsidR="008901D4" w:rsidRPr="009567B0" w:rsidRDefault="008901D4" w:rsidP="006A6222">
      <w:pPr>
        <w:pStyle w:val="NoSpacing"/>
        <w:ind w:left="2880" w:hanging="2880"/>
        <w:jc w:val="both"/>
        <w:rPr>
          <w:rFonts w:ascii="Times New Roman" w:hAnsi="Times New Roman"/>
          <w:lang w:val="sq-AL"/>
        </w:rPr>
      </w:pPr>
      <w:r w:rsidRPr="009567B0">
        <w:rPr>
          <w:rFonts w:ascii="Times New Roman" w:hAnsi="Times New Roman"/>
          <w:b/>
          <w:lang w:val="sq-AL"/>
        </w:rPr>
        <w:t>BAZA LIGJORE:</w:t>
      </w:r>
      <w:r w:rsidRPr="009567B0">
        <w:rPr>
          <w:rFonts w:ascii="Times New Roman" w:hAnsi="Times New Roman"/>
          <w:lang w:val="sq-AL"/>
        </w:rPr>
        <w:tab/>
        <w:t>Nenet 3328, 329, 329/a, 329/b të Kodit të Procedurës Penale.</w:t>
      </w:r>
    </w:p>
    <w:p w14:paraId="6EFA4746" w14:textId="77777777" w:rsidR="00F470C6" w:rsidRPr="009567B0" w:rsidRDefault="00F470C6" w:rsidP="006A6222">
      <w:pPr>
        <w:pStyle w:val="NoSpacing"/>
        <w:ind w:left="2880" w:hanging="2880"/>
        <w:jc w:val="both"/>
        <w:rPr>
          <w:rFonts w:ascii="Times New Roman" w:hAnsi="Times New Roman"/>
          <w:lang w:val="sq-AL"/>
        </w:rPr>
      </w:pPr>
    </w:p>
    <w:p w14:paraId="2A1BA759" w14:textId="77777777" w:rsidR="008901D4" w:rsidRPr="009567B0" w:rsidRDefault="008901D4" w:rsidP="00834B80">
      <w:pPr>
        <w:jc w:val="both"/>
        <w:rPr>
          <w:rFonts w:ascii="Times New Roman" w:hAnsi="Times New Roman"/>
          <w:b/>
          <w:noProof/>
        </w:rPr>
      </w:pPr>
    </w:p>
    <w:p w14:paraId="01EFC093" w14:textId="77777777" w:rsidR="008901D4" w:rsidRPr="009567B0" w:rsidRDefault="008901D4" w:rsidP="00834B80">
      <w:pPr>
        <w:jc w:val="center"/>
        <w:rPr>
          <w:rFonts w:ascii="Times New Roman" w:hAnsi="Times New Roman"/>
          <w:b/>
          <w:noProof/>
        </w:rPr>
      </w:pPr>
      <w:r w:rsidRPr="009567B0">
        <w:rPr>
          <w:rFonts w:ascii="Times New Roman" w:hAnsi="Times New Roman"/>
          <w:b/>
          <w:noProof/>
        </w:rPr>
        <w:t>KOLEGJI PENAL I GJYKATËS SË LARTË</w:t>
      </w:r>
    </w:p>
    <w:p w14:paraId="65BB8691" w14:textId="77777777" w:rsidR="008901D4" w:rsidRPr="009567B0" w:rsidRDefault="008901D4" w:rsidP="00834B80">
      <w:pPr>
        <w:jc w:val="center"/>
        <w:rPr>
          <w:rFonts w:ascii="Times New Roman" w:hAnsi="Times New Roman"/>
          <w:b/>
          <w:noProof/>
        </w:rPr>
      </w:pPr>
    </w:p>
    <w:p w14:paraId="6626473C" w14:textId="4473B448" w:rsidR="008901D4" w:rsidRPr="009567B0" w:rsidRDefault="008901D4" w:rsidP="00F470C6">
      <w:pPr>
        <w:ind w:firstLine="360"/>
        <w:jc w:val="both"/>
        <w:rPr>
          <w:rFonts w:ascii="Times New Roman" w:hAnsi="Times New Roman"/>
          <w:bCs/>
        </w:rPr>
      </w:pPr>
      <w:r w:rsidRPr="009567B0">
        <w:rPr>
          <w:rFonts w:ascii="Times New Roman" w:hAnsi="Times New Roman"/>
        </w:rPr>
        <w:t xml:space="preserve">pasi dëgjoi relatimin e gjyqtarit </w:t>
      </w:r>
      <w:r w:rsidRPr="009567B0">
        <w:rPr>
          <w:rFonts w:ascii="Times New Roman" w:hAnsi="Times New Roman"/>
          <w:lang w:bidi="ar-SA"/>
        </w:rPr>
        <w:t>Sokol Binaj</w:t>
      </w:r>
      <w:r w:rsidRPr="009567B0">
        <w:rPr>
          <w:rFonts w:ascii="Times New Roman" w:hAnsi="Times New Roman"/>
          <w:bCs/>
        </w:rPr>
        <w:t xml:space="preserve"> dhe diskutoi në dhomë këshillimi çështjen në tërësi,</w:t>
      </w:r>
    </w:p>
    <w:p w14:paraId="25D7F770" w14:textId="49E8ACCB" w:rsidR="00F470C6" w:rsidRPr="009567B0" w:rsidRDefault="00F470C6" w:rsidP="00F470C6">
      <w:pPr>
        <w:ind w:firstLine="360"/>
        <w:jc w:val="both"/>
        <w:rPr>
          <w:rFonts w:ascii="Times New Roman" w:hAnsi="Times New Roman"/>
          <w:bCs/>
        </w:rPr>
      </w:pPr>
    </w:p>
    <w:p w14:paraId="7E39D237" w14:textId="77777777" w:rsidR="00F470C6" w:rsidRPr="009567B0" w:rsidRDefault="00F470C6" w:rsidP="00F470C6">
      <w:pPr>
        <w:ind w:firstLine="360"/>
        <w:jc w:val="both"/>
        <w:rPr>
          <w:rFonts w:ascii="Times New Roman" w:hAnsi="Times New Roman"/>
          <w:bCs/>
        </w:rPr>
      </w:pPr>
    </w:p>
    <w:p w14:paraId="7E333DDA" w14:textId="3A4D5F7C" w:rsidR="00E336F8" w:rsidRPr="009567B0" w:rsidRDefault="00F470C6" w:rsidP="00834B80">
      <w:pPr>
        <w:pStyle w:val="Heading2"/>
        <w:tabs>
          <w:tab w:val="left" w:pos="360"/>
        </w:tabs>
        <w:spacing w:before="0" w:after="0"/>
        <w:jc w:val="center"/>
        <w:rPr>
          <w:rFonts w:ascii="Times New Roman" w:hAnsi="Times New Roman"/>
          <w:i w:val="0"/>
          <w:noProof/>
          <w:sz w:val="24"/>
          <w:szCs w:val="24"/>
        </w:rPr>
      </w:pPr>
      <w:r w:rsidRPr="009567B0">
        <w:rPr>
          <w:rFonts w:ascii="Times New Roman" w:hAnsi="Times New Roman"/>
          <w:i w:val="0"/>
          <w:noProof/>
          <w:sz w:val="24"/>
          <w:szCs w:val="24"/>
        </w:rPr>
        <w:t>VËRE</w:t>
      </w:r>
      <w:r w:rsidR="00E336F8" w:rsidRPr="009567B0">
        <w:rPr>
          <w:rFonts w:ascii="Times New Roman" w:hAnsi="Times New Roman"/>
          <w:i w:val="0"/>
          <w:noProof/>
          <w:sz w:val="24"/>
          <w:szCs w:val="24"/>
        </w:rPr>
        <w:t>N</w:t>
      </w:r>
      <w:r w:rsidR="000B3B21" w:rsidRPr="009567B0">
        <w:rPr>
          <w:rFonts w:ascii="Times New Roman" w:hAnsi="Times New Roman"/>
          <w:i w:val="0"/>
          <w:noProof/>
          <w:sz w:val="24"/>
          <w:szCs w:val="24"/>
        </w:rPr>
        <w:t xml:space="preserve"> SE:</w:t>
      </w:r>
    </w:p>
    <w:p w14:paraId="50E7C53C" w14:textId="77777777" w:rsidR="00F470C6" w:rsidRPr="009567B0" w:rsidRDefault="00F470C6" w:rsidP="00F470C6"/>
    <w:p w14:paraId="792BD344" w14:textId="2154DF2D" w:rsidR="00E336F8" w:rsidRPr="009567B0" w:rsidRDefault="00E336F8" w:rsidP="00834B80">
      <w:pPr>
        <w:pStyle w:val="ListParagraph"/>
        <w:numPr>
          <w:ilvl w:val="0"/>
          <w:numId w:val="10"/>
        </w:numPr>
        <w:jc w:val="both"/>
        <w:rPr>
          <w:rFonts w:ascii="Times New Roman" w:hAnsi="Times New Roman"/>
          <w:bCs/>
          <w:lang w:val="sq-AL"/>
        </w:rPr>
      </w:pPr>
      <w:r w:rsidRPr="009567B0">
        <w:rPr>
          <w:rFonts w:ascii="Times New Roman" w:hAnsi="Times New Roman"/>
          <w:b/>
          <w:bCs/>
          <w:iCs/>
          <w:lang w:val="sq-AL"/>
        </w:rPr>
        <w:t>Rrethanat e çështjes</w:t>
      </w:r>
    </w:p>
    <w:p w14:paraId="500292CB" w14:textId="21071EA3" w:rsidR="00E336F8" w:rsidRPr="009567B0" w:rsidRDefault="00E336F8" w:rsidP="00834B80">
      <w:pPr>
        <w:jc w:val="both"/>
        <w:rPr>
          <w:rFonts w:ascii="Times New Roman" w:hAnsi="Times New Roman"/>
          <w:bCs/>
        </w:rPr>
      </w:pPr>
    </w:p>
    <w:p w14:paraId="1B828625" w14:textId="1CAFCBCA" w:rsidR="00C62696" w:rsidRPr="009567B0" w:rsidRDefault="00C62696" w:rsidP="00834B80">
      <w:pPr>
        <w:pStyle w:val="ListParagraph"/>
        <w:numPr>
          <w:ilvl w:val="0"/>
          <w:numId w:val="14"/>
        </w:numPr>
        <w:ind w:left="0" w:firstLine="360"/>
        <w:jc w:val="both"/>
        <w:rPr>
          <w:rFonts w:ascii="Times New Roman" w:hAnsi="Times New Roman"/>
          <w:lang w:val="sq-AL" w:bidi="ar-SA"/>
        </w:rPr>
      </w:pPr>
      <w:r w:rsidRPr="009567B0">
        <w:rPr>
          <w:rFonts w:ascii="Times New Roman" w:hAnsi="Times New Roman"/>
          <w:lang w:val="sq-AL" w:bidi="ar-SA"/>
        </w:rPr>
        <w:t>Më datë 17.11.2023, në Drejtorinë Vendore të Policisë Dibër</w:t>
      </w:r>
      <w:r w:rsidR="00F470C6" w:rsidRPr="009567B0">
        <w:rPr>
          <w:rFonts w:ascii="Times New Roman" w:hAnsi="Times New Roman"/>
          <w:lang w:val="sq-AL" w:bidi="ar-SA"/>
        </w:rPr>
        <w:t>,</w:t>
      </w:r>
      <w:r w:rsidRPr="009567B0">
        <w:rPr>
          <w:rFonts w:ascii="Times New Roman" w:hAnsi="Times New Roman"/>
          <w:lang w:val="sq-AL" w:bidi="ar-SA"/>
        </w:rPr>
        <w:t xml:space="preserve"> ka mbërritur një ankesë me shkrim nga shtetasi Behar Xholi në ngarkim të shtetasit Musa Manjani. Sipas kallëzuesit, shtetasi Musa Manjani ka hedhur disa kolona gati për ndërtim pas objektit të kallëzuesit, si dhe </w:t>
      </w:r>
      <w:r w:rsidRPr="009567B0">
        <w:rPr>
          <w:rFonts w:ascii="Times New Roman" w:hAnsi="Times New Roman"/>
          <w:lang w:val="sq-AL" w:bidi="ar-SA"/>
        </w:rPr>
        <w:lastRenderedPageBreak/>
        <w:t>ka zënë pjesën e palosjes së pallatit me mur rrethues. Bashkëlidhur ankimit, nga ana e shtetasit Behar Xholi</w:t>
      </w:r>
      <w:r w:rsidR="000B3B21" w:rsidRPr="009567B0">
        <w:rPr>
          <w:rFonts w:ascii="Times New Roman" w:hAnsi="Times New Roman"/>
          <w:lang w:val="sq-AL" w:bidi="ar-SA"/>
        </w:rPr>
        <w:t>,</w:t>
      </w:r>
      <w:r w:rsidRPr="009567B0">
        <w:rPr>
          <w:rFonts w:ascii="Times New Roman" w:hAnsi="Times New Roman"/>
          <w:lang w:val="sq-AL" w:bidi="ar-SA"/>
        </w:rPr>
        <w:t xml:space="preserve"> janë dorëzuar certifikata e pronësisë, një marrëveshje midis tyre për përdorimin e oborrit të pallatit</w:t>
      </w:r>
      <w:r w:rsidR="008363ED" w:rsidRPr="009567B0">
        <w:rPr>
          <w:rFonts w:ascii="Times New Roman" w:hAnsi="Times New Roman"/>
          <w:lang w:val="sq-AL" w:bidi="ar-SA"/>
        </w:rPr>
        <w:t>,</w:t>
      </w:r>
      <w:r w:rsidRPr="009567B0">
        <w:rPr>
          <w:rFonts w:ascii="Times New Roman" w:hAnsi="Times New Roman"/>
          <w:lang w:val="sq-AL" w:bidi="ar-SA"/>
        </w:rPr>
        <w:t xml:space="preserve"> si dhe disa foto bardhë e zi në format A4 për të treguar ndërtimet e kallëzuara.</w:t>
      </w:r>
    </w:p>
    <w:p w14:paraId="7961026B" w14:textId="113246A3" w:rsidR="00C62696" w:rsidRPr="009567B0" w:rsidRDefault="00C62696" w:rsidP="00834B80">
      <w:pPr>
        <w:pStyle w:val="ListParagraph"/>
        <w:numPr>
          <w:ilvl w:val="0"/>
          <w:numId w:val="14"/>
        </w:numPr>
        <w:ind w:left="0" w:firstLine="360"/>
        <w:jc w:val="both"/>
        <w:rPr>
          <w:rFonts w:ascii="Times New Roman" w:hAnsi="Times New Roman"/>
          <w:lang w:val="sq-AL" w:bidi="ar-SA"/>
        </w:rPr>
      </w:pPr>
      <w:r w:rsidRPr="009567B0">
        <w:rPr>
          <w:rFonts w:ascii="Times New Roman" w:hAnsi="Times New Roman"/>
          <w:lang w:val="sq-AL" w:bidi="ar-SA"/>
        </w:rPr>
        <w:t>Lidhur me këtë ankim, nga shtetasi Behar Xholi ësh</w:t>
      </w:r>
      <w:r w:rsidR="00F470C6" w:rsidRPr="009567B0">
        <w:rPr>
          <w:rFonts w:ascii="Times New Roman" w:hAnsi="Times New Roman"/>
          <w:lang w:val="sq-AL" w:bidi="ar-SA"/>
        </w:rPr>
        <w:t>të kryer kontroll nga Inspektor</w:t>
      </w:r>
      <w:r w:rsidRPr="009567B0">
        <w:rPr>
          <w:rFonts w:ascii="Times New Roman" w:hAnsi="Times New Roman"/>
          <w:lang w:val="sq-AL" w:bidi="ar-SA"/>
        </w:rPr>
        <w:t>ati Vendor i Mbrojtjes së Territorit Dibër (IVMT Dib</w:t>
      </w:r>
      <w:r w:rsidR="004E2605" w:rsidRPr="009567B0">
        <w:rPr>
          <w:rFonts w:ascii="Times New Roman" w:hAnsi="Times New Roman"/>
          <w:lang w:val="sq-AL" w:bidi="ar-SA"/>
        </w:rPr>
        <w:t>ë</w:t>
      </w:r>
      <w:r w:rsidRPr="009567B0">
        <w:rPr>
          <w:rFonts w:ascii="Times New Roman" w:hAnsi="Times New Roman"/>
          <w:lang w:val="sq-AL" w:bidi="ar-SA"/>
        </w:rPr>
        <w:t>r). Sipas procesverbalit nr. 15, datë 24.11.2023 të IVMT Dibër, rezulton që nga ana e shtetasit Musa Manjani është ndërtuar një mur me blloqe betoni me lartësi 2.6 m, i cili ka zënë hyrjen e pallatit nga të dy anët. Gjithashtu është konstatuar edhe një konstruksion metalik i mbuluar me llamarinë me lartësi 2.7 m dhe gjatësi 6 m dhe 3 m, dhe është marrë vendim për pezullimin e punimeve të ndërtimit, prishjen e ndërtimit dhe dënimin e shtetasit Musa Manjani</w:t>
      </w:r>
      <w:r w:rsidR="00F470C6" w:rsidRPr="009567B0">
        <w:rPr>
          <w:rFonts w:ascii="Times New Roman" w:hAnsi="Times New Roman"/>
          <w:lang w:val="sq-AL" w:bidi="ar-SA"/>
        </w:rPr>
        <w:t>,</w:t>
      </w:r>
      <w:r w:rsidRPr="009567B0">
        <w:rPr>
          <w:rFonts w:ascii="Times New Roman" w:hAnsi="Times New Roman"/>
          <w:lang w:val="sq-AL" w:bidi="ar-SA"/>
        </w:rPr>
        <w:t xml:space="preserve"> me 100,000 lekë. Rezulton se shtetasi Musa Manjani</w:t>
      </w:r>
      <w:r w:rsidR="00F470C6" w:rsidRPr="009567B0">
        <w:rPr>
          <w:rFonts w:ascii="Times New Roman" w:hAnsi="Times New Roman"/>
          <w:lang w:val="sq-AL" w:bidi="ar-SA"/>
        </w:rPr>
        <w:t>,</w:t>
      </w:r>
      <w:r w:rsidRPr="009567B0">
        <w:rPr>
          <w:rFonts w:ascii="Times New Roman" w:hAnsi="Times New Roman"/>
          <w:lang w:val="sq-AL" w:bidi="ar-SA"/>
        </w:rPr>
        <w:t xml:space="preserve"> ka kundërshtuar ligjshmërinë e akteve administrative dhe çështja është në gjykim në Gjykatën Administrative të Shkallës së Parë Tiranë.</w:t>
      </w:r>
    </w:p>
    <w:p w14:paraId="2D1DC715" w14:textId="5429EC0E" w:rsidR="00C62696" w:rsidRPr="009567B0" w:rsidRDefault="00C62696" w:rsidP="00834B80">
      <w:pPr>
        <w:pStyle w:val="ListParagraph"/>
        <w:numPr>
          <w:ilvl w:val="0"/>
          <w:numId w:val="14"/>
        </w:numPr>
        <w:ind w:left="0" w:firstLine="360"/>
        <w:jc w:val="both"/>
        <w:rPr>
          <w:rFonts w:ascii="Times New Roman" w:hAnsi="Times New Roman"/>
          <w:lang w:val="sq-AL" w:bidi="ar-SA"/>
        </w:rPr>
      </w:pPr>
      <w:r w:rsidRPr="009567B0">
        <w:rPr>
          <w:rFonts w:ascii="Times New Roman" w:hAnsi="Times New Roman"/>
          <w:lang w:val="sq-AL" w:bidi="ar-SA"/>
        </w:rPr>
        <w:t>Më datë 05.12.2023, nga ana e oficerit të policisë gjyqësore të Drejtoris</w:t>
      </w:r>
      <w:r w:rsidR="004E2605" w:rsidRPr="009567B0">
        <w:rPr>
          <w:rFonts w:ascii="Times New Roman" w:hAnsi="Times New Roman"/>
          <w:lang w:val="sq-AL" w:bidi="ar-SA"/>
        </w:rPr>
        <w:t>ë</w:t>
      </w:r>
      <w:r w:rsidRPr="009567B0">
        <w:rPr>
          <w:rFonts w:ascii="Times New Roman" w:hAnsi="Times New Roman"/>
          <w:lang w:val="sq-AL" w:bidi="ar-SA"/>
        </w:rPr>
        <w:t xml:space="preserve"> Vendore t</w:t>
      </w:r>
      <w:r w:rsidR="004E2605" w:rsidRPr="009567B0">
        <w:rPr>
          <w:rFonts w:ascii="Times New Roman" w:hAnsi="Times New Roman"/>
          <w:lang w:val="sq-AL" w:bidi="ar-SA"/>
        </w:rPr>
        <w:t>ë</w:t>
      </w:r>
      <w:r w:rsidRPr="009567B0">
        <w:rPr>
          <w:rFonts w:ascii="Times New Roman" w:hAnsi="Times New Roman"/>
          <w:lang w:val="sq-AL" w:bidi="ar-SA"/>
        </w:rPr>
        <w:t xml:space="preserve"> Policis</w:t>
      </w:r>
      <w:r w:rsidR="004E2605" w:rsidRPr="009567B0">
        <w:rPr>
          <w:rFonts w:ascii="Times New Roman" w:hAnsi="Times New Roman"/>
          <w:lang w:val="sq-AL" w:bidi="ar-SA"/>
        </w:rPr>
        <w:t>ë</w:t>
      </w:r>
      <w:r w:rsidRPr="009567B0">
        <w:rPr>
          <w:rFonts w:ascii="Times New Roman" w:hAnsi="Times New Roman"/>
          <w:lang w:val="sq-AL" w:bidi="ar-SA"/>
        </w:rPr>
        <w:t xml:space="preserve"> Dibër është kryer këqyrja e vendit të ngjarjes, duke pasqyruar koordinatat (vendndodhjen e objektit sipas anëve të horizontit) si dhe tabelën fotografike. Sipas këtij procesverbali, objekti i këqyrjes është muri i avllisë i ndërtuar me blloqe betoni dhe duket si ndërtim i vjetër, me llaç të tharë. Më datë 05.12.2023, nga ana e policisë gjyqësore është marrë në pyetje shtetasi Musa Manjani me cilësinë e personit që ka dijeni për veprën penale. Sipas këtij procesverbali, shtetasi Musa Manjani ka deklaruar se shtëpinë së bashku me avllinë e ka blerë nga shtetasi Pëllumb Elezi me një shkresë dore. Gjithashtu ka deklaruar se nuk ka kryer asnjë ndërtim, se nuk ka dokumentacion për tokën dhe nuk ka dijeni nëse shitësi ka pasur dokumentacion. Po ashtu shprehet se ka kërkuar të pajiset me certifikatë pronësie për pjesën që ka blerë.</w:t>
      </w:r>
    </w:p>
    <w:p w14:paraId="2F402459" w14:textId="36B4AC8E" w:rsidR="00C62696" w:rsidRPr="009567B0" w:rsidRDefault="00C62696" w:rsidP="00834B80">
      <w:pPr>
        <w:pStyle w:val="ListParagraph"/>
        <w:numPr>
          <w:ilvl w:val="0"/>
          <w:numId w:val="14"/>
        </w:numPr>
        <w:ind w:left="0" w:firstLine="360"/>
        <w:jc w:val="both"/>
        <w:rPr>
          <w:rFonts w:ascii="Times New Roman" w:hAnsi="Times New Roman"/>
          <w:lang w:val="sq-AL" w:bidi="ar-SA"/>
        </w:rPr>
      </w:pPr>
      <w:r w:rsidRPr="009567B0">
        <w:rPr>
          <w:rFonts w:ascii="Times New Roman" w:hAnsi="Times New Roman"/>
          <w:lang w:val="sq-AL" w:bidi="ar-SA"/>
        </w:rPr>
        <w:t>Sa më sipër, Drejtoria Vendore e Policisë Dibër ka referuar në Prokurorinë pranë Gjykatës së Shkallës së Parë të Juridiksionit të Përgjithshëm Dibër informacionin me shkresën nr. 3757 prot., datë 06.12.2023 dhe nga ana e Prokurorisë është regjistruar procedimi penal nr. 537, datë 29.12.2023. Më datë 23.12.2023 është pyetur kallëzuesi Behar Xholi, i cili ka deklaruar se shtetasi Musa Manjani jeton prej vitit 2007 në pallat, se fillimisht ka blerë një hyrje dhe më pas edhe një tjetër, dhe se pjesa ku është ndërtuar muri ka qenë më parë me gardh. Ai shprehet gjithashtu se kjo pjesë ka shërbyer si rrugë kalimi dhe tani është bllokuar nga ndërtimi. Sipas tij, ndërtimi i murit ka nisur më 18.11.2023 dhe është prishur pas ndërhyrjes së inspektorëve.</w:t>
      </w:r>
    </w:p>
    <w:p w14:paraId="35979C7B" w14:textId="1782B03F" w:rsidR="00C62696" w:rsidRPr="009567B0" w:rsidRDefault="00C62696" w:rsidP="00834B80">
      <w:pPr>
        <w:pStyle w:val="ListParagraph"/>
        <w:numPr>
          <w:ilvl w:val="0"/>
          <w:numId w:val="14"/>
        </w:numPr>
        <w:ind w:left="0" w:firstLine="360"/>
        <w:jc w:val="both"/>
        <w:rPr>
          <w:rFonts w:ascii="Times New Roman" w:hAnsi="Times New Roman"/>
          <w:lang w:val="sq-AL" w:bidi="ar-SA"/>
        </w:rPr>
      </w:pPr>
      <w:r w:rsidRPr="009567B0">
        <w:rPr>
          <w:rFonts w:ascii="Times New Roman" w:hAnsi="Times New Roman"/>
          <w:lang w:val="sq-AL" w:bidi="ar-SA"/>
        </w:rPr>
        <w:t>Nga ana e policisë gjyqësore i është dërguar kërkesë Bashkisë Dibër dhe Agjencis</w:t>
      </w:r>
      <w:r w:rsidR="004E2605" w:rsidRPr="009567B0">
        <w:rPr>
          <w:rFonts w:ascii="Times New Roman" w:hAnsi="Times New Roman"/>
          <w:lang w:val="sq-AL" w:bidi="ar-SA"/>
        </w:rPr>
        <w:t>ë</w:t>
      </w:r>
      <w:r w:rsidRPr="009567B0">
        <w:rPr>
          <w:rFonts w:ascii="Times New Roman" w:hAnsi="Times New Roman"/>
          <w:lang w:val="sq-AL" w:bidi="ar-SA"/>
        </w:rPr>
        <w:t xml:space="preserve"> Shtet</w:t>
      </w:r>
      <w:r w:rsidR="004E2605" w:rsidRPr="009567B0">
        <w:rPr>
          <w:rFonts w:ascii="Times New Roman" w:hAnsi="Times New Roman"/>
          <w:lang w:val="sq-AL" w:bidi="ar-SA"/>
        </w:rPr>
        <w:t>ë</w:t>
      </w:r>
      <w:r w:rsidRPr="009567B0">
        <w:rPr>
          <w:rFonts w:ascii="Times New Roman" w:hAnsi="Times New Roman"/>
          <w:lang w:val="sq-AL" w:bidi="ar-SA"/>
        </w:rPr>
        <w:t>rore t</w:t>
      </w:r>
      <w:r w:rsidR="004E2605" w:rsidRPr="009567B0">
        <w:rPr>
          <w:rFonts w:ascii="Times New Roman" w:hAnsi="Times New Roman"/>
          <w:lang w:val="sq-AL" w:bidi="ar-SA"/>
        </w:rPr>
        <w:t>ë</w:t>
      </w:r>
      <w:r w:rsidRPr="009567B0">
        <w:rPr>
          <w:rFonts w:ascii="Times New Roman" w:hAnsi="Times New Roman"/>
          <w:lang w:val="sq-AL" w:bidi="ar-SA"/>
        </w:rPr>
        <w:t xml:space="preserve"> Kadastr</w:t>
      </w:r>
      <w:r w:rsidR="004E2605" w:rsidRPr="009567B0">
        <w:rPr>
          <w:rFonts w:ascii="Times New Roman" w:hAnsi="Times New Roman"/>
          <w:lang w:val="sq-AL" w:bidi="ar-SA"/>
        </w:rPr>
        <w:t>ë</w:t>
      </w:r>
      <w:r w:rsidRPr="009567B0">
        <w:rPr>
          <w:rFonts w:ascii="Times New Roman" w:hAnsi="Times New Roman"/>
          <w:lang w:val="sq-AL" w:bidi="ar-SA"/>
        </w:rPr>
        <w:t xml:space="preserve">s, Drejtoria Vendore Dibër për informacion mbi pronat dhe lejet e ndërtimit të shtetasit Musa Manjani. Sipas kthim-përgjigjeve, në emër të tij rezultojnë të regjistruara disa prona, por nuk ka aplikuar për leje ndërtimi. Është vendosur kryerja e ekspertimit topografik dhe ndërtimor. Sipas Aktit të Ekspertimit Teknik Ndërtimor të datës 03.05.2024, ndërtimi (mur me blloqe dhe portë metalike) është kryer pjesërisht në tokë shtetërore dhe pjesërisht në pasurinë nr. 287/12, në pronësi të disa shtetasve të tjerë. Nga verifikimi i dokumentacionit rezulton se kjo pronë i është shitur shtetasit Musa Manjani, por nuk është bërë kalimi i pronësisë në emër të tij. Për këto punime kërkohej pajisja me leje ndërtimi. Gjithashtu, sipas fotografimit ajror (prill 2024), është hartuar planvendosja. Janë administruar certifikatat personale, familjare dhe gjendja gjyqësore e shtetasit Musa Manjani, nga të cilat rezulton se ai është i ve, banon i vetëm, është i datëlindjes 10.03.1947 dhe nuk rezulton i dënuar më parë. </w:t>
      </w:r>
    </w:p>
    <w:p w14:paraId="6361D7E0" w14:textId="77777777" w:rsidR="00C62696" w:rsidRPr="009567B0" w:rsidRDefault="00C62696" w:rsidP="00834B80">
      <w:pPr>
        <w:pStyle w:val="ListParagraph"/>
        <w:numPr>
          <w:ilvl w:val="0"/>
          <w:numId w:val="14"/>
        </w:numPr>
        <w:ind w:left="0" w:firstLine="360"/>
        <w:jc w:val="both"/>
        <w:rPr>
          <w:rFonts w:ascii="Times New Roman" w:hAnsi="Times New Roman"/>
          <w:lang w:val="sq-AL" w:bidi="ar-SA"/>
        </w:rPr>
      </w:pPr>
      <w:r w:rsidRPr="009567B0">
        <w:rPr>
          <w:rFonts w:ascii="Times New Roman" w:hAnsi="Times New Roman"/>
          <w:lang w:val="sq-AL" w:bidi="ar-SA"/>
        </w:rPr>
        <w:t xml:space="preserve">Fillimisht, Prokuroria më datë 21.05.2024, i ka njoftuar akuzë shtetasit Musa Manjani për veprën penale “Ndërtimi i paligjshëm” të parashikuar nga neni 199/a/3 i Kodit Penal. Më datë 21.06.2024, nga ana e mbrojtësit të tij është paraqitur memo me akt ekspertimi privat, sipas të cilit muri rezulton i ndërtuar që në vitin 2007 (sipas pamjeve të ASIG). Është </w:t>
      </w:r>
      <w:r w:rsidRPr="009567B0">
        <w:rPr>
          <w:rFonts w:ascii="Times New Roman" w:hAnsi="Times New Roman"/>
          <w:lang w:val="sq-AL" w:bidi="ar-SA"/>
        </w:rPr>
        <w:lastRenderedPageBreak/>
        <w:t>pretenduar se ka kaluar afati i ndjekjes penale. Për verifikimin e këtij pretendimi, janë dërguar pyetje shtesë ekspertit të caktuar gjatë hetimit nga organi procedues. Më datë 03.07.2024, eksperti ka deklaruar se nuk mund të përcaktohet mosha e ndërtimit vetëm nga gjendja e murit dhe se nevojiten analiza laboratorike, ndërsa nga pamjet e ASIG rezulton se ndërtimi është i vitit 2007.</w:t>
      </w:r>
    </w:p>
    <w:p w14:paraId="193877FB" w14:textId="7E840D0B" w:rsidR="00C62696" w:rsidRPr="009567B0" w:rsidRDefault="00C62696" w:rsidP="00834B80">
      <w:pPr>
        <w:pStyle w:val="ListParagraph"/>
        <w:numPr>
          <w:ilvl w:val="0"/>
          <w:numId w:val="14"/>
        </w:numPr>
        <w:ind w:left="0" w:firstLine="360"/>
        <w:jc w:val="both"/>
        <w:rPr>
          <w:rFonts w:ascii="Times New Roman" w:hAnsi="Times New Roman"/>
          <w:lang w:val="sq-AL" w:bidi="ar-SA"/>
        </w:rPr>
      </w:pPr>
      <w:r w:rsidRPr="009567B0">
        <w:rPr>
          <w:rFonts w:ascii="Times New Roman" w:hAnsi="Times New Roman"/>
          <w:lang w:val="sq-AL" w:bidi="ar-SA"/>
        </w:rPr>
        <w:t>Në përfundim të hetimeve paraprake, organi i akuzës ka konkluduar se ndërtimi i përket vitit 2007 dhe, për rrjedhojë, ka kaluar afati i ndjekjes penale. Duke qenë se për veprën penale të ndërtimit të paligjshëm dënimi është nga një deri në pesë vjet, parashkrimi është konsumuar në vitin 2012. Si rrjedhim, ndjekja penale ndaj shtetasit Musa Manjani nuk mund të vazhdojë për shkak të parashkrimit të ndjekjes penale.</w:t>
      </w:r>
    </w:p>
    <w:p w14:paraId="265FAA4F" w14:textId="2AF5608C" w:rsidR="00C62696" w:rsidRPr="009567B0" w:rsidRDefault="00C62696" w:rsidP="00834B80">
      <w:pPr>
        <w:pStyle w:val="ListParagraph"/>
        <w:numPr>
          <w:ilvl w:val="0"/>
          <w:numId w:val="14"/>
        </w:numPr>
        <w:ind w:left="0" w:firstLine="360"/>
        <w:jc w:val="both"/>
        <w:rPr>
          <w:rFonts w:ascii="Times New Roman" w:hAnsi="Times New Roman"/>
          <w:b/>
          <w:lang w:val="sq-AL"/>
        </w:rPr>
      </w:pPr>
      <w:r w:rsidRPr="009567B0">
        <w:rPr>
          <w:rFonts w:ascii="Times New Roman" w:hAnsi="Times New Roman"/>
          <w:b/>
          <w:lang w:val="sq-AL"/>
        </w:rPr>
        <w:t>Gjykata e Shkallës së Parë të Juridiksionit të Përgjithshëm Berat</w:t>
      </w:r>
      <w:r w:rsidRPr="009567B0">
        <w:rPr>
          <w:rFonts w:ascii="Times New Roman" w:hAnsi="Times New Roman"/>
          <w:bCs/>
          <w:lang w:val="sq-AL"/>
        </w:rPr>
        <w:t xml:space="preserve">, me vendimin </w:t>
      </w:r>
      <w:bookmarkStart w:id="1" w:name="_Hlk157027893"/>
      <w:bookmarkStart w:id="2" w:name="_Hlk164068491"/>
      <w:bookmarkStart w:id="3" w:name="_Hlk164695593"/>
      <w:r w:rsidRPr="009567B0">
        <w:rPr>
          <w:rFonts w:ascii="Times New Roman" w:hAnsi="Times New Roman"/>
          <w:bCs/>
          <w:lang w:val="sq-AL"/>
        </w:rPr>
        <w:t>nr</w:t>
      </w:r>
      <w:bookmarkEnd w:id="1"/>
      <w:bookmarkEnd w:id="2"/>
      <w:r w:rsidRPr="009567B0">
        <w:rPr>
          <w:rFonts w:ascii="Times New Roman" w:hAnsi="Times New Roman"/>
          <w:bCs/>
          <w:lang w:val="sq-AL"/>
        </w:rPr>
        <w:t xml:space="preserve">. </w:t>
      </w:r>
      <w:bookmarkEnd w:id="3"/>
      <w:r w:rsidRPr="009567B0">
        <w:rPr>
          <w:rFonts w:ascii="Times New Roman" w:hAnsi="Times New Roman"/>
          <w:bCs/>
          <w:lang w:val="sq-AL"/>
        </w:rPr>
        <w:t>63 (33-2025-127), datë 05.02.2025</w:t>
      </w:r>
      <w:r w:rsidRPr="009567B0">
        <w:rPr>
          <w:rFonts w:ascii="Times New Roman" w:hAnsi="Times New Roman"/>
          <w:lang w:val="sq-AL"/>
        </w:rPr>
        <w:t>, ka vendosur:</w:t>
      </w:r>
      <w:r w:rsidRPr="009567B0">
        <w:rPr>
          <w:rFonts w:ascii="Times New Roman" w:hAnsi="Times New Roman"/>
          <w:b/>
          <w:lang w:val="sq-AL"/>
        </w:rPr>
        <w:t xml:space="preserve">  </w:t>
      </w:r>
    </w:p>
    <w:p w14:paraId="3F154F2C" w14:textId="2285B6F3" w:rsidR="00C62696" w:rsidRPr="009567B0" w:rsidRDefault="00C62696" w:rsidP="00834B80">
      <w:pPr>
        <w:pStyle w:val="ListParagraph"/>
        <w:numPr>
          <w:ilvl w:val="0"/>
          <w:numId w:val="15"/>
        </w:numPr>
        <w:jc w:val="both"/>
        <w:rPr>
          <w:rFonts w:ascii="Times New Roman" w:hAnsi="Times New Roman"/>
          <w:b/>
          <w:lang w:val="sq-AL"/>
        </w:rPr>
      </w:pPr>
      <w:r w:rsidRPr="009567B0">
        <w:rPr>
          <w:rFonts w:ascii="Times New Roman" w:hAnsi="Times New Roman"/>
          <w:i/>
          <w:iCs/>
          <w:lang w:val="sq-AL" w:bidi="ar-SA"/>
        </w:rPr>
        <w:t xml:space="preserve">Kthimin e akteve Prokurorisë pranë Gjykatës së Shkallës së Parë të Juridiksionit të Përgjithshëm Dibër, që i përkasin procedimit penal nr.537, datë 29.12.2022, për kryerjen e veprës penale "Ndërtimi i paligjshëm", parashikuar nga neni 199/a/1 dhe 199/a/3 të Kodit Penal. </w:t>
      </w:r>
    </w:p>
    <w:p w14:paraId="2F8B26D9" w14:textId="77777777" w:rsidR="00C62696" w:rsidRPr="009567B0" w:rsidRDefault="00C62696" w:rsidP="00834B80">
      <w:pPr>
        <w:pStyle w:val="ListParagraph"/>
        <w:numPr>
          <w:ilvl w:val="0"/>
          <w:numId w:val="15"/>
        </w:numPr>
        <w:jc w:val="both"/>
        <w:rPr>
          <w:rFonts w:ascii="Times New Roman" w:hAnsi="Times New Roman"/>
          <w:b/>
          <w:lang w:val="sq-AL"/>
        </w:rPr>
      </w:pPr>
      <w:r w:rsidRPr="009567B0">
        <w:rPr>
          <w:rFonts w:ascii="Times New Roman" w:hAnsi="Times New Roman"/>
          <w:i/>
          <w:iCs/>
          <w:lang w:val="sq-AL" w:bidi="ar-SA"/>
        </w:rPr>
        <w:t>Detyrimin e Prokurorisë pranë Gjykatës së Shkallës së Parë tëJuridiksionit të Përgjithshëm Dibër për vazhdimin e hetimeve, të cilat duhet të përfundojnë brenda 3 (tre) muajve nga marrja formë e prerë e këtij vendimi.</w:t>
      </w:r>
    </w:p>
    <w:p w14:paraId="5000EEBB" w14:textId="77777777" w:rsidR="008363ED" w:rsidRPr="009567B0" w:rsidRDefault="00C62696" w:rsidP="008363ED">
      <w:pPr>
        <w:pStyle w:val="ListParagraph"/>
        <w:numPr>
          <w:ilvl w:val="0"/>
          <w:numId w:val="14"/>
        </w:numPr>
        <w:ind w:left="0" w:firstLine="360"/>
        <w:jc w:val="both"/>
        <w:rPr>
          <w:rFonts w:ascii="Times New Roman" w:hAnsi="Times New Roman"/>
          <w:b/>
          <w:lang w:val="sq-AL"/>
        </w:rPr>
      </w:pPr>
      <w:r w:rsidRPr="009567B0">
        <w:rPr>
          <w:rFonts w:ascii="Times New Roman" w:hAnsi="Times New Roman"/>
          <w:b/>
          <w:lang w:val="sq-AL"/>
        </w:rPr>
        <w:t xml:space="preserve">Gjykata e Shkallës së Parë (gjyqtari i hetimeve paraprake), </w:t>
      </w:r>
      <w:r w:rsidRPr="009567B0">
        <w:rPr>
          <w:rFonts w:ascii="Times New Roman" w:hAnsi="Times New Roman"/>
          <w:lang w:val="sq-AL"/>
        </w:rPr>
        <w:t>ndër të tjera, ka arsyetuar se: “</w:t>
      </w:r>
      <w:r w:rsidRPr="009567B0">
        <w:rPr>
          <w:rFonts w:ascii="Times New Roman" w:hAnsi="Times New Roman"/>
          <w:bCs/>
          <w:lang w:val="sq-AL"/>
        </w:rPr>
        <w:t>Në analizë të rrethanave të çështjes, akteve të procedimit penal nr. 244 të vitit 2023 dhe ligjit të zbatueshëm të sipërcituar, gjykata vëren se në rastin konkret prokuroria ka regjistruar procedim penal për veprën penale “Ndërtimi i paligjshëm”, të parashikuar nga neni 199/a/1 i Kodit Penal, në ngarkim të të pandehurit Musa Manjani.  Në çështjen objekt gjykimi, gjykata duhet të analizojë elementët e figurës së veprës penale të “Ndërtimit të paligjshëm”, parashikuar nga neni 199/a i Kodit Penal. Në këtë nen parashikohet shprehimisht se: “Ndërtimi i kryer pa leje, në shkelje të rëndë të lejes ose në kushtet e një lejeje të shfuqizuar në tokën në pronësi të vet, dënohet me burgim deri në një vit. Po kjo vepër, e kryer për plotësimin e nevojave për strehim sipas ligjit, dënohet me gjobë ose me burgim deri në tre muaj. Po kjo vepër, e kryer në tokën publike ose shtetërore apo në tokën e tjetrit, dënohet me burgim nga një deri në pesë vjet. Po kjo vepër, kur ka sjellë pasoja të rënda apo është kryer për qëllime fitimi, dënohet me burgim nga tre deri në tetë vjet.”</w:t>
      </w:r>
    </w:p>
    <w:p w14:paraId="52944A6D" w14:textId="77777777" w:rsidR="008363ED" w:rsidRPr="009567B0" w:rsidRDefault="00C62696" w:rsidP="008363ED">
      <w:pPr>
        <w:pStyle w:val="ListParagraph"/>
        <w:numPr>
          <w:ilvl w:val="1"/>
          <w:numId w:val="14"/>
        </w:numPr>
        <w:ind w:left="0" w:firstLine="360"/>
        <w:jc w:val="both"/>
        <w:rPr>
          <w:rFonts w:ascii="Times New Roman" w:hAnsi="Times New Roman"/>
          <w:b/>
          <w:lang w:val="sq-AL"/>
        </w:rPr>
      </w:pPr>
      <w:r w:rsidRPr="009567B0">
        <w:rPr>
          <w:rFonts w:ascii="Times New Roman" w:hAnsi="Times New Roman"/>
          <w:bCs/>
          <w:lang w:val="sq-AL"/>
        </w:rPr>
        <w:t xml:space="preserve">Në lidhje me objektin e veprës penale, vepra penale “Ndërtimi i paligjshëm” është parashikuar nga Kodi Penal në Pjesën e posaçme të tij, në Kreun II, Seksioni XI, të titulluar “Vepra penale që cenojnë regjimin juridik të tokës”. Objekt i këtyre veprave janë marrëdhëniet juridike të vendosura për të mbrojtur regjimin juridik të tokës, paprekshmërinë e saj si edhe destinacionin e përcaktuar dhe mënyrën e menaxhimit të tokës. Në mënyrë të posaçme neni 199/a, si pjesë e këtij seksioni, synon të mbrojë paprekshmërinë e tokës nga ndërtimet e paligjshme. Pra, objekti i kësaj vepre është toka si send i veçantë në qarkullimin civil, si dhe regjimi i ndërtimeve. Në lidhje me anën objektive të figurës së veprës penale, “Ndërtimi i paligjshëm” nga ana objektive kryhet nëpërmjet: i) ndërtimit pa leje, në shkelje të rëndë të lejes ose në kushtet e një lejeje të shfuqizuar të një ndërtimi, i cili duhet të ndërtohet në: ii) tokën e të pandehurit; iii) tokën publike; iv) tokën shtetërore; ose v) tokën e një personi tjetër juridik ose fizik privat. Pra, nga përmbajtja e nenit 199/a të Kodit Penal rezulton se një element i domosdoshëm i figurës së veprës penale është vendi ku ndërtohet, që lidhet domosdoshmërisht me tokën. Përkufizimi i termit “Ndërtim pa leje” bëhet në Ligjin nr. 107/2014 “Për planifikimin dhe zhvillimin e territorit”, të ndryshuar, në nenin 3, pika 21, ku përcaktohet se: “Ndërtim/punim pa leje janë ato procese dhe/ose objekte ndërtimore të kryera në mungesë të lejes së ndërtimit, deklaratës paraprake për kryerjen e punimeve ose të kryera në kushtet e një lejeje të shfuqizuar.” Në lidhje me anën subjektive të figurës së veprës penale, gjykata vlerëson </w:t>
      </w:r>
      <w:r w:rsidRPr="009567B0">
        <w:rPr>
          <w:rFonts w:ascii="Times New Roman" w:hAnsi="Times New Roman"/>
          <w:bCs/>
          <w:lang w:val="sq-AL"/>
        </w:rPr>
        <w:lastRenderedPageBreak/>
        <w:t>se vepra penale “Ndërtimi i paligjshëm” kryhet me dashje direkte. Në lidhje me subjektin e veprës penale, gjykata vlerëson se subjekt i kësaj vepre penale mund të jetë çdo person, shtetas shqiptar, i huaj apo pa shtetësi, që kryen ndërtim pa leje. Pra, subjekti është i përgjithshëm dhe duhet të plotësojë kushtin e moshës dhe përgjegjshmërisë.</w:t>
      </w:r>
    </w:p>
    <w:p w14:paraId="774D5FEF" w14:textId="77777777" w:rsidR="008363ED" w:rsidRPr="009567B0" w:rsidRDefault="00C62696" w:rsidP="008363ED">
      <w:pPr>
        <w:pStyle w:val="ListParagraph"/>
        <w:numPr>
          <w:ilvl w:val="1"/>
          <w:numId w:val="14"/>
        </w:numPr>
        <w:ind w:left="0" w:firstLine="360"/>
        <w:jc w:val="both"/>
        <w:rPr>
          <w:rFonts w:ascii="Times New Roman" w:hAnsi="Times New Roman"/>
          <w:b/>
          <w:lang w:val="sq-AL"/>
        </w:rPr>
      </w:pPr>
      <w:r w:rsidRPr="009567B0">
        <w:rPr>
          <w:rFonts w:ascii="Times New Roman" w:hAnsi="Times New Roman"/>
          <w:bCs/>
          <w:lang w:val="sq-AL"/>
        </w:rPr>
        <w:t>Për të përcaktuar faktin penal që përbën veprën penale të ndërtimit të paligjshëm, të parashikuar nga neni 199/a i Kodit Penal, duhet të kryhet hetim në drejtim të: Ekzistencës së ndërtimit të kallëzuar. Verifikimit nëse për punën ndërtimore të kryer kërkohet apo jo leje ndërtimi. Përcaktimit se mbi pronën e kujt është kryer ndërtimi. Identifikimit të personit që ka kryer punimet ndërtimore dhe nëse është i pajisur me leje ndërtimi, kur kërkohet. Kohës së kryerjes së punimeve ndërtimore. Së pari, në lidhje me ekzistencën e një ndërtimi të kryer, sipas kallëzimit të datës 17.11.2023 nga Behar Xholi, shtetasi Musa Manjani ka vendosur disa kolona gati për ndërtim pas objektit të kallëzuesit, si dhe ka zënë pjesën e palosjes së pallatit me mur rrethues. Gjithashtu, sipas Procesverbalit nr. 15, datë 24.11.2023 të IVMT Dibër, rezulton që nga ana e shtetasit Musa Manjani është ndërtuar një mur me blloqe betoni me lartësi 2.6 m, i cili ka zënë hyrjen e pallatit nga të dy anët. Gjithashtu është konstatuar edhe një konstruksion metalik i mbuluar me llamarinë me lartësi 2.7 m dhe gjatësi 6 m dhe 3 m, dhe është marrë vendim për pezullimin e punimeve, prishjen e ndërtimit dhe dënimin me 100,000 lekë.</w:t>
      </w:r>
    </w:p>
    <w:p w14:paraId="456568BC" w14:textId="75A9346E" w:rsidR="00C62696" w:rsidRPr="009567B0" w:rsidRDefault="00C62696" w:rsidP="008363ED">
      <w:pPr>
        <w:pStyle w:val="ListParagraph"/>
        <w:numPr>
          <w:ilvl w:val="1"/>
          <w:numId w:val="14"/>
        </w:numPr>
        <w:ind w:left="0" w:firstLine="360"/>
        <w:jc w:val="both"/>
        <w:rPr>
          <w:rFonts w:ascii="Times New Roman" w:hAnsi="Times New Roman"/>
          <w:b/>
          <w:lang w:val="sq-AL"/>
        </w:rPr>
      </w:pPr>
      <w:r w:rsidRPr="009567B0">
        <w:rPr>
          <w:rFonts w:ascii="Times New Roman" w:hAnsi="Times New Roman"/>
          <w:bCs/>
          <w:lang w:val="sq-AL"/>
        </w:rPr>
        <w:t>Nga ana e prokurorisë është marrë edhe akt ekspertimi teknik ndërtimor i datës 03.05.2024, por në të nuk është paraqitur skicë planvendosjeje ku të tregohet qartë shtrirja e ndërtimeve në raport me truallin. Për shkak të mungesës së kësaj skice, për gjykatën nuk është e qartë se për çfarë punimesh ndërtimore është hetuar. Për sa më sipër, në drejtim të ekzistencës së punës ndërtimore: Prokuroria duhet të kërkojë nga IVMT Dibër praktikën e plotë administrative të konstatimit të ndërtimeve të paligjshme dhe masave të marra. Prokuroria duhet të kërkojë nga eksperti hartimin e skicës së planvendosjes së ndërtimeve të kallëzuara, si dhe lidhjen e saj me fotografitë e vendit të ngjarjes. Së dyti, për përcaktimin e pronësisë së truallit mbi të cilin është kryer ndërtimi, nuk është detyrë e ekspertit të vlerësojë të drejtën e pronësisë. Eksperti përcakton vetëm parcelën ku shtrihet ndërtimi dhe të dhënat kadastrale (numri i pasurisë, zona kadastrale, adresa etj.). Përcaktimi i pronarit është çështje juridike që i takon organit të akuzës, bazuar në të dhënat e regjistrit kadastral. Sipas nenit 17 të Ligjit nr. 111/2018 “Për Kadastrën”, certifikata e pronësisë është dokumenti që provon titullin e pronësisë dhe kufijtë e pronës. Për sa më sipër: Prokuroria duhet të kërkojë nga eksperti mendim se në cilën parcelë shtrihen ndërtimet, duke përcaktuar të dhënat kadastrale, ndërsa vlerësimi i pronësisë i takon prokurorisë. Së treti, në lidhje me kohën e kryerjes së punimeve ndërtimore, gjykata vlerëson se nuk janë kryer hetime të plota për saktësimin e këtij fakti. Mendimi i ekspertit se ndërtimi ekziston që nga viti 2007, bazuar vetëm në ortofoto, nuk mund të merret si përfundimtar, pasi nuk garanton identifikim të saktë të ndërtimit. Po ashtu, nuk është bindës as argumenti për mungesën e ndërtimit në ortofotot e viteve 2015 dhe 2018. Për sa më sipër: Prokuroria duhet të marrë deklarime nga shtetasi Behar Gjoni, si dhe nga persona të tjerë që kanë dijeni për kohën e ndërtimit.</w:t>
      </w:r>
    </w:p>
    <w:p w14:paraId="5E6FBB8D" w14:textId="6E665D51" w:rsidR="00C62696" w:rsidRPr="009567B0" w:rsidRDefault="00C62696" w:rsidP="00834B80">
      <w:pPr>
        <w:pStyle w:val="ListParagraph"/>
        <w:numPr>
          <w:ilvl w:val="0"/>
          <w:numId w:val="14"/>
        </w:numPr>
        <w:ind w:left="0" w:firstLine="360"/>
        <w:jc w:val="both"/>
        <w:rPr>
          <w:rFonts w:ascii="Times New Roman" w:hAnsi="Times New Roman"/>
          <w:b/>
          <w:lang w:val="sq-AL"/>
        </w:rPr>
      </w:pPr>
      <w:r w:rsidRPr="009567B0">
        <w:rPr>
          <w:rFonts w:ascii="Times New Roman" w:hAnsi="Times New Roman"/>
          <w:bCs/>
          <w:lang w:val="sq-AL"/>
        </w:rPr>
        <w:t>Kundër këtij vendimi</w:t>
      </w:r>
      <w:r w:rsidR="008363ED" w:rsidRPr="009567B0">
        <w:rPr>
          <w:rFonts w:ascii="Times New Roman" w:hAnsi="Times New Roman"/>
          <w:bCs/>
          <w:lang w:val="sq-AL"/>
        </w:rPr>
        <w:t>,</w:t>
      </w:r>
      <w:r w:rsidRPr="009567B0">
        <w:rPr>
          <w:rFonts w:ascii="Times New Roman" w:hAnsi="Times New Roman"/>
          <w:bCs/>
          <w:lang w:val="sq-AL"/>
        </w:rPr>
        <w:t xml:space="preserve"> </w:t>
      </w:r>
      <w:r w:rsidRPr="009567B0">
        <w:rPr>
          <w:rFonts w:ascii="Times New Roman" w:hAnsi="Times New Roman"/>
          <w:b/>
          <w:lang w:val="sq-AL"/>
        </w:rPr>
        <w:t>ka paraqitur ankim prokurori</w:t>
      </w:r>
      <w:r w:rsidRPr="009567B0">
        <w:rPr>
          <w:rFonts w:ascii="Times New Roman" w:hAnsi="Times New Roman"/>
          <w:bCs/>
          <w:lang w:val="sq-AL"/>
        </w:rPr>
        <w:t>, duke kërkuar prishjen e vendimit dhe pushimin e çështjes.</w:t>
      </w:r>
    </w:p>
    <w:p w14:paraId="7F7B0675" w14:textId="37330450" w:rsidR="00C62696" w:rsidRPr="009567B0" w:rsidRDefault="00C62696" w:rsidP="00834B80">
      <w:pPr>
        <w:pStyle w:val="ListParagraph"/>
        <w:numPr>
          <w:ilvl w:val="0"/>
          <w:numId w:val="14"/>
        </w:numPr>
        <w:ind w:left="0" w:firstLine="360"/>
        <w:jc w:val="both"/>
        <w:rPr>
          <w:rFonts w:ascii="Times New Roman" w:hAnsi="Times New Roman"/>
          <w:b/>
          <w:lang w:val="sq-AL"/>
        </w:rPr>
      </w:pPr>
      <w:r w:rsidRPr="009567B0">
        <w:rPr>
          <w:rFonts w:ascii="Times New Roman" w:hAnsi="Times New Roman"/>
          <w:b/>
          <w:iCs/>
          <w:lang w:val="sq-AL"/>
        </w:rPr>
        <w:t xml:space="preserve">Gjykata e Apelit të Juridiksionit të Përgjithshëm, </w:t>
      </w:r>
      <w:r w:rsidRPr="009567B0">
        <w:rPr>
          <w:rFonts w:ascii="Times New Roman" w:hAnsi="Times New Roman"/>
          <w:bCs/>
          <w:iCs/>
          <w:lang w:val="sq-AL"/>
        </w:rPr>
        <w:t xml:space="preserve">me vendimin </w:t>
      </w:r>
      <w:bookmarkStart w:id="4" w:name="_Hlk155772831"/>
      <w:r w:rsidRPr="009567B0">
        <w:rPr>
          <w:rFonts w:ascii="Times New Roman" w:hAnsi="Times New Roman"/>
          <w:bCs/>
          <w:iCs/>
          <w:lang w:val="sq-AL"/>
        </w:rPr>
        <w:t>nr</w:t>
      </w:r>
      <w:bookmarkStart w:id="5" w:name="_Hlk156899812"/>
      <w:r w:rsidRPr="009567B0">
        <w:rPr>
          <w:rFonts w:ascii="Times New Roman" w:hAnsi="Times New Roman"/>
          <w:bCs/>
          <w:iCs/>
          <w:lang w:val="sq-AL"/>
        </w:rPr>
        <w:t>. 2666 (30-2025-9629), datë 18.11.2025,</w:t>
      </w:r>
      <w:r w:rsidRPr="009567B0">
        <w:rPr>
          <w:rFonts w:ascii="Times New Roman" w:hAnsi="Times New Roman"/>
          <w:b/>
          <w:iCs/>
          <w:lang w:val="sq-AL"/>
        </w:rPr>
        <w:t xml:space="preserve"> </w:t>
      </w:r>
      <w:bookmarkEnd w:id="4"/>
      <w:bookmarkEnd w:id="5"/>
      <w:r w:rsidRPr="009567B0">
        <w:rPr>
          <w:rFonts w:ascii="Times New Roman" w:hAnsi="Times New Roman"/>
          <w:iCs/>
          <w:lang w:val="sq-AL"/>
        </w:rPr>
        <w:t>ka vendosur:</w:t>
      </w:r>
      <w:r w:rsidRPr="009567B0">
        <w:rPr>
          <w:rFonts w:ascii="Times New Roman" w:hAnsi="Times New Roman"/>
          <w:b/>
          <w:iCs/>
          <w:lang w:val="sq-AL"/>
        </w:rPr>
        <w:t xml:space="preserve"> </w:t>
      </w:r>
    </w:p>
    <w:p w14:paraId="2DB3A879" w14:textId="77777777" w:rsidR="00C62696" w:rsidRPr="009567B0" w:rsidRDefault="00C62696" w:rsidP="00834B80">
      <w:pPr>
        <w:pStyle w:val="ListParagraph"/>
        <w:numPr>
          <w:ilvl w:val="0"/>
          <w:numId w:val="15"/>
        </w:numPr>
        <w:jc w:val="both"/>
        <w:rPr>
          <w:rFonts w:ascii="Times New Roman" w:hAnsi="Times New Roman"/>
          <w:bCs/>
          <w:i/>
          <w:iCs/>
          <w:lang w:val="sq-AL"/>
        </w:rPr>
      </w:pPr>
      <w:r w:rsidRPr="009567B0">
        <w:rPr>
          <w:rFonts w:ascii="Times New Roman" w:hAnsi="Times New Roman"/>
          <w:bCs/>
          <w:i/>
          <w:iCs/>
          <w:lang w:val="sq-AL"/>
        </w:rPr>
        <w:t>Ndryshimin e vendimit Nr. 63 (33-2025-127), datë 05.02.2025 të Gjykatës së Shkallës së Parë të Juridiksionit të Përgjithshëm Dibër.</w:t>
      </w:r>
    </w:p>
    <w:p w14:paraId="6052E812" w14:textId="77777777" w:rsidR="00C62696" w:rsidRPr="009567B0" w:rsidRDefault="00C62696" w:rsidP="00834B80">
      <w:pPr>
        <w:pStyle w:val="ListParagraph"/>
        <w:numPr>
          <w:ilvl w:val="0"/>
          <w:numId w:val="15"/>
        </w:numPr>
        <w:jc w:val="both"/>
        <w:rPr>
          <w:rFonts w:ascii="Times New Roman" w:hAnsi="Times New Roman"/>
          <w:bCs/>
          <w:lang w:val="sq-AL"/>
        </w:rPr>
      </w:pPr>
      <w:r w:rsidRPr="009567B0">
        <w:rPr>
          <w:rFonts w:ascii="Times New Roman" w:hAnsi="Times New Roman"/>
          <w:bCs/>
          <w:i/>
          <w:iCs/>
          <w:lang w:val="sq-AL"/>
        </w:rPr>
        <w:t>Pranimin e kërkesës së Prokurorisë pranë Gjykatës së Shkallës së Parë të Juridiksionit të Përgjithshëm Dibër dhe pushimin e procedimit penal Nr. 537, datë 29.12.2022, për veprën penale “Ndërtim i paligjshëm”, parashikuar nga nenet 199/a/1 dhe 199/a/3 të Kodit Penal</w:t>
      </w:r>
      <w:r w:rsidRPr="009567B0">
        <w:rPr>
          <w:rFonts w:ascii="Times New Roman" w:hAnsi="Times New Roman"/>
          <w:bCs/>
          <w:lang w:val="sq-AL"/>
        </w:rPr>
        <w:t>.</w:t>
      </w:r>
    </w:p>
    <w:p w14:paraId="303F1880" w14:textId="1A48CFCD" w:rsidR="00C62696" w:rsidRPr="009567B0" w:rsidRDefault="00C62696" w:rsidP="00834B80">
      <w:pPr>
        <w:pStyle w:val="ListParagraph"/>
        <w:numPr>
          <w:ilvl w:val="0"/>
          <w:numId w:val="14"/>
        </w:numPr>
        <w:ind w:left="0" w:firstLine="360"/>
        <w:jc w:val="both"/>
        <w:rPr>
          <w:rFonts w:ascii="Times New Roman" w:hAnsi="Times New Roman"/>
          <w:b/>
          <w:lang w:val="sq-AL"/>
        </w:rPr>
      </w:pPr>
      <w:r w:rsidRPr="009567B0">
        <w:rPr>
          <w:rFonts w:ascii="Times New Roman" w:hAnsi="Times New Roman"/>
          <w:b/>
          <w:lang w:val="sq-AL"/>
        </w:rPr>
        <w:lastRenderedPageBreak/>
        <w:t xml:space="preserve">Gjykata </w:t>
      </w:r>
      <w:r w:rsidRPr="009567B0">
        <w:rPr>
          <w:rFonts w:ascii="Times New Roman" w:hAnsi="Times New Roman"/>
          <w:b/>
          <w:iCs/>
          <w:lang w:val="sq-AL"/>
        </w:rPr>
        <w:t>e Apelit</w:t>
      </w:r>
      <w:r w:rsidRPr="009567B0">
        <w:rPr>
          <w:rFonts w:ascii="Times New Roman" w:hAnsi="Times New Roman"/>
          <w:b/>
          <w:lang w:val="sq-AL"/>
        </w:rPr>
        <w:t xml:space="preserve">, </w:t>
      </w:r>
      <w:r w:rsidRPr="009567B0">
        <w:rPr>
          <w:rFonts w:ascii="Times New Roman" w:hAnsi="Times New Roman"/>
          <w:lang w:val="sq-AL"/>
        </w:rPr>
        <w:t xml:space="preserve">ndër të tjera, </w:t>
      </w:r>
      <w:r w:rsidRPr="009567B0">
        <w:rPr>
          <w:rFonts w:ascii="Times New Roman" w:hAnsi="Times New Roman"/>
          <w:bCs/>
          <w:lang w:val="sq-AL"/>
        </w:rPr>
        <w:t>ka arsyetuar se</w:t>
      </w:r>
      <w:r w:rsidRPr="009567B0">
        <w:rPr>
          <w:rFonts w:ascii="Times New Roman" w:hAnsi="Times New Roman"/>
          <w:lang w:val="sq-AL"/>
        </w:rPr>
        <w:t xml:space="preserve">: “(...) </w:t>
      </w:r>
      <w:r w:rsidRPr="009567B0">
        <w:rPr>
          <w:rFonts w:ascii="Times New Roman" w:hAnsi="Times New Roman"/>
          <w:bCs/>
          <w:lang w:val="sq-AL"/>
        </w:rPr>
        <w:t>Drejt ngrihen pretendimet e organit procedues lidhur me aspektin e plotshmërisë dhe gjithanshmërisë së hetimeve paraprake. Verifikimi i respektimit të këtij parimi procedural bëhet duke u bazuar në tërësinë e veprimeve hetimore të kryera, në funksion të zbardhjes së plotë të rrethanave të faktit dhe nëse ekzistojnë elemente të paligjshmërisë. (...) Nga veprimet hetimore rezulton se ndërtimet e kryera nga i pandehuri Musa Manjani (mur me blloqe dhe portë metalike) janë kryer pjesërisht në tokën e tij dhe pjesërisht në tokë shtet. Lidhur me detyrat e lëna nga gjykata e shkallës së parë, Gjykata e Apelit vlerëson se janë veprime që nuk sjellin një përfundim të ndryshëm nga ai i kërkuar nga organi i akuzës, pasi për të dyja këto vepra penale procedimi nuk mund të vijojë. Lidhur me veprën penale të parashikuar nga neni 199/a/1 i Kodit Penal, rezulton se është kryer përpara datës 31.03.2024 e për rrjedhojë kjo vepër është amnistuar me ligjin nr. 33/2024. Ndërkohë që për veprën penale të parashikuar nga neni 199/a/3 i Kodit Penal, rezulton se ndjekja penale është parashkruar në kushtet kur nga akti i ekspertimit ka rezultuar se ky ndërtim është kryer në vitin 2007, duke kaluar afati 5-vjeçar i ndjekjes penale të parashikuar nga ligji.</w:t>
      </w:r>
    </w:p>
    <w:p w14:paraId="15AA35B8" w14:textId="61950A11" w:rsidR="00C62696" w:rsidRPr="009567B0" w:rsidRDefault="00C62696" w:rsidP="00834B80">
      <w:pPr>
        <w:pStyle w:val="ListParagraph"/>
        <w:numPr>
          <w:ilvl w:val="1"/>
          <w:numId w:val="14"/>
        </w:numPr>
        <w:tabs>
          <w:tab w:val="left" w:pos="900"/>
        </w:tabs>
        <w:ind w:left="0" w:firstLine="360"/>
        <w:jc w:val="both"/>
        <w:rPr>
          <w:rFonts w:ascii="Times New Roman" w:hAnsi="Times New Roman"/>
          <w:b/>
          <w:lang w:val="sq-AL"/>
        </w:rPr>
      </w:pPr>
      <w:r w:rsidRPr="009567B0">
        <w:rPr>
          <w:rFonts w:ascii="Times New Roman" w:hAnsi="Times New Roman"/>
          <w:bCs/>
          <w:lang w:val="sq-AL"/>
        </w:rPr>
        <w:t>Gjykata e Shkallës së Parë kërkon nga organi procedues që eksperti të paraqesë planvendosje të ndërtimeve të paligjshme si dhe të japë mendim se në cilën parcelë shtrihen këto ndërtime, veprime këto të panevojshme, pasi akti i ekspertimit dhe shtesa e aktit kanë qenë ezauruese në rezultatet e nxjerra, duke përcaktuar saktë se në cilën parcelë janë shtrirë ndërtimet pa leje të të pandehurit Musa Manjani. Po kështu, pyetja e shtetasit Behar Gjoni nëse ai ka dijeni për ndërtimet e kryera nga Musa Manjani dhe për kohën kur janë kryer ato, është një veprim hetimor që nuk sjell asgjë të re për hetimin, pasi përcaktimi i kohës së ndërtimit është bërë në mënyrë profesionale nga eksperti topograf. Edhe lidhur me detyrën tjetër për tërheqjen e dosjes së praktikës së konstatimit të ndërtimeve të paligjshme nga IVMT Dibër, Gjykata e Apelit e vlerëson jo objektive, pasi organi procedues lidhur me këtë moment ka kryer një hetim të plotë, duke marrë përgjigje nga Bashkia Dibër lidhur me punimet për të cilat është lejuar të kryejë i pandehuri, është administruar vendimi gjyqësor nr. 6530 regj. them datë 26.12.2023 i Gjykatës Administrative të Shkallës së Parë Tiranë, nga rrethanat e së cilës rezulton e provuar se IVMT Bashkia Peshkopi ka marrë masa administrative ndaj të pandehurit për shkeljet e konstatuara në ndërtim, duke vendosur prishjen e objektit dhe dënimin me gjobë të ndërtuesit Musa Manjani. Gjykata e Apelit, ashtu siç pretendon edhe organi i akuzës, arrin në konkluzionin se ky i fundit ka konstatuar me të drejtë se ndjekja penale nuk mund të vazhdojë për veprën penale të parashikuar nga neni 199/a/1 i Kodit Penal për shkak të amnistisë dhe për veprën penale të parashikuar nga neni 199/a/3 i Kodit Penal për shkak të parashkrimit të ndjekjes penale. Mbi argumentat më sipër, Gjykata e Apelit çmon se vendimi i gjykatës së shkallës së parë duhet të ndryshohet dhe kërkesa për pushimin e procedimit penal duhet të pranohet.”</w:t>
      </w:r>
    </w:p>
    <w:p w14:paraId="609A1C24" w14:textId="3E98EA34" w:rsidR="00C62696" w:rsidRPr="009567B0" w:rsidRDefault="00C62696" w:rsidP="00834B80">
      <w:pPr>
        <w:pStyle w:val="ListParagraph"/>
        <w:numPr>
          <w:ilvl w:val="0"/>
          <w:numId w:val="14"/>
        </w:numPr>
        <w:ind w:left="0" w:firstLine="360"/>
        <w:jc w:val="both"/>
        <w:rPr>
          <w:rFonts w:ascii="Times New Roman" w:hAnsi="Times New Roman"/>
          <w:bCs/>
          <w:lang w:val="sq-AL"/>
        </w:rPr>
      </w:pPr>
      <w:r w:rsidRPr="009567B0">
        <w:rPr>
          <w:rFonts w:ascii="Times New Roman" w:hAnsi="Times New Roman"/>
          <w:lang w:val="sq-AL"/>
        </w:rPr>
        <w:t xml:space="preserve">Kundër këtij vendimi më datë 12.03.2026, nëpërmjet mbrojtësit dhe personalisht, </w:t>
      </w:r>
      <w:r w:rsidRPr="009567B0">
        <w:rPr>
          <w:rFonts w:ascii="Times New Roman" w:hAnsi="Times New Roman"/>
          <w:b/>
          <w:bCs/>
          <w:lang w:val="sq-AL"/>
        </w:rPr>
        <w:t xml:space="preserve">ka paraqitur rekurs kallëzuesi Behar Xholi, </w:t>
      </w:r>
      <w:r w:rsidRPr="009567B0">
        <w:rPr>
          <w:rFonts w:ascii="Times New Roman" w:hAnsi="Times New Roman"/>
          <w:lang w:val="sq-AL"/>
        </w:rPr>
        <w:t xml:space="preserve">me të cilin ka kërkuar prishjen e vendimit të gjykatës së apelit dhe lënien në fuqi të vendimit të gjykatës së shkallës së parë. </w:t>
      </w:r>
      <w:r w:rsidRPr="009567B0">
        <w:rPr>
          <w:rFonts w:ascii="Times New Roman" w:hAnsi="Times New Roman"/>
          <w:bCs/>
          <w:lang w:val="sq-AL"/>
        </w:rPr>
        <w:t>Në rekurs kërkuesi Behar Xholi, ndër të tjera, ka parashtruar këto shkaqe:</w:t>
      </w:r>
    </w:p>
    <w:p w14:paraId="13367C9A"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 xml:space="preserve">Gjykata e apelit ka shkelur nenet 152, 383/1, shkronja “ç” të Kodit të Procedurës Penale, duke dhënë një vendim të paarsyetuar, me pasojë pavlefshmërinë e tij, pasi nuk i ka shqyrtuar provat në tërësi dhe nuk ka çmuar vërtetësinë dhe fuqinë provuese të tyre dhe madje e ka bazuar vendimin e saj në prova që nuk ekzistojnë dhe fakte që nuk rezultojnë të provuara. </w:t>
      </w:r>
    </w:p>
    <w:p w14:paraId="2C56EC86" w14:textId="0B5DB0C6"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 xml:space="preserve">Sipas dokumentacionit të dërguar nga Agjencia Shtetërore e Kadastrës (ASHK) Dibër dhe pjesë e dosjes, nuk ka asnjë dokumentacion i cili të provojë se pasuria mbi të cilën është ndërtuar, është blerë nga shtetasi Musa Manjani, por nuk është bërë ndryshim i pronësisë ASHK Dibër. </w:t>
      </w:r>
    </w:p>
    <w:p w14:paraId="1DBC9C96"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lastRenderedPageBreak/>
        <w:t>Gjykata e apelit nuk citon cila është prova konkrete që provon këtë fakt, por mjaftohet me një argumentim të përgjithshëm dhe jo konkret. Pronësia provohet nga titulli i pronësisë, që në rastin konkret nuk ekziston dhe jo nga mendimi ekspertit. Gjykata e Apelit, rezulton se nuk ka rrëzuar me argumente të bazuara në prova, përfundimet e gjykatës së shkallës së parë.</w:t>
      </w:r>
    </w:p>
    <w:p w14:paraId="67CFDA0A"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 xml:space="preserve">Gjykata apelit në vendimin e saj nuk i ka dhënë përgjigje se kur realisht është ndërtuar muri, i cili edhe sot e kësaj dite bllokon kallëzuesin të aksesoj pjesën e pasme të shtëpisë së tij dhe lëvizjen e banorëve të pallatit dhe për cilën pjesë të murit bëhet fjalë. </w:t>
      </w:r>
    </w:p>
    <w:p w14:paraId="2BECB0A3"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Mospërfillja e provave kyçe të lidhura me vitin e ndërtimit, vendin e ndërtimit, për cilën pjesë të murit bëhet fjalë për atë ekzistues që rrethon pasurinë me nr. 287/12 ZK. 2592 apo për atë të ndërtuar rishtazi mes pallatit dhe shtëpisë së kallëzuesit, pronësinë mbi parcelën mbi të cilën është ndërtuar, titullin e pronësisë, motivim real të konfliktit, deklarimet kontradiktore të pandehurit, e bën vendimin e gjykatës së apelit të paarsyetuar dhe të pavlefshëm në kuptim të neneve 152, 383 dhe 432 të Kodit të Procedurës Penale.</w:t>
      </w:r>
    </w:p>
    <w:p w14:paraId="3241327C"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Vendimi i gjykatës vjen si rezultat i çmuarjes së provës më ekspert jo në koherencë me provat e tjera.</w:t>
      </w:r>
    </w:p>
    <w:p w14:paraId="0A3A8DA6"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Në lidhje me kohën kur është ndërtuar, vetë eksperti i caktuar nga prokuroria, pranon se nuk mund të përcaktohet mosha e ndërtimit duke iu referuar gjendjes së murit, pasi duhen bërë analiza, të cilat kryhen në laborator. Ky fakt nuk mund të shërbej si argument për moskryerjen e këtij veprimi hetimor, i cili do sqaronte një fakt të rëndësishëm në lidhje me çështjen dhe me të drejtë shkalla e para ka kërkuar të kryhen veprime shtesë hetimore në këtë drejtim.</w:t>
      </w:r>
    </w:p>
    <w:p w14:paraId="0358E18A"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Referuar edhe praktikës gjyqësore, përderisa vetë eksperti pranon se nuk mund të përcaktohet mosha e ndërtimit duke iu referuar gjendjes së murit, pasi duhen bërë analiza, të cilat kryhen në laborator, gjykata e apelit duhet ta kishte argumentuar qëndrimin e saj në lidhje me vitin e ndërtimit të supozuar në mënyrë të pasaktë në vitin 2007 edhe me prova të tjera, por nuk e ka bërë një diçka të tillë</w:t>
      </w:r>
    </w:p>
    <w:p w14:paraId="03D12282"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Përfundimet e nxjerra nga eksperti nuk mbështeten nga asnjë rrethanë tjetër apo provë tjetër dhe me të drejtë gjykata e shkallës së parë ka kërkuar të kryhen veprime te tjera hetimore në këtë drejtim</w:t>
      </w:r>
    </w:p>
    <w:p w14:paraId="0925919F"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Vendimi i Gjykatës së Shkallës së parë të Juridiksionit të Përgjithshëm Dibër është një vendim i bazuar në ligj dhe në prova, e si i tillë duhet lënë në fuqi.</w:t>
      </w:r>
    </w:p>
    <w:p w14:paraId="015043AD"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 xml:space="preserve">Nga ana e prokurorisë dhe gjykatës së apelit është bërë dukshëm një vlerësim i gabuar në lidhje me ekzistencën e shkaqeve për të cilin ndjekja penale nuk duhet të vazhdojë sipas nenit 328 të Kodit të Procedurës Penale. </w:t>
      </w:r>
    </w:p>
    <w:p w14:paraId="7F40FF30"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Prokuroria në këtë rast ka argumentuar se jemi në këto kushte duke u bazuar në vlerësimin se ka kaluar afati 5 vjeçar i ndjekjes penale për veprën penale të "Ndërtimit të paligjshëm", të parashikuar nga neni 199/a/3 i Kodit Penal dhe se vepra penale, për të cilën është regjistruar ky procedim, bën pjesë te veprat penale që përjashtojnë nga ndjekja penale të gjithë personat që kanë çështje penale në hetim sipas ligjit nr. 33/2024 "Për dhënien e amnistisë".</w:t>
      </w:r>
    </w:p>
    <w:p w14:paraId="7B8ACF3E"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Së pari organi i akuzës ka paraqitur të tjera shkaqe dhe rrethana në kërkesën për pushim e cila është shqyrtuar në shkallë të parë dhe të tjera shkaqe dhe tjetër kualifikim ligjor në ankimin e paraqitur në apel.</w:t>
      </w:r>
    </w:p>
    <w:p w14:paraId="173D7E2E"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 xml:space="preserve">Qëndrimet e prokurorisë dhe gjykatës së apelit janë mbështetur në qëndrime juridike dhe jo teknike të ekspertit, akt i cili ka element të aktit të ekspertimit të rremë. </w:t>
      </w:r>
    </w:p>
    <w:p w14:paraId="2D1E598B" w14:textId="2D8D7D93"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Rezulton e provuar se pasuria ku është ndërtuar është pjesërisht me pronësi shtetin, me të dhëna Zk. 2592, nr. 284/5 e ndodhur në Maqellarë, rreth e rrotull të një pallati banimi, pasuri e cila historikisht ka qenë e hapur për përdorim e për të lëvizur gjithë banorët e pallatit e lagjes, si dhe ka shërbyer si rrug</w:t>
      </w:r>
      <w:r w:rsidR="00DC256D" w:rsidRPr="009567B0">
        <w:rPr>
          <w:rFonts w:ascii="Times New Roman" w:hAnsi="Times New Roman"/>
          <w:iCs/>
          <w:lang w:val="sq-AL"/>
        </w:rPr>
        <w:t>ë për të aksesuar e gjithë lagjj</w:t>
      </w:r>
      <w:r w:rsidRPr="009567B0">
        <w:rPr>
          <w:rFonts w:ascii="Times New Roman" w:hAnsi="Times New Roman"/>
          <w:iCs/>
          <w:lang w:val="sq-AL"/>
        </w:rPr>
        <w:t xml:space="preserve">a shkollën ngjitur, </w:t>
      </w:r>
      <w:r w:rsidRPr="009567B0">
        <w:rPr>
          <w:rFonts w:ascii="Times New Roman" w:hAnsi="Times New Roman"/>
          <w:iCs/>
          <w:lang w:val="sq-AL"/>
        </w:rPr>
        <w:lastRenderedPageBreak/>
        <w:t>ndërsa tani e ka bllokuar lëvizjen për të gjithë dhe e përdor në mënyrë të paligjshme shtetasi Musa Manjani. Pjesa tjetër e murit është ndërtuar në pasurinë me nr. 287/12, në pronësi të personave të tjerë.</w:t>
      </w:r>
    </w:p>
    <w:p w14:paraId="005DF122"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 xml:space="preserve">I pandehuri, në paligjshmëri totale, në mungesën e një leje ndërtimi apo shfrytëzimi të hapësirës publike nga organet përkatëse, ka ndërtuar një mur që pengon lëvizjen dhe aksesimin e kësaj pasurie nga banorët që nga viti 2023. </w:t>
      </w:r>
    </w:p>
    <w:p w14:paraId="2EF84B57"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 xml:space="preserve">Ndërtimi i paligjshëm provohet nga fotot dhe provat në terren. Fotot dhe provat e grumbulluara dëshmojnë qartë ndërhyrjet e shtetasit Musa Manjani mbi një pronë publike pa leje ndërtimi, duke bllokuar rrugën dhe qasjen për banorët e tjerë të zonës. </w:t>
      </w:r>
    </w:p>
    <w:p w14:paraId="066F25F9"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 xml:space="preserve">Viti i ndërtimit, i cili paraqitet jo saktë, ndoshta me vetëdije nga eksperti si viti 2007, ndërkohë që ndërtimi është i vitit 2023, lidhet me dy çështje të tjera të ngritura pranë gjykatës nga i kallëzuari Musa Manjani. </w:t>
      </w:r>
    </w:p>
    <w:p w14:paraId="71106964" w14:textId="1E114053"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 xml:space="preserve">Në Gjykatën e Shkallës së Parë Dibër zhvillohet një çështje civile ku Musa Manjani kërkon të njihet si pronar i një trualli (nr. 287/12, ZK 2592, 934 m²) përmes parashkrimit fitues pa titull ndaj disa bashkëpronarëve të tjerë, ndërsa paralelisht në Gjykatën Administrative Tiranë ai ka kundërshtuar </w:t>
      </w:r>
      <w:r w:rsidR="00DC256D" w:rsidRPr="009567B0">
        <w:rPr>
          <w:rFonts w:ascii="Times New Roman" w:hAnsi="Times New Roman"/>
          <w:iCs/>
          <w:lang w:val="sq-AL"/>
        </w:rPr>
        <w:t>masat e vendosura nga Inspektor</w:t>
      </w:r>
      <w:r w:rsidRPr="009567B0">
        <w:rPr>
          <w:rFonts w:ascii="Times New Roman" w:hAnsi="Times New Roman"/>
          <w:iCs/>
          <w:lang w:val="sq-AL"/>
        </w:rPr>
        <w:t>ati Vendor i Mbrojtjes së Territorit, Bashkia Dibër, duke kërkuar shfuqizimin e procesverbalit të kundërvajtjes, vendimit për pezullim punimesh, prishje objekti dhe gjobës 100.000 lekë, si dhe sigurimin e padisë, ku në thelb të dy proceset lidhen me të njëjtën pasuri dhe konflikt mbi pronësinë dhe ndërtimet në të.</w:t>
      </w:r>
    </w:p>
    <w:p w14:paraId="1DA81A6A" w14:textId="3B229976"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Prokuroria dhe gjykata nuk duhet të anashkaloj faktin se ndërtimet pa leje janë ngjitur me banesën e kall</w:t>
      </w:r>
      <w:r w:rsidR="00DC256D" w:rsidRPr="009567B0">
        <w:rPr>
          <w:rFonts w:ascii="Times New Roman" w:hAnsi="Times New Roman"/>
          <w:iCs/>
          <w:lang w:val="sq-AL"/>
        </w:rPr>
        <w:t>ë</w:t>
      </w:r>
      <w:r w:rsidRPr="009567B0">
        <w:rPr>
          <w:rFonts w:ascii="Times New Roman" w:hAnsi="Times New Roman"/>
          <w:iCs/>
          <w:lang w:val="sq-AL"/>
        </w:rPr>
        <w:t>zuesit duke mos respektuar asnjë distancë, të cilat shkaktuar shqetësim në lidhje me lagështinë dhe faktit se objekti pa leje është ngjitur me dritaren e kërkuesit dhe pengon aksesin e banorëve.</w:t>
      </w:r>
    </w:p>
    <w:p w14:paraId="550A1C5D"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Nuk janë kryer hetime te plota dhe është e nevojshme kryerja e veprimeve të mëtejshme hetimore qe do sqaronin saktë fakte juridike dhe faktike, të cilat gabim siç janë paraqitur nga prokuroria e ndihmojnë shtetasin Musa Manjani për të shmangur përgjegjësinë, dhe e ndihmojnë tek dy gjyqet e mësipërme.</w:t>
      </w:r>
    </w:p>
    <w:p w14:paraId="7FEEFD0A" w14:textId="4188C543"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 xml:space="preserve">Për të arritur në konkluzionin se ka kaluar afati 5 vjeçar është bazuar në konkluzionet e rreme të </w:t>
      </w:r>
      <w:r w:rsidR="008363ED" w:rsidRPr="009567B0">
        <w:rPr>
          <w:rFonts w:ascii="Times New Roman" w:hAnsi="Times New Roman"/>
          <w:iCs/>
          <w:lang w:val="sq-AL"/>
        </w:rPr>
        <w:t>a</w:t>
      </w:r>
      <w:r w:rsidRPr="009567B0">
        <w:rPr>
          <w:rFonts w:ascii="Times New Roman" w:hAnsi="Times New Roman"/>
          <w:iCs/>
          <w:lang w:val="sq-AL"/>
        </w:rPr>
        <w:t xml:space="preserve">ktit të </w:t>
      </w:r>
      <w:r w:rsidR="008363ED" w:rsidRPr="009567B0">
        <w:rPr>
          <w:rFonts w:ascii="Times New Roman" w:hAnsi="Times New Roman"/>
          <w:iCs/>
          <w:lang w:val="sq-AL"/>
        </w:rPr>
        <w:t>e</w:t>
      </w:r>
      <w:r w:rsidRPr="009567B0">
        <w:rPr>
          <w:rFonts w:ascii="Times New Roman" w:hAnsi="Times New Roman"/>
          <w:iCs/>
          <w:lang w:val="sq-AL"/>
        </w:rPr>
        <w:t xml:space="preserve">kspertimit të administruar më datë 03.07.2024, sipas të cilit akti, </w:t>
      </w:r>
      <w:r w:rsidRPr="009567B0">
        <w:rPr>
          <w:rFonts w:ascii="Times New Roman" w:hAnsi="Times New Roman"/>
          <w:i/>
          <w:lang w:val="sq-AL"/>
        </w:rPr>
        <w:t>"Nuk mund të përcaktohet mosha e ndërtimit duke iu referuar gjendjes së murit, pasi duhen bërë analiza, të cilat kryhen në laborator. Nga pamjet në ASIG, rezulton se muri është ndërtuar që në vitin 2007."</w:t>
      </w:r>
    </w:p>
    <w:p w14:paraId="0E6E5FFF"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 xml:space="preserve">Qëndrimi i prokurorisë nuk është në përputhje me faktet që kanë rezultuar nga hetimet e kryera dhe as në përputhje me provat shkresore, pjesë e fashikullit. </w:t>
      </w:r>
    </w:p>
    <w:p w14:paraId="3B657AC0"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Ndërtimi i murit rezulton i provuar se i përket vitit 2023 dhe jo vitit 2007. Ky fakt është parashtruar saktë nga kallëzuesi, të cilin prokuroria e ka cituar gabim, për arsye se në asnjë moment kallëzuesi nuk është shprehur se ndërtimi i murit ka filluar në vitin 2018, por në deklaratën e datës 06.12.2023, është deklaruar se muri ka filluar të ndërtohet me datë 18.11.2023 dhe është prishur para se të paraqiteshin inspektorët e Inspektoratit Vendor të Mbrojtjes së Territorit  Dibër.</w:t>
      </w:r>
    </w:p>
    <w:p w14:paraId="3F22EBAC"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 xml:space="preserve">Po ashtu në procesverbalin e Inspektoratit Vendor të Mbrojtjes së Territorit Dibër (IVMT) është parashtruar se ndërtimi është prishur më datë 28.12.2023 dhe citohet po ashtu se është prishur para paraqitjes së tyre. Fakti i prishjes së ndërtimit nga i pandehuri parashtrohet edhe në aktin e ekspertimit të kryer me ekspert të marrë nga vetë i pandehuri. </w:t>
      </w:r>
    </w:p>
    <w:p w14:paraId="39B7E9BF"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 xml:space="preserve">Përveç ortofotos së vitit 2007, eksperti për te gjitha ortofotot e tjera te vitit 2015 dhe 2018 është shprehur se nuk mund të përcaktoj nëse ka mur apo jo. </w:t>
      </w:r>
    </w:p>
    <w:p w14:paraId="5F8F0A12"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 xml:space="preserve">Përtej këtij fakti ortofotot nuk janë mjet i saktë dhe i besueshëm për të vlerësuar datën e saktë të ndërtimit. </w:t>
      </w:r>
    </w:p>
    <w:p w14:paraId="0D822B89"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lastRenderedPageBreak/>
        <w:t xml:space="preserve">Edhe referuar vetë ortofotos së 2007 nuk është e qartë që aty ka mure dhe pavarësisht se eksperti ka përcaktuar ndryshe, nuk është kompetent për të bërë një përcaktim të tillë. </w:t>
      </w:r>
    </w:p>
    <w:p w14:paraId="55CCD5D3" w14:textId="248555C8"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Në mbështetje të faktit që ndërtimi nuk i përket vitit 2007 përveç deklarimit të kallëzuesit është</w:t>
      </w:r>
      <w:r w:rsidR="00DC256D" w:rsidRPr="009567B0">
        <w:rPr>
          <w:rFonts w:ascii="Times New Roman" w:hAnsi="Times New Roman"/>
          <w:iCs/>
          <w:lang w:val="sq-AL"/>
        </w:rPr>
        <w:t xml:space="preserve"> edhe procesverbali i Inspektor</w:t>
      </w:r>
      <w:r w:rsidRPr="009567B0">
        <w:rPr>
          <w:rFonts w:ascii="Times New Roman" w:hAnsi="Times New Roman"/>
          <w:iCs/>
          <w:lang w:val="sq-AL"/>
        </w:rPr>
        <w:t>atit Vendor të Mbrojtjes së Territorit - Bashkia Dibër.</w:t>
      </w:r>
    </w:p>
    <w:p w14:paraId="2E33DC31"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 xml:space="preserve">Ka po ashtu një sërë veprime dhe rrethanash të tjera që të çojnë në logjikën që ndërtimi është i vitit 2023 dhe rrjedhimisht shumë kohë pas vitit 2007. </w:t>
      </w:r>
    </w:p>
    <w:p w14:paraId="169303CB"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 xml:space="preserve">I Pandehuri fillimisht ka deklaruar se nuk ka kryer asnjë ndërtim, dhe pas përfundimit të hetimeve ka ndryshuar qëndrim duke parashtruar se ndërtimi ishte i vitit 2007 fakt i cili nuk është i vërtetë. </w:t>
      </w:r>
    </w:p>
    <w:p w14:paraId="21053ADF"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Nga viti 2007 në zonë ka ekzistuar vetëm një gardh dhe jo mur, i bazuar edhe në një marrëveshje të vitit 2007 për vendosjen e një “dere kamxhiku”, çka tregon se ndërtimi i murit me blloqe betoni nuk mund të ketë ekzistuar para vitit 2023. Gjithashtu leja e Bashkisë Dibër e vitit 2020 ka qenë vetëm për riparime ose ndërhyrje estetike në rrethime ekzistuese dhe jo për ndërtim muri të ri, dhe se nuk ka lidhje me ndërtimin objekt të çështjes, madje është përdorur si pretekst për ndërhyrje më të gjera. Ka pasur edhe një konflikt në vitin 2020 me një shtetas tjetër për këto ndërhyrje, dhe kërkohet që ai person (Behar Gjoni) të merret në pyetje si dëshmitar për të sqaruar rrethanat e ndërtimit dhe konfliktit.</w:t>
      </w:r>
    </w:p>
    <w:p w14:paraId="60B0325C"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Nuk ka asnjë të dhënë apo provë që mbështet qëndrimin se ndërtimi i përket para vitit 2007. Nga një interpretim i plotë dhe i saktë i rrethanave dhe provave, i vetmi deduksion logjik është se ndërtimi i përket vitit 2023.</w:t>
      </w:r>
    </w:p>
    <w:p w14:paraId="6288D9D9"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Nuk jemi në kushtet e nenit 66 të Kodit Penal. Ndërtimi është realizuar në vitin 2023 dhe i pandehuri e ka marrë këtë cilësi më datë 21.05.2024, pra rreth 6 muaj dhe në këtë kushte ndjekja penale nuk është shuar.</w:t>
      </w:r>
    </w:p>
    <w:p w14:paraId="371A3F49"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I pandehuri nuk përfiton as nuk përjashtohet nga ndjekja penale sipas ligjit nr. 33/2024 "Për dhënien e amnistisë", pasi bazuar në nenin 6, ligjvënësi ka parashikuar si kriter ndalues për përfitimin e amnistisë një dënim me burgim në maksimum deri në 2 vjet ose çdo lloj dënimi tjetër më të butë, ndërkohë që në rastin konkret dënimi maksimal është 5 vite. Nuk e kuptojmë se si ka arritur prokurori në këtë konkluzion sepse nuk ka asnjë rrethanë që të çon në këtë përfundim.</w:t>
      </w:r>
    </w:p>
    <w:p w14:paraId="04FAAB1D"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Neni 199/a paragrafi tretë parashikon ndërtimin e paligjshëm në tokën publike ose shtetërore apo në tokën e tjetrit. Këto elemente janë faktuara nga akti i ekspertimit teknik ndërtimor, datë 03.05.2024, i cili ka parashtruar se ndërtimi (muri me blloqe dhe porta metalike) është kryer pjesërisht në tokën e të pandehurit (fakt i pavërtetë) dhe pjesërisht në tokë shtetërore (pasuria nr. 284/5). Pjesa tjetër e murit është ndërtuar në pasurinë me nr. 287/12, në pronësi të Anifete Qazim Cami, Melita Halit Spahiu, Naxhije Qazim Maqellara dhe Qefsere Halit Spahiu. Për këto punime duhet të pajiseshin me leje ndërtimi. Kemi ndërtim pa leje, pjesërisht në tokën e vet dhe pjesërisht në tokë shtetërore.</w:t>
      </w:r>
    </w:p>
    <w:p w14:paraId="1F8337FA"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 xml:space="preserve">Rezulton e provuar se i pandehuri Musa Manjani, me anë të ndërtimit në fjalë, ka konsumuar elementët e veprës penale të "Ndërtimit të paligjshëm" sipas nenit 199/a/3 të Kodit Penal. </w:t>
      </w:r>
    </w:p>
    <w:p w14:paraId="468C39A9" w14:textId="77777777" w:rsidR="00C62696"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Nëse vullneti i prokurorisë, gjykatës, apo e drejta është pushimi i çështjes, të paktën faktet të konstatohen saktë dhe të mos i japim përparësi të padrejta palëve në proceset e tjera gjyqësore.</w:t>
      </w:r>
    </w:p>
    <w:p w14:paraId="3CC9B5EF" w14:textId="57FA572D" w:rsidR="00E336F8" w:rsidRPr="009567B0" w:rsidRDefault="00C62696" w:rsidP="00834B80">
      <w:pPr>
        <w:pStyle w:val="ListParagraph"/>
        <w:numPr>
          <w:ilvl w:val="0"/>
          <w:numId w:val="13"/>
        </w:numPr>
        <w:tabs>
          <w:tab w:val="left" w:pos="360"/>
          <w:tab w:val="left" w:pos="540"/>
        </w:tabs>
        <w:ind w:left="360"/>
        <w:jc w:val="both"/>
        <w:rPr>
          <w:rFonts w:ascii="Times New Roman" w:hAnsi="Times New Roman"/>
          <w:iCs/>
          <w:lang w:val="sq-AL"/>
        </w:rPr>
      </w:pPr>
      <w:r w:rsidRPr="009567B0">
        <w:rPr>
          <w:rFonts w:ascii="Times New Roman" w:hAnsi="Times New Roman"/>
          <w:iCs/>
          <w:lang w:val="sq-AL"/>
        </w:rPr>
        <w:t>Aktualisht kërkesa e prokurorisë nuk duhet të pranohet pasi fakte të rëndësishme të lidhura me çështjen i ka konstatuar jo saktë dhe i ka lënë me hapësirë për keqinterpretim.</w:t>
      </w:r>
    </w:p>
    <w:p w14:paraId="4E0B9F93" w14:textId="77777777" w:rsidR="004E2605" w:rsidRPr="009567B0" w:rsidRDefault="004E2605" w:rsidP="00834B80">
      <w:pPr>
        <w:pStyle w:val="ListParagraph"/>
        <w:numPr>
          <w:ilvl w:val="0"/>
          <w:numId w:val="14"/>
        </w:numPr>
        <w:ind w:left="0" w:firstLine="360"/>
        <w:jc w:val="both"/>
        <w:rPr>
          <w:rFonts w:ascii="Times New Roman" w:hAnsi="Times New Roman"/>
          <w:bCs/>
          <w:lang w:val="sq-AL"/>
        </w:rPr>
      </w:pPr>
      <w:r w:rsidRPr="009567B0">
        <w:rPr>
          <w:rFonts w:ascii="Times New Roman" w:hAnsi="Times New Roman"/>
          <w:bCs/>
          <w:lang w:val="sq-AL"/>
        </w:rPr>
        <w:t xml:space="preserve">Kundër këtij rekursi, personalisht, më datë 07.07.2026, </w:t>
      </w:r>
      <w:r w:rsidRPr="009567B0">
        <w:rPr>
          <w:rFonts w:ascii="Times New Roman" w:hAnsi="Times New Roman"/>
          <w:b/>
          <w:lang w:val="sq-AL"/>
        </w:rPr>
        <w:t>ka paraqitur parashtrime me shkrim personi i hetuar Musa Manjani</w:t>
      </w:r>
      <w:r w:rsidRPr="009567B0">
        <w:rPr>
          <w:rFonts w:ascii="Times New Roman" w:hAnsi="Times New Roman"/>
          <w:bCs/>
          <w:lang w:val="sq-AL"/>
        </w:rPr>
        <w:t xml:space="preserve">, me të cilin ka parashtruar se kallëzuesi Behar Xholi nuk ka asnjë lloj të drejte dhe interesi në çështjet që ngre. Më tej, parashtron se ka blerë që prej vitit 1996 një tokë, në të cilën jeton dhe këtë tokë e ka futur që prej asaj kohe brenda avllisë. </w:t>
      </w:r>
      <w:r w:rsidRPr="009567B0">
        <w:rPr>
          <w:rFonts w:ascii="Times New Roman" w:hAnsi="Times New Roman"/>
          <w:bCs/>
          <w:lang w:val="sq-AL"/>
        </w:rPr>
        <w:lastRenderedPageBreak/>
        <w:t>Për këtë tokë ka edhe certifikatën e pronësisë, të cilën e paraqet bashkë me parashtrimet. Kallëzuesi kërkon të përfitojë padrejtësisht diçka që nuk i takon. Edhe pse për çështjen objekt gjykimi ai ka fituar në dy shkallët e gjykimit, kallëzuesi Behar Xholi ka bërë rekurs në Gjykatën e Lartë, duke u shprehur edhe për mënyrën e zgjidhjen së kësaj çështje.</w:t>
      </w:r>
    </w:p>
    <w:p w14:paraId="490FD014" w14:textId="3D7569AA" w:rsidR="0094638F" w:rsidRPr="009567B0" w:rsidRDefault="004E2605" w:rsidP="00834B80">
      <w:pPr>
        <w:pStyle w:val="ListParagraph"/>
        <w:numPr>
          <w:ilvl w:val="0"/>
          <w:numId w:val="14"/>
        </w:numPr>
        <w:ind w:left="0" w:firstLine="360"/>
        <w:jc w:val="both"/>
        <w:rPr>
          <w:rFonts w:ascii="Times New Roman" w:hAnsi="Times New Roman"/>
          <w:bCs/>
          <w:lang w:val="sq-AL"/>
        </w:rPr>
      </w:pPr>
      <w:r w:rsidRPr="009567B0">
        <w:rPr>
          <w:rFonts w:ascii="Times New Roman" w:hAnsi="Times New Roman"/>
          <w:bCs/>
          <w:lang w:val="sq-AL"/>
        </w:rPr>
        <w:t xml:space="preserve">Kundër këtij rekursi, nëpërmjet mbrojtësit, më datë 09.07.2026, </w:t>
      </w:r>
      <w:r w:rsidRPr="009567B0">
        <w:rPr>
          <w:rFonts w:ascii="Times New Roman" w:hAnsi="Times New Roman"/>
          <w:b/>
          <w:lang w:val="sq-AL"/>
        </w:rPr>
        <w:t>ka paraqitur parashtrime me shkrim personi i hetuar Musa Manjani</w:t>
      </w:r>
      <w:r w:rsidRPr="009567B0">
        <w:rPr>
          <w:rFonts w:ascii="Times New Roman" w:hAnsi="Times New Roman"/>
          <w:bCs/>
          <w:lang w:val="sq-AL"/>
        </w:rPr>
        <w:t>, me të cilin ka parashtruar në mënyrë të përmbledhur se, rekursi nuk përmban asnjë prej shkaqeve të parashikuara në nenin 432 të Kodit të Procedurës Penale.</w:t>
      </w:r>
      <w:r w:rsidR="0094638F" w:rsidRPr="009567B0">
        <w:rPr>
          <w:rFonts w:ascii="Times New Roman" w:hAnsi="Times New Roman"/>
          <w:bCs/>
          <w:lang w:val="sq-AL"/>
        </w:rPr>
        <w:t xml:space="preserve"> Edhe n</w:t>
      </w:r>
      <w:r w:rsidR="00687251" w:rsidRPr="009567B0">
        <w:rPr>
          <w:rFonts w:ascii="Times New Roman" w:hAnsi="Times New Roman"/>
          <w:bCs/>
          <w:lang w:val="sq-AL"/>
        </w:rPr>
        <w:t>ë</w:t>
      </w:r>
      <w:r w:rsidR="0094638F" w:rsidRPr="009567B0">
        <w:rPr>
          <w:rFonts w:ascii="Times New Roman" w:hAnsi="Times New Roman"/>
          <w:bCs/>
          <w:lang w:val="sq-AL"/>
        </w:rPr>
        <w:t>se shkaqet e rekursit shqyrton n</w:t>
      </w:r>
      <w:r w:rsidR="00687251" w:rsidRPr="009567B0">
        <w:rPr>
          <w:rFonts w:ascii="Times New Roman" w:hAnsi="Times New Roman"/>
          <w:bCs/>
          <w:lang w:val="sq-AL"/>
        </w:rPr>
        <w:t>ë</w:t>
      </w:r>
      <w:r w:rsidR="0094638F" w:rsidRPr="009567B0">
        <w:rPr>
          <w:rFonts w:ascii="Times New Roman" w:hAnsi="Times New Roman"/>
          <w:bCs/>
          <w:lang w:val="sq-AL"/>
        </w:rPr>
        <w:t xml:space="preserve"> themel, ato rezultojn</w:t>
      </w:r>
      <w:r w:rsidR="00687251" w:rsidRPr="009567B0">
        <w:rPr>
          <w:rFonts w:ascii="Times New Roman" w:hAnsi="Times New Roman"/>
          <w:bCs/>
          <w:lang w:val="sq-AL"/>
        </w:rPr>
        <w:t>ë</w:t>
      </w:r>
      <w:r w:rsidR="0094638F" w:rsidRPr="009567B0">
        <w:rPr>
          <w:rFonts w:ascii="Times New Roman" w:hAnsi="Times New Roman"/>
          <w:bCs/>
          <w:lang w:val="sq-AL"/>
        </w:rPr>
        <w:t xml:space="preserve"> t</w:t>
      </w:r>
      <w:r w:rsidR="00687251" w:rsidRPr="009567B0">
        <w:rPr>
          <w:rFonts w:ascii="Times New Roman" w:hAnsi="Times New Roman"/>
          <w:bCs/>
          <w:lang w:val="sq-AL"/>
        </w:rPr>
        <w:t>ë</w:t>
      </w:r>
      <w:r w:rsidR="0094638F" w:rsidRPr="009567B0">
        <w:rPr>
          <w:rFonts w:ascii="Times New Roman" w:hAnsi="Times New Roman"/>
          <w:bCs/>
          <w:lang w:val="sq-AL"/>
        </w:rPr>
        <w:t xml:space="preserve"> pathemelta, n</w:t>
      </w:r>
      <w:r w:rsidR="00687251" w:rsidRPr="009567B0">
        <w:rPr>
          <w:rFonts w:ascii="Times New Roman" w:hAnsi="Times New Roman"/>
          <w:bCs/>
          <w:lang w:val="sq-AL"/>
        </w:rPr>
        <w:t>ë</w:t>
      </w:r>
      <w:r w:rsidR="0094638F" w:rsidRPr="009567B0">
        <w:rPr>
          <w:rFonts w:ascii="Times New Roman" w:hAnsi="Times New Roman"/>
          <w:bCs/>
          <w:lang w:val="sq-AL"/>
        </w:rPr>
        <w:t xml:space="preserve"> pik</w:t>
      </w:r>
      <w:r w:rsidR="00687251" w:rsidRPr="009567B0">
        <w:rPr>
          <w:rFonts w:ascii="Times New Roman" w:hAnsi="Times New Roman"/>
          <w:bCs/>
          <w:lang w:val="sq-AL"/>
        </w:rPr>
        <w:t>ë</w:t>
      </w:r>
      <w:r w:rsidR="0094638F" w:rsidRPr="009567B0">
        <w:rPr>
          <w:rFonts w:ascii="Times New Roman" w:hAnsi="Times New Roman"/>
          <w:bCs/>
          <w:lang w:val="sq-AL"/>
        </w:rPr>
        <w:t xml:space="preserve"> fakti dhe ligji. Pala kall</w:t>
      </w:r>
      <w:r w:rsidR="00687251" w:rsidRPr="009567B0">
        <w:rPr>
          <w:rFonts w:ascii="Times New Roman" w:hAnsi="Times New Roman"/>
          <w:bCs/>
          <w:lang w:val="sq-AL"/>
        </w:rPr>
        <w:t>ë</w:t>
      </w:r>
      <w:r w:rsidR="0094638F" w:rsidRPr="009567B0">
        <w:rPr>
          <w:rFonts w:ascii="Times New Roman" w:hAnsi="Times New Roman"/>
          <w:bCs/>
          <w:lang w:val="sq-AL"/>
        </w:rPr>
        <w:t>zuese si n</w:t>
      </w:r>
      <w:r w:rsidR="00687251" w:rsidRPr="009567B0">
        <w:rPr>
          <w:rFonts w:ascii="Times New Roman" w:hAnsi="Times New Roman"/>
          <w:bCs/>
          <w:lang w:val="sq-AL"/>
        </w:rPr>
        <w:t>ë</w:t>
      </w:r>
      <w:r w:rsidR="0094638F" w:rsidRPr="009567B0">
        <w:rPr>
          <w:rFonts w:ascii="Times New Roman" w:hAnsi="Times New Roman"/>
          <w:bCs/>
          <w:lang w:val="sq-AL"/>
        </w:rPr>
        <w:t xml:space="preserve"> kall</w:t>
      </w:r>
      <w:r w:rsidR="00687251" w:rsidRPr="009567B0">
        <w:rPr>
          <w:rFonts w:ascii="Times New Roman" w:hAnsi="Times New Roman"/>
          <w:bCs/>
          <w:lang w:val="sq-AL"/>
        </w:rPr>
        <w:t>ë</w:t>
      </w:r>
      <w:r w:rsidR="0094638F" w:rsidRPr="009567B0">
        <w:rPr>
          <w:rFonts w:ascii="Times New Roman" w:hAnsi="Times New Roman"/>
          <w:bCs/>
          <w:lang w:val="sq-AL"/>
        </w:rPr>
        <w:t>zim ashtu edhe gjat</w:t>
      </w:r>
      <w:r w:rsidR="00687251" w:rsidRPr="009567B0">
        <w:rPr>
          <w:rFonts w:ascii="Times New Roman" w:hAnsi="Times New Roman"/>
          <w:bCs/>
          <w:lang w:val="sq-AL"/>
        </w:rPr>
        <w:t>ë</w:t>
      </w:r>
      <w:r w:rsidR="0094638F" w:rsidRPr="009567B0">
        <w:rPr>
          <w:rFonts w:ascii="Times New Roman" w:hAnsi="Times New Roman"/>
          <w:bCs/>
          <w:lang w:val="sq-AL"/>
        </w:rPr>
        <w:t xml:space="preserve"> gjykimit n</w:t>
      </w:r>
      <w:r w:rsidR="00687251" w:rsidRPr="009567B0">
        <w:rPr>
          <w:rFonts w:ascii="Times New Roman" w:hAnsi="Times New Roman"/>
          <w:bCs/>
          <w:lang w:val="sq-AL"/>
        </w:rPr>
        <w:t>ë</w:t>
      </w:r>
      <w:r w:rsidR="0094638F" w:rsidRPr="009567B0">
        <w:rPr>
          <w:rFonts w:ascii="Times New Roman" w:hAnsi="Times New Roman"/>
          <w:bCs/>
          <w:lang w:val="sq-AL"/>
        </w:rPr>
        <w:t xml:space="preserve"> t</w:t>
      </w:r>
      <w:r w:rsidR="00687251" w:rsidRPr="009567B0">
        <w:rPr>
          <w:rFonts w:ascii="Times New Roman" w:hAnsi="Times New Roman"/>
          <w:bCs/>
          <w:lang w:val="sq-AL"/>
        </w:rPr>
        <w:t>ë</w:t>
      </w:r>
      <w:r w:rsidR="0094638F" w:rsidRPr="009567B0">
        <w:rPr>
          <w:rFonts w:ascii="Times New Roman" w:hAnsi="Times New Roman"/>
          <w:bCs/>
          <w:lang w:val="sq-AL"/>
        </w:rPr>
        <w:t xml:space="preserve"> dy shkall</w:t>
      </w:r>
      <w:r w:rsidR="00687251" w:rsidRPr="009567B0">
        <w:rPr>
          <w:rFonts w:ascii="Times New Roman" w:hAnsi="Times New Roman"/>
          <w:bCs/>
          <w:lang w:val="sq-AL"/>
        </w:rPr>
        <w:t>ë</w:t>
      </w:r>
      <w:r w:rsidR="0094638F" w:rsidRPr="009567B0">
        <w:rPr>
          <w:rFonts w:ascii="Times New Roman" w:hAnsi="Times New Roman"/>
          <w:bCs/>
          <w:lang w:val="sq-AL"/>
        </w:rPr>
        <w:t xml:space="preserve">t </w:t>
      </w:r>
      <w:r w:rsidR="00687251" w:rsidRPr="009567B0">
        <w:rPr>
          <w:rFonts w:ascii="Times New Roman" w:hAnsi="Times New Roman"/>
          <w:bCs/>
          <w:lang w:val="sq-AL"/>
        </w:rPr>
        <w:t>ë</w:t>
      </w:r>
      <w:r w:rsidR="0094638F" w:rsidRPr="009567B0">
        <w:rPr>
          <w:rFonts w:ascii="Times New Roman" w:hAnsi="Times New Roman"/>
          <w:bCs/>
          <w:lang w:val="sq-AL"/>
        </w:rPr>
        <w:t>sht</w:t>
      </w:r>
      <w:r w:rsidR="00687251" w:rsidRPr="009567B0">
        <w:rPr>
          <w:rFonts w:ascii="Times New Roman" w:hAnsi="Times New Roman"/>
          <w:bCs/>
          <w:lang w:val="sq-AL"/>
        </w:rPr>
        <w:t>ë</w:t>
      </w:r>
      <w:r w:rsidR="0094638F" w:rsidRPr="009567B0">
        <w:rPr>
          <w:rFonts w:ascii="Times New Roman" w:hAnsi="Times New Roman"/>
          <w:bCs/>
          <w:lang w:val="sq-AL"/>
        </w:rPr>
        <w:t xml:space="preserve"> p</w:t>
      </w:r>
      <w:r w:rsidR="00687251" w:rsidRPr="009567B0">
        <w:rPr>
          <w:rFonts w:ascii="Times New Roman" w:hAnsi="Times New Roman"/>
          <w:bCs/>
          <w:lang w:val="sq-AL"/>
        </w:rPr>
        <w:t>ë</w:t>
      </w:r>
      <w:r w:rsidR="0094638F" w:rsidRPr="009567B0">
        <w:rPr>
          <w:rFonts w:ascii="Times New Roman" w:hAnsi="Times New Roman"/>
          <w:bCs/>
          <w:lang w:val="sq-AL"/>
        </w:rPr>
        <w:t>rpjekur t</w:t>
      </w:r>
      <w:r w:rsidR="00687251" w:rsidRPr="009567B0">
        <w:rPr>
          <w:rFonts w:ascii="Times New Roman" w:hAnsi="Times New Roman"/>
          <w:bCs/>
          <w:lang w:val="sq-AL"/>
        </w:rPr>
        <w:t>ë</w:t>
      </w:r>
      <w:r w:rsidR="0094638F" w:rsidRPr="009567B0">
        <w:rPr>
          <w:rFonts w:ascii="Times New Roman" w:hAnsi="Times New Roman"/>
          <w:bCs/>
          <w:lang w:val="sq-AL"/>
        </w:rPr>
        <w:t xml:space="preserve"> krijoj</w:t>
      </w:r>
      <w:r w:rsidR="00687251" w:rsidRPr="009567B0">
        <w:rPr>
          <w:rFonts w:ascii="Times New Roman" w:hAnsi="Times New Roman"/>
          <w:bCs/>
          <w:lang w:val="sq-AL"/>
        </w:rPr>
        <w:t>ë</w:t>
      </w:r>
      <w:r w:rsidR="0094638F" w:rsidRPr="009567B0">
        <w:rPr>
          <w:rFonts w:ascii="Times New Roman" w:hAnsi="Times New Roman"/>
          <w:bCs/>
          <w:lang w:val="sq-AL"/>
        </w:rPr>
        <w:t xml:space="preserve"> situata konfuzioni n</w:t>
      </w:r>
      <w:r w:rsidR="00687251" w:rsidRPr="009567B0">
        <w:rPr>
          <w:rFonts w:ascii="Times New Roman" w:hAnsi="Times New Roman"/>
          <w:bCs/>
          <w:lang w:val="sq-AL"/>
        </w:rPr>
        <w:t>ë</w:t>
      </w:r>
      <w:r w:rsidR="0094638F" w:rsidRPr="009567B0">
        <w:rPr>
          <w:rFonts w:ascii="Times New Roman" w:hAnsi="Times New Roman"/>
          <w:bCs/>
          <w:lang w:val="sq-AL"/>
        </w:rPr>
        <w:t xml:space="preserve"> raport me faktet e kall</w:t>
      </w:r>
      <w:r w:rsidR="00687251" w:rsidRPr="009567B0">
        <w:rPr>
          <w:rFonts w:ascii="Times New Roman" w:hAnsi="Times New Roman"/>
          <w:bCs/>
          <w:lang w:val="sq-AL"/>
        </w:rPr>
        <w:t>ë</w:t>
      </w:r>
      <w:r w:rsidR="0094638F" w:rsidRPr="009567B0">
        <w:rPr>
          <w:rFonts w:ascii="Times New Roman" w:hAnsi="Times New Roman"/>
          <w:bCs/>
          <w:lang w:val="sq-AL"/>
        </w:rPr>
        <w:t>zuara. Nga ekspertimi i kryer ka rezultuar se nuk ka nd</w:t>
      </w:r>
      <w:r w:rsidR="00687251" w:rsidRPr="009567B0">
        <w:rPr>
          <w:rFonts w:ascii="Times New Roman" w:hAnsi="Times New Roman"/>
          <w:bCs/>
          <w:lang w:val="sq-AL"/>
        </w:rPr>
        <w:t>ë</w:t>
      </w:r>
      <w:r w:rsidR="0094638F" w:rsidRPr="009567B0">
        <w:rPr>
          <w:rFonts w:ascii="Times New Roman" w:hAnsi="Times New Roman"/>
          <w:bCs/>
          <w:lang w:val="sq-AL"/>
        </w:rPr>
        <w:t>rtim t</w:t>
      </w:r>
      <w:r w:rsidR="00687251" w:rsidRPr="009567B0">
        <w:rPr>
          <w:rFonts w:ascii="Times New Roman" w:hAnsi="Times New Roman"/>
          <w:bCs/>
          <w:lang w:val="sq-AL"/>
        </w:rPr>
        <w:t>ë</w:t>
      </w:r>
      <w:r w:rsidR="0094638F" w:rsidRPr="009567B0">
        <w:rPr>
          <w:rFonts w:ascii="Times New Roman" w:hAnsi="Times New Roman"/>
          <w:bCs/>
          <w:lang w:val="sq-AL"/>
        </w:rPr>
        <w:t xml:space="preserve"> ri por ka nd</w:t>
      </w:r>
      <w:r w:rsidR="00687251" w:rsidRPr="009567B0">
        <w:rPr>
          <w:rFonts w:ascii="Times New Roman" w:hAnsi="Times New Roman"/>
          <w:bCs/>
          <w:lang w:val="sq-AL"/>
        </w:rPr>
        <w:t>ë</w:t>
      </w:r>
      <w:r w:rsidR="0094638F" w:rsidRPr="009567B0">
        <w:rPr>
          <w:rFonts w:ascii="Times New Roman" w:hAnsi="Times New Roman"/>
          <w:bCs/>
          <w:lang w:val="sq-AL"/>
        </w:rPr>
        <w:t>rtime ekzistuese (mure rrethuese), t</w:t>
      </w:r>
      <w:r w:rsidR="00687251" w:rsidRPr="009567B0">
        <w:rPr>
          <w:rFonts w:ascii="Times New Roman" w:hAnsi="Times New Roman"/>
          <w:bCs/>
          <w:lang w:val="sq-AL"/>
        </w:rPr>
        <w:t>ë</w:t>
      </w:r>
      <w:r w:rsidR="0094638F" w:rsidRPr="009567B0">
        <w:rPr>
          <w:rFonts w:ascii="Times New Roman" w:hAnsi="Times New Roman"/>
          <w:bCs/>
          <w:lang w:val="sq-AL"/>
        </w:rPr>
        <w:t xml:space="preserve"> cilat jan</w:t>
      </w:r>
      <w:r w:rsidR="00687251" w:rsidRPr="009567B0">
        <w:rPr>
          <w:rFonts w:ascii="Times New Roman" w:hAnsi="Times New Roman"/>
          <w:bCs/>
          <w:lang w:val="sq-AL"/>
        </w:rPr>
        <w:t>ë</w:t>
      </w:r>
      <w:r w:rsidR="0094638F" w:rsidRPr="009567B0">
        <w:rPr>
          <w:rFonts w:ascii="Times New Roman" w:hAnsi="Times New Roman"/>
          <w:bCs/>
          <w:lang w:val="sq-AL"/>
        </w:rPr>
        <w:t xml:space="preserve"> ngritur n</w:t>
      </w:r>
      <w:r w:rsidR="00687251" w:rsidRPr="009567B0">
        <w:rPr>
          <w:rFonts w:ascii="Times New Roman" w:hAnsi="Times New Roman"/>
          <w:bCs/>
          <w:lang w:val="sq-AL"/>
        </w:rPr>
        <w:t>ë</w:t>
      </w:r>
      <w:r w:rsidR="0094638F" w:rsidRPr="009567B0">
        <w:rPr>
          <w:rFonts w:ascii="Times New Roman" w:hAnsi="Times New Roman"/>
          <w:bCs/>
          <w:lang w:val="sq-AL"/>
        </w:rPr>
        <w:t xml:space="preserve"> </w:t>
      </w:r>
      <w:r w:rsidR="00687251" w:rsidRPr="009567B0">
        <w:rPr>
          <w:rFonts w:ascii="Times New Roman" w:hAnsi="Times New Roman"/>
          <w:bCs/>
          <w:lang w:val="sq-AL"/>
        </w:rPr>
        <w:t>ç</w:t>
      </w:r>
      <w:r w:rsidR="0094638F" w:rsidRPr="009567B0">
        <w:rPr>
          <w:rFonts w:ascii="Times New Roman" w:hAnsi="Times New Roman"/>
          <w:bCs/>
          <w:lang w:val="sq-AL"/>
        </w:rPr>
        <w:t>do rast para vitit 2007. Akti i ekspertimit nuk është kundërshtuar nga ana e rekursuesit, dhe as i janë bërë ekspertit pyetje shtese, pas njohjes me aktin. Njëjtë, rekursuesi nuk ka kërkuar përjashtim të ekspertit, nuk ka kërkuar pavlefshmëri relative apo absolute t</w:t>
      </w:r>
      <w:r w:rsidR="00687251" w:rsidRPr="009567B0">
        <w:rPr>
          <w:rFonts w:ascii="Times New Roman" w:hAnsi="Times New Roman"/>
          <w:bCs/>
          <w:lang w:val="sq-AL"/>
        </w:rPr>
        <w:t>ë</w:t>
      </w:r>
      <w:r w:rsidR="0094638F" w:rsidRPr="009567B0">
        <w:rPr>
          <w:rFonts w:ascii="Times New Roman" w:hAnsi="Times New Roman"/>
          <w:bCs/>
          <w:lang w:val="sq-AL"/>
        </w:rPr>
        <w:t xml:space="preserve"> aktit teknik. Çuditërisht, mos dakordësi me aktin rekursuesi shpreh vetëm në rekurs, duke i kërkuar kësaj Gjykate që të analizojë ndryshe aktin e ekspertimit, nga sa kanë bërë organi i akuzës dhe Gjykata e Apelit. Fakti i mos ekzistencës së një ndërtimi të ri pretenduar nga rekursuesi, u provua gjatë gjykimit edhe me prova të tjera të ndodhura në dosjen gjyqësore si pamjet fotografike nga sistemi gjeohap</w:t>
      </w:r>
      <w:r w:rsidR="00687251" w:rsidRPr="009567B0">
        <w:rPr>
          <w:rFonts w:ascii="Times New Roman" w:hAnsi="Times New Roman"/>
          <w:bCs/>
          <w:lang w:val="sq-AL"/>
        </w:rPr>
        <w:t>ë</w:t>
      </w:r>
      <w:r w:rsidR="0094638F" w:rsidRPr="009567B0">
        <w:rPr>
          <w:rFonts w:ascii="Times New Roman" w:hAnsi="Times New Roman"/>
          <w:bCs/>
          <w:lang w:val="sq-AL"/>
        </w:rPr>
        <w:t>sinor (ASIG), akti ekspertimit teknik privat dat</w:t>
      </w:r>
      <w:r w:rsidR="00687251" w:rsidRPr="009567B0">
        <w:rPr>
          <w:rFonts w:ascii="Times New Roman" w:hAnsi="Times New Roman"/>
          <w:bCs/>
          <w:lang w:val="sq-AL"/>
        </w:rPr>
        <w:t>ë</w:t>
      </w:r>
      <w:r w:rsidR="0094638F" w:rsidRPr="009567B0">
        <w:rPr>
          <w:rFonts w:ascii="Times New Roman" w:hAnsi="Times New Roman"/>
          <w:bCs/>
          <w:lang w:val="sq-AL"/>
        </w:rPr>
        <w:t xml:space="preserve"> 19.06.2024, kthim p</w:t>
      </w:r>
      <w:r w:rsidR="00687251" w:rsidRPr="009567B0">
        <w:rPr>
          <w:rFonts w:ascii="Times New Roman" w:hAnsi="Times New Roman"/>
          <w:bCs/>
          <w:lang w:val="sq-AL"/>
        </w:rPr>
        <w:t>ë</w:t>
      </w:r>
      <w:r w:rsidR="0094638F" w:rsidRPr="009567B0">
        <w:rPr>
          <w:rFonts w:ascii="Times New Roman" w:hAnsi="Times New Roman"/>
          <w:bCs/>
          <w:lang w:val="sq-AL"/>
        </w:rPr>
        <w:t>rgjigjet e Bashkis</w:t>
      </w:r>
      <w:r w:rsidR="00687251" w:rsidRPr="009567B0">
        <w:rPr>
          <w:rFonts w:ascii="Times New Roman" w:hAnsi="Times New Roman"/>
          <w:bCs/>
          <w:lang w:val="sq-AL"/>
        </w:rPr>
        <w:t>ë</w:t>
      </w:r>
      <w:r w:rsidR="0094638F" w:rsidRPr="009567B0">
        <w:rPr>
          <w:rFonts w:ascii="Times New Roman" w:hAnsi="Times New Roman"/>
          <w:bCs/>
          <w:lang w:val="sq-AL"/>
        </w:rPr>
        <w:t xml:space="preserve"> Dib</w:t>
      </w:r>
      <w:r w:rsidR="00687251" w:rsidRPr="009567B0">
        <w:rPr>
          <w:rFonts w:ascii="Times New Roman" w:hAnsi="Times New Roman"/>
          <w:bCs/>
          <w:lang w:val="sq-AL"/>
        </w:rPr>
        <w:t>ë</w:t>
      </w:r>
      <w:r w:rsidR="0094638F" w:rsidRPr="009567B0">
        <w:rPr>
          <w:rFonts w:ascii="Times New Roman" w:hAnsi="Times New Roman"/>
          <w:bCs/>
          <w:lang w:val="sq-AL"/>
        </w:rPr>
        <w:t>r etj. Referuar ASIG-ut p</w:t>
      </w:r>
      <w:r w:rsidR="00687251" w:rsidRPr="009567B0">
        <w:rPr>
          <w:rFonts w:ascii="Times New Roman" w:hAnsi="Times New Roman"/>
          <w:bCs/>
          <w:lang w:val="sq-AL"/>
        </w:rPr>
        <w:t>ë</w:t>
      </w:r>
      <w:r w:rsidR="0094638F" w:rsidRPr="009567B0">
        <w:rPr>
          <w:rFonts w:ascii="Times New Roman" w:hAnsi="Times New Roman"/>
          <w:bCs/>
          <w:lang w:val="sq-AL"/>
        </w:rPr>
        <w:t>r vitin 2007, këto mure njësoj rezultonin të ishin ekzistuese edhe në këtë periudhë. Në këtë kuptim, edhe sikur të marrim të mir</w:t>
      </w:r>
      <w:r w:rsidR="00DC256D" w:rsidRPr="009567B0">
        <w:rPr>
          <w:rFonts w:ascii="Times New Roman" w:hAnsi="Times New Roman"/>
          <w:iCs/>
          <w:lang w:val="sq-AL"/>
        </w:rPr>
        <w:t>ë</w:t>
      </w:r>
      <w:r w:rsidR="0094638F" w:rsidRPr="009567B0">
        <w:rPr>
          <w:rFonts w:ascii="Times New Roman" w:hAnsi="Times New Roman"/>
          <w:bCs/>
          <w:lang w:val="sq-AL"/>
        </w:rPr>
        <w:t>qenë se këto mure janë ngritur në vitin 2007, parashkrimi është plotësuar në vitin 2012. Më tej, përpos akteve te ekspertimit teknik, pamjeve të ofruara nga sistemi ASIG dhe atyre të përfituara nga google earth, në dosjen gjyqësore ndodhet, sic u tha, edhe shkresa kthim përgjigje e Bashkisë Dibër nr. 2821/1 prot datë 17.08.2020, drejtuar paditësit Musa Manjani dhe për dijeni Inspektoratit Vendor të Mbrojtjes së Territorit Dibër. Nga përmbajtja e kësaj shkrese rezultoi që, Bashkia Dibër pranonte kërkes</w:t>
      </w:r>
      <w:r w:rsidR="00DC256D" w:rsidRPr="009567B0">
        <w:rPr>
          <w:rFonts w:ascii="Times New Roman" w:hAnsi="Times New Roman"/>
          <w:iCs/>
          <w:lang w:val="sq-AL"/>
        </w:rPr>
        <w:t>ë</w:t>
      </w:r>
      <w:r w:rsidR="0094638F" w:rsidRPr="009567B0">
        <w:rPr>
          <w:rFonts w:ascii="Times New Roman" w:hAnsi="Times New Roman"/>
          <w:bCs/>
          <w:lang w:val="sq-AL"/>
        </w:rPr>
        <w:t>n nr. 2821 prot datë 14.08.2020, të paditësit Musa Manjani, duke miratuar edhe lejen përkatëse për kryerjen e punimeve si më poshtë: Riparimi i rrethimeve ekzistuese, Rinfreskimi i lyerjes, suvatimit dhe veshjes se fasadave të murit rrethues me materiale që kanë karakteristika dhe ngjyra të njëjta me ato ekzistuese. Pra, flitet për mure rrethuese ekzistuese, dhe jo për mure të ngritura në vitin 2023, sic pa vërtetësisht pretendohet nga kall</w:t>
      </w:r>
      <w:r w:rsidR="00687251" w:rsidRPr="009567B0">
        <w:rPr>
          <w:rFonts w:ascii="Times New Roman" w:hAnsi="Times New Roman"/>
          <w:bCs/>
          <w:lang w:val="sq-AL"/>
        </w:rPr>
        <w:t>ë</w:t>
      </w:r>
      <w:r w:rsidR="0094638F" w:rsidRPr="009567B0">
        <w:rPr>
          <w:rFonts w:ascii="Times New Roman" w:hAnsi="Times New Roman"/>
          <w:bCs/>
          <w:lang w:val="sq-AL"/>
        </w:rPr>
        <w:t>zuesi. Ndaj, edhe ky pretendim, i ngritur vetëm në rekurs, duke qënë i pa themeltë, në pikë fakti dhe ligji, nuk duhet të merret parasysh nga Gjykata e Lartë. Aktet e dosjes, v</w:t>
      </w:r>
      <w:r w:rsidR="00DC256D" w:rsidRPr="009567B0">
        <w:rPr>
          <w:rFonts w:ascii="Times New Roman" w:hAnsi="Times New Roman"/>
          <w:bCs/>
          <w:lang w:val="sq-AL"/>
        </w:rPr>
        <w:t>ë</w:t>
      </w:r>
      <w:r w:rsidR="0094638F" w:rsidRPr="009567B0">
        <w:rPr>
          <w:rFonts w:ascii="Times New Roman" w:hAnsi="Times New Roman"/>
          <w:bCs/>
          <w:lang w:val="sq-AL"/>
        </w:rPr>
        <w:t>rtetojn</w:t>
      </w:r>
      <w:r w:rsidR="00DC256D" w:rsidRPr="009567B0">
        <w:rPr>
          <w:rFonts w:ascii="Times New Roman" w:hAnsi="Times New Roman"/>
          <w:bCs/>
          <w:lang w:val="sq-AL"/>
        </w:rPr>
        <w:t>ë</w:t>
      </w:r>
      <w:r w:rsidR="0094638F" w:rsidRPr="009567B0">
        <w:rPr>
          <w:rFonts w:ascii="Times New Roman" w:hAnsi="Times New Roman"/>
          <w:bCs/>
          <w:lang w:val="sq-AL"/>
        </w:rPr>
        <w:t xml:space="preserve"> se, mes Musa Manjani, i kall</w:t>
      </w:r>
      <w:r w:rsidR="00687251" w:rsidRPr="009567B0">
        <w:rPr>
          <w:rFonts w:ascii="Times New Roman" w:hAnsi="Times New Roman"/>
          <w:bCs/>
          <w:lang w:val="sq-AL"/>
        </w:rPr>
        <w:t>ë</w:t>
      </w:r>
      <w:r w:rsidR="0094638F" w:rsidRPr="009567B0">
        <w:rPr>
          <w:rFonts w:ascii="Times New Roman" w:hAnsi="Times New Roman"/>
          <w:bCs/>
          <w:lang w:val="sq-AL"/>
        </w:rPr>
        <w:t>zuar, dhe pronareve t</w:t>
      </w:r>
      <w:r w:rsidR="00687251" w:rsidRPr="009567B0">
        <w:rPr>
          <w:rFonts w:ascii="Times New Roman" w:hAnsi="Times New Roman"/>
          <w:bCs/>
          <w:lang w:val="sq-AL"/>
        </w:rPr>
        <w:t>ë</w:t>
      </w:r>
      <w:r w:rsidR="0094638F" w:rsidRPr="009567B0">
        <w:rPr>
          <w:rFonts w:ascii="Times New Roman" w:hAnsi="Times New Roman"/>
          <w:bCs/>
          <w:lang w:val="sq-AL"/>
        </w:rPr>
        <w:t xml:space="preserve"> truallit me num</w:t>
      </w:r>
      <w:r w:rsidR="00687251" w:rsidRPr="009567B0">
        <w:rPr>
          <w:rFonts w:ascii="Times New Roman" w:hAnsi="Times New Roman"/>
          <w:bCs/>
          <w:lang w:val="sq-AL"/>
        </w:rPr>
        <w:t>ë</w:t>
      </w:r>
      <w:r w:rsidR="0094638F" w:rsidRPr="009567B0">
        <w:rPr>
          <w:rFonts w:ascii="Times New Roman" w:hAnsi="Times New Roman"/>
          <w:bCs/>
          <w:lang w:val="sq-AL"/>
        </w:rPr>
        <w:t>r pasurie 287/12, p</w:t>
      </w:r>
      <w:r w:rsidR="00687251" w:rsidRPr="009567B0">
        <w:rPr>
          <w:rFonts w:ascii="Times New Roman" w:hAnsi="Times New Roman"/>
          <w:bCs/>
          <w:lang w:val="sq-AL"/>
        </w:rPr>
        <w:t>ë</w:t>
      </w:r>
      <w:r w:rsidR="0094638F" w:rsidRPr="009567B0">
        <w:rPr>
          <w:rFonts w:ascii="Times New Roman" w:hAnsi="Times New Roman"/>
          <w:bCs/>
          <w:lang w:val="sq-AL"/>
        </w:rPr>
        <w:t>r t</w:t>
      </w:r>
      <w:r w:rsidR="00687251" w:rsidRPr="009567B0">
        <w:rPr>
          <w:rFonts w:ascii="Times New Roman" w:hAnsi="Times New Roman"/>
          <w:bCs/>
          <w:lang w:val="sq-AL"/>
        </w:rPr>
        <w:t>ë</w:t>
      </w:r>
      <w:r w:rsidR="0094638F" w:rsidRPr="009567B0">
        <w:rPr>
          <w:rFonts w:ascii="Times New Roman" w:hAnsi="Times New Roman"/>
          <w:bCs/>
          <w:lang w:val="sq-AL"/>
        </w:rPr>
        <w:t xml:space="preserve"> cilin rekursuesi pretendon se nuk ka akt shitje mes t</w:t>
      </w:r>
      <w:r w:rsidR="00687251" w:rsidRPr="009567B0">
        <w:rPr>
          <w:rFonts w:ascii="Times New Roman" w:hAnsi="Times New Roman"/>
          <w:bCs/>
          <w:lang w:val="sq-AL"/>
        </w:rPr>
        <w:t>ë</w:t>
      </w:r>
      <w:r w:rsidR="0094638F" w:rsidRPr="009567B0">
        <w:rPr>
          <w:rFonts w:ascii="Times New Roman" w:hAnsi="Times New Roman"/>
          <w:bCs/>
          <w:lang w:val="sq-AL"/>
        </w:rPr>
        <w:t xml:space="preserve"> kall</w:t>
      </w:r>
      <w:r w:rsidR="00687251" w:rsidRPr="009567B0">
        <w:rPr>
          <w:rFonts w:ascii="Times New Roman" w:hAnsi="Times New Roman"/>
          <w:bCs/>
          <w:lang w:val="sq-AL"/>
        </w:rPr>
        <w:t>ë</w:t>
      </w:r>
      <w:r w:rsidR="0094638F" w:rsidRPr="009567B0">
        <w:rPr>
          <w:rFonts w:ascii="Times New Roman" w:hAnsi="Times New Roman"/>
          <w:bCs/>
          <w:lang w:val="sq-AL"/>
        </w:rPr>
        <w:t>zuarit dhe pronar</w:t>
      </w:r>
      <w:r w:rsidR="00687251" w:rsidRPr="009567B0">
        <w:rPr>
          <w:rFonts w:ascii="Times New Roman" w:hAnsi="Times New Roman"/>
          <w:bCs/>
          <w:lang w:val="sq-AL"/>
        </w:rPr>
        <w:t>ë</w:t>
      </w:r>
      <w:r w:rsidR="0094638F" w:rsidRPr="009567B0">
        <w:rPr>
          <w:rFonts w:ascii="Times New Roman" w:hAnsi="Times New Roman"/>
          <w:bCs/>
          <w:lang w:val="sq-AL"/>
        </w:rPr>
        <w:t>ve t</w:t>
      </w:r>
      <w:r w:rsidR="00687251" w:rsidRPr="009567B0">
        <w:rPr>
          <w:rFonts w:ascii="Times New Roman" w:hAnsi="Times New Roman"/>
          <w:bCs/>
          <w:lang w:val="sq-AL"/>
        </w:rPr>
        <w:t>ë</w:t>
      </w:r>
      <w:r w:rsidR="0094638F" w:rsidRPr="009567B0">
        <w:rPr>
          <w:rFonts w:ascii="Times New Roman" w:hAnsi="Times New Roman"/>
          <w:bCs/>
          <w:lang w:val="sq-AL"/>
        </w:rPr>
        <w:t xml:space="preserve"> m</w:t>
      </w:r>
      <w:r w:rsidR="00687251" w:rsidRPr="009567B0">
        <w:rPr>
          <w:rFonts w:ascii="Times New Roman" w:hAnsi="Times New Roman"/>
          <w:bCs/>
          <w:lang w:val="sq-AL"/>
        </w:rPr>
        <w:t>ë</w:t>
      </w:r>
      <w:r w:rsidR="0094638F" w:rsidRPr="009567B0">
        <w:rPr>
          <w:rFonts w:ascii="Times New Roman" w:hAnsi="Times New Roman"/>
          <w:bCs/>
          <w:lang w:val="sq-AL"/>
        </w:rPr>
        <w:t>parsh</w:t>
      </w:r>
      <w:r w:rsidR="00687251" w:rsidRPr="009567B0">
        <w:rPr>
          <w:rFonts w:ascii="Times New Roman" w:hAnsi="Times New Roman"/>
          <w:bCs/>
          <w:lang w:val="sq-AL"/>
        </w:rPr>
        <w:t>ë</w:t>
      </w:r>
      <w:r w:rsidR="0094638F" w:rsidRPr="009567B0">
        <w:rPr>
          <w:rFonts w:ascii="Times New Roman" w:hAnsi="Times New Roman"/>
          <w:bCs/>
          <w:lang w:val="sq-AL"/>
        </w:rPr>
        <w:t>m, ka patur njohje, bisedime, lidhje marr</w:t>
      </w:r>
      <w:r w:rsidR="00687251" w:rsidRPr="009567B0">
        <w:rPr>
          <w:rFonts w:ascii="Times New Roman" w:hAnsi="Times New Roman"/>
          <w:bCs/>
          <w:lang w:val="sq-AL"/>
        </w:rPr>
        <w:t>ë</w:t>
      </w:r>
      <w:r w:rsidR="0094638F" w:rsidRPr="009567B0">
        <w:rPr>
          <w:rFonts w:ascii="Times New Roman" w:hAnsi="Times New Roman"/>
          <w:bCs/>
          <w:lang w:val="sq-AL"/>
        </w:rPr>
        <w:t>veshjesh juridike t</w:t>
      </w:r>
      <w:r w:rsidR="00687251" w:rsidRPr="009567B0">
        <w:rPr>
          <w:rFonts w:ascii="Times New Roman" w:hAnsi="Times New Roman"/>
          <w:bCs/>
          <w:lang w:val="sq-AL"/>
        </w:rPr>
        <w:t>ë</w:t>
      </w:r>
      <w:r w:rsidR="0094638F" w:rsidRPr="009567B0">
        <w:rPr>
          <w:rFonts w:ascii="Times New Roman" w:hAnsi="Times New Roman"/>
          <w:bCs/>
          <w:lang w:val="sq-AL"/>
        </w:rPr>
        <w:t xml:space="preserve"> ndryshme p</w:t>
      </w:r>
      <w:r w:rsidR="00687251" w:rsidRPr="009567B0">
        <w:rPr>
          <w:rFonts w:ascii="Times New Roman" w:hAnsi="Times New Roman"/>
          <w:bCs/>
          <w:lang w:val="sq-AL"/>
        </w:rPr>
        <w:t>ë</w:t>
      </w:r>
      <w:r w:rsidR="0094638F" w:rsidRPr="009567B0">
        <w:rPr>
          <w:rFonts w:ascii="Times New Roman" w:hAnsi="Times New Roman"/>
          <w:bCs/>
          <w:lang w:val="sq-AL"/>
        </w:rPr>
        <w:t>r blerjen e k</w:t>
      </w:r>
      <w:r w:rsidR="00687251" w:rsidRPr="009567B0">
        <w:rPr>
          <w:rFonts w:ascii="Times New Roman" w:hAnsi="Times New Roman"/>
          <w:bCs/>
          <w:lang w:val="sq-AL"/>
        </w:rPr>
        <w:t>ë</w:t>
      </w:r>
      <w:r w:rsidR="0094638F" w:rsidRPr="009567B0">
        <w:rPr>
          <w:rFonts w:ascii="Times New Roman" w:hAnsi="Times New Roman"/>
          <w:bCs/>
          <w:lang w:val="sq-AL"/>
        </w:rPr>
        <w:t>tyre pronave, duke paguar q</w:t>
      </w:r>
      <w:r w:rsidR="00687251" w:rsidRPr="009567B0">
        <w:rPr>
          <w:rFonts w:ascii="Times New Roman" w:hAnsi="Times New Roman"/>
          <w:bCs/>
          <w:lang w:val="sq-AL"/>
        </w:rPr>
        <w:t>ë</w:t>
      </w:r>
      <w:r w:rsidR="0094638F" w:rsidRPr="009567B0">
        <w:rPr>
          <w:rFonts w:ascii="Times New Roman" w:hAnsi="Times New Roman"/>
          <w:bCs/>
          <w:lang w:val="sq-AL"/>
        </w:rPr>
        <w:t xml:space="preserve"> prej asokohe edhe </w:t>
      </w:r>
      <w:r w:rsidR="00687251" w:rsidRPr="009567B0">
        <w:rPr>
          <w:rFonts w:ascii="Times New Roman" w:hAnsi="Times New Roman"/>
          <w:bCs/>
          <w:lang w:val="sq-AL"/>
        </w:rPr>
        <w:t>ç</w:t>
      </w:r>
      <w:r w:rsidR="0094638F" w:rsidRPr="009567B0">
        <w:rPr>
          <w:rFonts w:ascii="Times New Roman" w:hAnsi="Times New Roman"/>
          <w:bCs/>
          <w:lang w:val="sq-AL"/>
        </w:rPr>
        <w:t>mimin total t</w:t>
      </w:r>
      <w:r w:rsidR="00687251" w:rsidRPr="009567B0">
        <w:rPr>
          <w:rFonts w:ascii="Times New Roman" w:hAnsi="Times New Roman"/>
          <w:bCs/>
          <w:lang w:val="sq-AL"/>
        </w:rPr>
        <w:t>ë</w:t>
      </w:r>
      <w:r w:rsidR="0094638F" w:rsidRPr="009567B0">
        <w:rPr>
          <w:rFonts w:ascii="Times New Roman" w:hAnsi="Times New Roman"/>
          <w:bCs/>
          <w:lang w:val="sq-AL"/>
        </w:rPr>
        <w:t xml:space="preserve"> truallit t</w:t>
      </w:r>
      <w:r w:rsidR="00687251" w:rsidRPr="009567B0">
        <w:rPr>
          <w:rFonts w:ascii="Times New Roman" w:hAnsi="Times New Roman"/>
          <w:bCs/>
          <w:lang w:val="sq-AL"/>
        </w:rPr>
        <w:t>ë</w:t>
      </w:r>
      <w:r w:rsidR="0094638F" w:rsidRPr="009567B0">
        <w:rPr>
          <w:rFonts w:ascii="Times New Roman" w:hAnsi="Times New Roman"/>
          <w:bCs/>
          <w:lang w:val="sq-AL"/>
        </w:rPr>
        <w:t xml:space="preserve"> bler</w:t>
      </w:r>
      <w:r w:rsidR="00687251" w:rsidRPr="009567B0">
        <w:rPr>
          <w:rFonts w:ascii="Times New Roman" w:hAnsi="Times New Roman"/>
          <w:bCs/>
          <w:lang w:val="sq-AL"/>
        </w:rPr>
        <w:t>ë</w:t>
      </w:r>
      <w:r w:rsidR="0094638F" w:rsidRPr="009567B0">
        <w:rPr>
          <w:rFonts w:ascii="Times New Roman" w:hAnsi="Times New Roman"/>
          <w:bCs/>
          <w:lang w:val="sq-AL"/>
        </w:rPr>
        <w:t>. P</w:t>
      </w:r>
      <w:r w:rsidR="00687251" w:rsidRPr="009567B0">
        <w:rPr>
          <w:rFonts w:ascii="Times New Roman" w:hAnsi="Times New Roman"/>
          <w:bCs/>
          <w:lang w:val="sq-AL"/>
        </w:rPr>
        <w:t>ë</w:t>
      </w:r>
      <w:r w:rsidR="0094638F" w:rsidRPr="009567B0">
        <w:rPr>
          <w:rFonts w:ascii="Times New Roman" w:hAnsi="Times New Roman"/>
          <w:bCs/>
          <w:lang w:val="sq-AL"/>
        </w:rPr>
        <w:t>r k</w:t>
      </w:r>
      <w:r w:rsidR="00687251" w:rsidRPr="009567B0">
        <w:rPr>
          <w:rFonts w:ascii="Times New Roman" w:hAnsi="Times New Roman"/>
          <w:bCs/>
          <w:lang w:val="sq-AL"/>
        </w:rPr>
        <w:t>ë</w:t>
      </w:r>
      <w:r w:rsidR="0094638F" w:rsidRPr="009567B0">
        <w:rPr>
          <w:rFonts w:ascii="Times New Roman" w:hAnsi="Times New Roman"/>
          <w:bCs/>
          <w:lang w:val="sq-AL"/>
        </w:rPr>
        <w:t>t</w:t>
      </w:r>
      <w:r w:rsidR="00687251" w:rsidRPr="009567B0">
        <w:rPr>
          <w:rFonts w:ascii="Times New Roman" w:hAnsi="Times New Roman"/>
          <w:bCs/>
          <w:lang w:val="sq-AL"/>
        </w:rPr>
        <w:t>ë</w:t>
      </w:r>
      <w:r w:rsidR="0094638F" w:rsidRPr="009567B0">
        <w:rPr>
          <w:rFonts w:ascii="Times New Roman" w:hAnsi="Times New Roman"/>
          <w:bCs/>
          <w:lang w:val="sq-AL"/>
        </w:rPr>
        <w:t xml:space="preserve"> ka dor</w:t>
      </w:r>
      <w:r w:rsidR="00687251" w:rsidRPr="009567B0">
        <w:rPr>
          <w:rFonts w:ascii="Times New Roman" w:hAnsi="Times New Roman"/>
          <w:bCs/>
          <w:lang w:val="sq-AL"/>
        </w:rPr>
        <w:t>ë</w:t>
      </w:r>
      <w:r w:rsidR="0094638F" w:rsidRPr="009567B0">
        <w:rPr>
          <w:rFonts w:ascii="Times New Roman" w:hAnsi="Times New Roman"/>
          <w:bCs/>
          <w:lang w:val="sq-AL"/>
        </w:rPr>
        <w:t>zuar edhe deklaratat noteriale. Siç rezulton, nga tërësia e këtyre dekl</w:t>
      </w:r>
      <w:r w:rsidR="00DC256D" w:rsidRPr="009567B0">
        <w:rPr>
          <w:rFonts w:ascii="Times New Roman" w:hAnsi="Times New Roman"/>
          <w:bCs/>
          <w:lang w:val="sq-AL"/>
        </w:rPr>
        <w:t>a</w:t>
      </w:r>
      <w:r w:rsidR="0094638F" w:rsidRPr="009567B0">
        <w:rPr>
          <w:rFonts w:ascii="Times New Roman" w:hAnsi="Times New Roman"/>
          <w:bCs/>
          <w:lang w:val="sq-AL"/>
        </w:rPr>
        <w:t>ratave noteriale, bashkëpronarët e pasuris</w:t>
      </w:r>
      <w:r w:rsidR="00DC256D" w:rsidRPr="009567B0">
        <w:rPr>
          <w:rFonts w:ascii="Times New Roman" w:hAnsi="Times New Roman"/>
          <w:bCs/>
          <w:lang w:val="sq-AL"/>
        </w:rPr>
        <w:t>ë</w:t>
      </w:r>
      <w:r w:rsidR="0094638F" w:rsidRPr="009567B0">
        <w:rPr>
          <w:rFonts w:ascii="Times New Roman" w:hAnsi="Times New Roman"/>
          <w:bCs/>
          <w:lang w:val="sq-AL"/>
        </w:rPr>
        <w:t xml:space="preserve"> së paluajtshme nr. nr. 287/12, Zona Kadastrale 2592, me sipërfaqe 930 m</w:t>
      </w:r>
      <w:r w:rsidR="0094638F" w:rsidRPr="009567B0">
        <w:rPr>
          <w:rFonts w:ascii="Times New Roman" w:hAnsi="Times New Roman"/>
          <w:bCs/>
          <w:vertAlign w:val="superscript"/>
          <w:lang w:val="sq-AL"/>
        </w:rPr>
        <w:t>2</w:t>
      </w:r>
      <w:r w:rsidR="0094638F" w:rsidRPr="009567B0">
        <w:rPr>
          <w:rFonts w:ascii="Times New Roman" w:hAnsi="Times New Roman"/>
          <w:bCs/>
          <w:lang w:val="sq-AL"/>
        </w:rPr>
        <w:t>, i kanë njohur paditësit Musa Manjani pronësinë mbi këtë pasuri.</w:t>
      </w:r>
      <w:r w:rsidR="00687251" w:rsidRPr="009567B0">
        <w:rPr>
          <w:rFonts w:ascii="Times New Roman" w:hAnsi="Times New Roman"/>
          <w:bCs/>
          <w:lang w:val="sq-AL"/>
        </w:rPr>
        <w:t xml:space="preserve"> </w:t>
      </w:r>
      <w:r w:rsidR="0094638F" w:rsidRPr="009567B0">
        <w:rPr>
          <w:rFonts w:ascii="Times New Roman" w:hAnsi="Times New Roman"/>
          <w:bCs/>
          <w:lang w:val="sq-AL"/>
        </w:rPr>
        <w:t>Pran</w:t>
      </w:r>
      <w:r w:rsidR="00687251" w:rsidRPr="009567B0">
        <w:rPr>
          <w:rFonts w:ascii="Times New Roman" w:hAnsi="Times New Roman"/>
          <w:bCs/>
          <w:lang w:val="sq-AL"/>
        </w:rPr>
        <w:t>ë</w:t>
      </w:r>
      <w:r w:rsidR="0094638F" w:rsidRPr="009567B0">
        <w:rPr>
          <w:rFonts w:ascii="Times New Roman" w:hAnsi="Times New Roman"/>
          <w:bCs/>
          <w:lang w:val="sq-AL"/>
        </w:rPr>
        <w:t xml:space="preserve"> Gjykat</w:t>
      </w:r>
      <w:r w:rsidR="00687251" w:rsidRPr="009567B0">
        <w:rPr>
          <w:rFonts w:ascii="Times New Roman" w:hAnsi="Times New Roman"/>
          <w:bCs/>
          <w:lang w:val="sq-AL"/>
        </w:rPr>
        <w:t>ë</w:t>
      </w:r>
      <w:r w:rsidR="0094638F" w:rsidRPr="009567B0">
        <w:rPr>
          <w:rFonts w:ascii="Times New Roman" w:hAnsi="Times New Roman"/>
          <w:bCs/>
          <w:lang w:val="sq-AL"/>
        </w:rPr>
        <w:t>s s</w:t>
      </w:r>
      <w:r w:rsidR="00687251" w:rsidRPr="009567B0">
        <w:rPr>
          <w:rFonts w:ascii="Times New Roman" w:hAnsi="Times New Roman"/>
          <w:bCs/>
          <w:lang w:val="sq-AL"/>
        </w:rPr>
        <w:t>ë</w:t>
      </w:r>
      <w:r w:rsidR="0094638F" w:rsidRPr="009567B0">
        <w:rPr>
          <w:rFonts w:ascii="Times New Roman" w:hAnsi="Times New Roman"/>
          <w:bCs/>
          <w:lang w:val="sq-AL"/>
        </w:rPr>
        <w:t xml:space="preserve"> Lart</w:t>
      </w:r>
      <w:r w:rsidR="00687251" w:rsidRPr="009567B0">
        <w:rPr>
          <w:rFonts w:ascii="Times New Roman" w:hAnsi="Times New Roman"/>
          <w:bCs/>
          <w:lang w:val="sq-AL"/>
        </w:rPr>
        <w:t>ë</w:t>
      </w:r>
      <w:r w:rsidR="0094638F" w:rsidRPr="009567B0">
        <w:rPr>
          <w:rFonts w:ascii="Times New Roman" w:hAnsi="Times New Roman"/>
          <w:bCs/>
          <w:lang w:val="sq-AL"/>
        </w:rPr>
        <w:t xml:space="preserve"> jan</w:t>
      </w:r>
      <w:r w:rsidR="00687251" w:rsidRPr="009567B0">
        <w:rPr>
          <w:rFonts w:ascii="Times New Roman" w:hAnsi="Times New Roman"/>
          <w:bCs/>
          <w:lang w:val="sq-AL"/>
        </w:rPr>
        <w:t>ë</w:t>
      </w:r>
      <w:r w:rsidR="0094638F" w:rsidRPr="009567B0">
        <w:rPr>
          <w:rFonts w:ascii="Times New Roman" w:hAnsi="Times New Roman"/>
          <w:bCs/>
          <w:lang w:val="sq-AL"/>
        </w:rPr>
        <w:t xml:space="preserve"> depozituar edhe certifikat</w:t>
      </w:r>
      <w:r w:rsidR="00687251" w:rsidRPr="009567B0">
        <w:rPr>
          <w:rFonts w:ascii="Times New Roman" w:hAnsi="Times New Roman"/>
          <w:bCs/>
          <w:lang w:val="sq-AL"/>
        </w:rPr>
        <w:t>ë</w:t>
      </w:r>
      <w:r w:rsidR="0094638F" w:rsidRPr="009567B0">
        <w:rPr>
          <w:rFonts w:ascii="Times New Roman" w:hAnsi="Times New Roman"/>
          <w:bCs/>
          <w:lang w:val="sq-AL"/>
        </w:rPr>
        <w:t xml:space="preserve"> p</w:t>
      </w:r>
      <w:r w:rsidR="00687251" w:rsidRPr="009567B0">
        <w:rPr>
          <w:rFonts w:ascii="Times New Roman" w:hAnsi="Times New Roman"/>
          <w:bCs/>
          <w:lang w:val="sq-AL"/>
        </w:rPr>
        <w:t>ë</w:t>
      </w:r>
      <w:r w:rsidR="0094638F" w:rsidRPr="009567B0">
        <w:rPr>
          <w:rFonts w:ascii="Times New Roman" w:hAnsi="Times New Roman"/>
          <w:bCs/>
          <w:lang w:val="sq-AL"/>
        </w:rPr>
        <w:t>r v</w:t>
      </w:r>
      <w:r w:rsidR="00DC256D" w:rsidRPr="009567B0">
        <w:rPr>
          <w:rFonts w:ascii="Times New Roman" w:hAnsi="Times New Roman"/>
          <w:bCs/>
          <w:lang w:val="sq-AL"/>
        </w:rPr>
        <w:t>ë</w:t>
      </w:r>
      <w:r w:rsidR="0094638F" w:rsidRPr="009567B0">
        <w:rPr>
          <w:rFonts w:ascii="Times New Roman" w:hAnsi="Times New Roman"/>
          <w:bCs/>
          <w:lang w:val="sq-AL"/>
        </w:rPr>
        <w:t>rtetim pron</w:t>
      </w:r>
      <w:r w:rsidR="00687251" w:rsidRPr="009567B0">
        <w:rPr>
          <w:rFonts w:ascii="Times New Roman" w:hAnsi="Times New Roman"/>
          <w:bCs/>
          <w:lang w:val="sq-AL"/>
        </w:rPr>
        <w:t>ë</w:t>
      </w:r>
      <w:r w:rsidR="0094638F" w:rsidRPr="009567B0">
        <w:rPr>
          <w:rFonts w:ascii="Times New Roman" w:hAnsi="Times New Roman"/>
          <w:bCs/>
          <w:lang w:val="sq-AL"/>
        </w:rPr>
        <w:t>sie nr. 287/12 dhe nr. 284/5, Zona Kadastrale 2592, t</w:t>
      </w:r>
      <w:r w:rsidR="00687251" w:rsidRPr="009567B0">
        <w:rPr>
          <w:rFonts w:ascii="Times New Roman" w:hAnsi="Times New Roman"/>
          <w:bCs/>
          <w:lang w:val="sq-AL"/>
        </w:rPr>
        <w:t>ë</w:t>
      </w:r>
      <w:r w:rsidR="0094638F" w:rsidRPr="009567B0">
        <w:rPr>
          <w:rFonts w:ascii="Times New Roman" w:hAnsi="Times New Roman"/>
          <w:bCs/>
          <w:lang w:val="sq-AL"/>
        </w:rPr>
        <w:t xml:space="preserve"> cilat jan</w:t>
      </w:r>
      <w:r w:rsidR="00687251" w:rsidRPr="009567B0">
        <w:rPr>
          <w:rFonts w:ascii="Times New Roman" w:hAnsi="Times New Roman"/>
          <w:bCs/>
          <w:lang w:val="sq-AL"/>
        </w:rPr>
        <w:t>ë</w:t>
      </w:r>
      <w:r w:rsidR="0094638F" w:rsidRPr="009567B0">
        <w:rPr>
          <w:rFonts w:ascii="Times New Roman" w:hAnsi="Times New Roman"/>
          <w:bCs/>
          <w:lang w:val="sq-AL"/>
        </w:rPr>
        <w:t xml:space="preserve"> akte t</w:t>
      </w:r>
      <w:r w:rsidR="00687251" w:rsidRPr="009567B0">
        <w:rPr>
          <w:rFonts w:ascii="Times New Roman" w:hAnsi="Times New Roman"/>
          <w:bCs/>
          <w:lang w:val="sq-AL"/>
        </w:rPr>
        <w:t>ë</w:t>
      </w:r>
      <w:r w:rsidR="0094638F" w:rsidRPr="009567B0">
        <w:rPr>
          <w:rFonts w:ascii="Times New Roman" w:hAnsi="Times New Roman"/>
          <w:bCs/>
          <w:lang w:val="sq-AL"/>
        </w:rPr>
        <w:t xml:space="preserve"> l</w:t>
      </w:r>
      <w:r w:rsidR="00687251" w:rsidRPr="009567B0">
        <w:rPr>
          <w:rFonts w:ascii="Times New Roman" w:hAnsi="Times New Roman"/>
          <w:bCs/>
          <w:lang w:val="sq-AL"/>
        </w:rPr>
        <w:t>ë</w:t>
      </w:r>
      <w:r w:rsidR="0094638F" w:rsidRPr="009567B0">
        <w:rPr>
          <w:rFonts w:ascii="Times New Roman" w:hAnsi="Times New Roman"/>
          <w:bCs/>
          <w:lang w:val="sq-AL"/>
        </w:rPr>
        <w:t>shuara pas vendimit t</w:t>
      </w:r>
      <w:r w:rsidR="00687251" w:rsidRPr="009567B0">
        <w:rPr>
          <w:rFonts w:ascii="Times New Roman" w:hAnsi="Times New Roman"/>
          <w:bCs/>
          <w:lang w:val="sq-AL"/>
        </w:rPr>
        <w:t>ë</w:t>
      </w:r>
      <w:r w:rsidR="0094638F" w:rsidRPr="009567B0">
        <w:rPr>
          <w:rFonts w:ascii="Times New Roman" w:hAnsi="Times New Roman"/>
          <w:bCs/>
          <w:lang w:val="sq-AL"/>
        </w:rPr>
        <w:t xml:space="preserve"> </w:t>
      </w:r>
      <w:r w:rsidR="00687251" w:rsidRPr="009567B0">
        <w:rPr>
          <w:rFonts w:ascii="Times New Roman" w:hAnsi="Times New Roman"/>
          <w:bCs/>
          <w:lang w:val="sq-AL"/>
        </w:rPr>
        <w:t>çë</w:t>
      </w:r>
      <w:r w:rsidR="0094638F" w:rsidRPr="009567B0">
        <w:rPr>
          <w:rFonts w:ascii="Times New Roman" w:hAnsi="Times New Roman"/>
          <w:bCs/>
          <w:lang w:val="sq-AL"/>
        </w:rPr>
        <w:t>shtjes n</w:t>
      </w:r>
      <w:r w:rsidR="00687251" w:rsidRPr="009567B0">
        <w:rPr>
          <w:rFonts w:ascii="Times New Roman" w:hAnsi="Times New Roman"/>
          <w:bCs/>
          <w:lang w:val="sq-AL"/>
        </w:rPr>
        <w:t>ë</w:t>
      </w:r>
      <w:r w:rsidR="0094638F" w:rsidRPr="009567B0">
        <w:rPr>
          <w:rFonts w:ascii="Times New Roman" w:hAnsi="Times New Roman"/>
          <w:bCs/>
          <w:lang w:val="sq-AL"/>
        </w:rPr>
        <w:t xml:space="preserve"> Gjykat</w:t>
      </w:r>
      <w:r w:rsidR="00687251" w:rsidRPr="009567B0">
        <w:rPr>
          <w:rFonts w:ascii="Times New Roman" w:hAnsi="Times New Roman"/>
          <w:bCs/>
          <w:lang w:val="sq-AL"/>
        </w:rPr>
        <w:t>ë</w:t>
      </w:r>
      <w:r w:rsidR="0094638F" w:rsidRPr="009567B0">
        <w:rPr>
          <w:rFonts w:ascii="Times New Roman" w:hAnsi="Times New Roman"/>
          <w:bCs/>
          <w:lang w:val="sq-AL"/>
        </w:rPr>
        <w:t>n e Apelit. K</w:t>
      </w:r>
      <w:r w:rsidR="00687251" w:rsidRPr="009567B0">
        <w:rPr>
          <w:rFonts w:ascii="Times New Roman" w:hAnsi="Times New Roman"/>
          <w:bCs/>
          <w:lang w:val="sq-AL"/>
        </w:rPr>
        <w:t>ë</w:t>
      </w:r>
      <w:r w:rsidR="0094638F" w:rsidRPr="009567B0">
        <w:rPr>
          <w:rFonts w:ascii="Times New Roman" w:hAnsi="Times New Roman"/>
          <w:bCs/>
          <w:lang w:val="sq-AL"/>
        </w:rPr>
        <w:t>to dokumente v</w:t>
      </w:r>
      <w:r w:rsidR="00687251" w:rsidRPr="009567B0">
        <w:rPr>
          <w:rFonts w:ascii="Times New Roman" w:hAnsi="Times New Roman"/>
          <w:bCs/>
          <w:lang w:val="sq-AL"/>
        </w:rPr>
        <w:t>ë</w:t>
      </w:r>
      <w:r w:rsidR="0094638F" w:rsidRPr="009567B0">
        <w:rPr>
          <w:rFonts w:ascii="Times New Roman" w:hAnsi="Times New Roman"/>
          <w:bCs/>
          <w:lang w:val="sq-AL"/>
        </w:rPr>
        <w:t>rtetojn</w:t>
      </w:r>
      <w:r w:rsidR="00687251" w:rsidRPr="009567B0">
        <w:rPr>
          <w:rFonts w:ascii="Times New Roman" w:hAnsi="Times New Roman"/>
          <w:bCs/>
          <w:lang w:val="sq-AL"/>
        </w:rPr>
        <w:t>ë</w:t>
      </w:r>
      <w:r w:rsidR="0094638F" w:rsidRPr="009567B0">
        <w:rPr>
          <w:rFonts w:ascii="Times New Roman" w:hAnsi="Times New Roman"/>
          <w:bCs/>
          <w:lang w:val="sq-AL"/>
        </w:rPr>
        <w:t xml:space="preserve"> se, ai Musa Manjani p</w:t>
      </w:r>
      <w:r w:rsidR="00687251" w:rsidRPr="009567B0">
        <w:rPr>
          <w:rFonts w:ascii="Times New Roman" w:hAnsi="Times New Roman"/>
          <w:bCs/>
          <w:lang w:val="sq-AL"/>
        </w:rPr>
        <w:t>ë</w:t>
      </w:r>
      <w:r w:rsidR="0094638F" w:rsidRPr="009567B0">
        <w:rPr>
          <w:rFonts w:ascii="Times New Roman" w:hAnsi="Times New Roman"/>
          <w:bCs/>
          <w:lang w:val="sq-AL"/>
        </w:rPr>
        <w:t>r pron</w:t>
      </w:r>
      <w:r w:rsidR="00687251" w:rsidRPr="009567B0">
        <w:rPr>
          <w:rFonts w:ascii="Times New Roman" w:hAnsi="Times New Roman"/>
          <w:bCs/>
          <w:lang w:val="sq-AL"/>
        </w:rPr>
        <w:t>ë</w:t>
      </w:r>
      <w:r w:rsidR="0094638F" w:rsidRPr="009567B0">
        <w:rPr>
          <w:rFonts w:ascii="Times New Roman" w:hAnsi="Times New Roman"/>
          <w:bCs/>
          <w:lang w:val="sq-AL"/>
        </w:rPr>
        <w:t>n e rrethuar me mure rrethuese, dhe p</w:t>
      </w:r>
      <w:r w:rsidR="00687251" w:rsidRPr="009567B0">
        <w:rPr>
          <w:rFonts w:ascii="Times New Roman" w:hAnsi="Times New Roman"/>
          <w:bCs/>
          <w:lang w:val="sq-AL"/>
        </w:rPr>
        <w:t>ë</w:t>
      </w:r>
      <w:r w:rsidR="0094638F" w:rsidRPr="009567B0">
        <w:rPr>
          <w:rFonts w:ascii="Times New Roman" w:hAnsi="Times New Roman"/>
          <w:bCs/>
          <w:lang w:val="sq-AL"/>
        </w:rPr>
        <w:t>r t</w:t>
      </w:r>
      <w:r w:rsidR="00687251" w:rsidRPr="009567B0">
        <w:rPr>
          <w:rFonts w:ascii="Times New Roman" w:hAnsi="Times New Roman"/>
          <w:bCs/>
          <w:lang w:val="sq-AL"/>
        </w:rPr>
        <w:t>ë</w:t>
      </w:r>
      <w:r w:rsidR="0094638F" w:rsidRPr="009567B0">
        <w:rPr>
          <w:rFonts w:ascii="Times New Roman" w:hAnsi="Times New Roman"/>
          <w:bCs/>
          <w:lang w:val="sq-AL"/>
        </w:rPr>
        <w:t xml:space="preserve"> cilat kishte lidhur m</w:t>
      </w:r>
      <w:r w:rsidR="00687251" w:rsidRPr="009567B0">
        <w:rPr>
          <w:rFonts w:ascii="Times New Roman" w:hAnsi="Times New Roman"/>
          <w:bCs/>
          <w:lang w:val="sq-AL"/>
        </w:rPr>
        <w:t>ë</w:t>
      </w:r>
      <w:r w:rsidR="0094638F" w:rsidRPr="009567B0">
        <w:rPr>
          <w:rFonts w:ascii="Times New Roman" w:hAnsi="Times New Roman"/>
          <w:bCs/>
          <w:lang w:val="sq-AL"/>
        </w:rPr>
        <w:t xml:space="preserve"> par</w:t>
      </w:r>
      <w:r w:rsidR="00687251" w:rsidRPr="009567B0">
        <w:rPr>
          <w:rFonts w:ascii="Times New Roman" w:hAnsi="Times New Roman"/>
          <w:bCs/>
          <w:lang w:val="sq-AL"/>
        </w:rPr>
        <w:t>ë</w:t>
      </w:r>
      <w:r w:rsidR="0094638F" w:rsidRPr="009567B0">
        <w:rPr>
          <w:rFonts w:ascii="Times New Roman" w:hAnsi="Times New Roman"/>
          <w:bCs/>
          <w:lang w:val="sq-AL"/>
        </w:rPr>
        <w:t xml:space="preserve"> me pronar</w:t>
      </w:r>
      <w:r w:rsidR="00687251" w:rsidRPr="009567B0">
        <w:rPr>
          <w:rFonts w:ascii="Times New Roman" w:hAnsi="Times New Roman"/>
          <w:bCs/>
          <w:lang w:val="sq-AL"/>
        </w:rPr>
        <w:t>ë</w:t>
      </w:r>
      <w:r w:rsidR="0094638F" w:rsidRPr="009567B0">
        <w:rPr>
          <w:rFonts w:ascii="Times New Roman" w:hAnsi="Times New Roman"/>
          <w:bCs/>
          <w:lang w:val="sq-AL"/>
        </w:rPr>
        <w:t>t e truallit akte noteriale dhe me shkrim dore p</w:t>
      </w:r>
      <w:r w:rsidR="00687251" w:rsidRPr="009567B0">
        <w:rPr>
          <w:rFonts w:ascii="Times New Roman" w:hAnsi="Times New Roman"/>
          <w:bCs/>
          <w:lang w:val="sq-AL"/>
        </w:rPr>
        <w:t>ë</w:t>
      </w:r>
      <w:r w:rsidR="0094638F" w:rsidRPr="009567B0">
        <w:rPr>
          <w:rFonts w:ascii="Times New Roman" w:hAnsi="Times New Roman"/>
          <w:bCs/>
          <w:lang w:val="sq-AL"/>
        </w:rPr>
        <w:t>r blerjen e saj, tashm</w:t>
      </w:r>
      <w:r w:rsidR="00687251" w:rsidRPr="009567B0">
        <w:rPr>
          <w:rFonts w:ascii="Times New Roman" w:hAnsi="Times New Roman"/>
          <w:bCs/>
          <w:lang w:val="sq-AL"/>
        </w:rPr>
        <w:t>ë</w:t>
      </w:r>
      <w:r w:rsidR="0094638F" w:rsidRPr="009567B0">
        <w:rPr>
          <w:rFonts w:ascii="Times New Roman" w:hAnsi="Times New Roman"/>
          <w:bCs/>
          <w:lang w:val="sq-AL"/>
        </w:rPr>
        <w:t xml:space="preserve"> </w:t>
      </w:r>
      <w:r w:rsidR="00687251" w:rsidRPr="009567B0">
        <w:rPr>
          <w:rFonts w:ascii="Times New Roman" w:hAnsi="Times New Roman"/>
          <w:bCs/>
          <w:lang w:val="sq-AL"/>
        </w:rPr>
        <w:t>është</w:t>
      </w:r>
      <w:r w:rsidR="0094638F" w:rsidRPr="009567B0">
        <w:rPr>
          <w:rFonts w:ascii="Times New Roman" w:hAnsi="Times New Roman"/>
          <w:bCs/>
          <w:lang w:val="sq-AL"/>
        </w:rPr>
        <w:t xml:space="preserve"> b</w:t>
      </w:r>
      <w:r w:rsidR="00687251" w:rsidRPr="009567B0">
        <w:rPr>
          <w:rFonts w:ascii="Times New Roman" w:hAnsi="Times New Roman"/>
          <w:bCs/>
          <w:lang w:val="sq-AL"/>
        </w:rPr>
        <w:t>ë</w:t>
      </w:r>
      <w:r w:rsidR="0094638F" w:rsidRPr="009567B0">
        <w:rPr>
          <w:rFonts w:ascii="Times New Roman" w:hAnsi="Times New Roman"/>
          <w:bCs/>
          <w:lang w:val="sq-AL"/>
        </w:rPr>
        <w:t>r</w:t>
      </w:r>
      <w:r w:rsidR="00687251" w:rsidRPr="009567B0">
        <w:rPr>
          <w:rFonts w:ascii="Times New Roman" w:hAnsi="Times New Roman"/>
          <w:bCs/>
          <w:lang w:val="sq-AL"/>
        </w:rPr>
        <w:t>ë</w:t>
      </w:r>
      <w:r w:rsidR="0094638F" w:rsidRPr="009567B0">
        <w:rPr>
          <w:rFonts w:ascii="Times New Roman" w:hAnsi="Times New Roman"/>
          <w:bCs/>
          <w:lang w:val="sq-AL"/>
        </w:rPr>
        <w:t xml:space="preserve"> pronar dhe</w:t>
      </w:r>
      <w:r w:rsidR="00687251" w:rsidRPr="009567B0">
        <w:rPr>
          <w:rFonts w:ascii="Times New Roman" w:hAnsi="Times New Roman"/>
          <w:bCs/>
          <w:lang w:val="sq-AL"/>
        </w:rPr>
        <w:t xml:space="preserve"> është</w:t>
      </w:r>
      <w:r w:rsidR="0094638F" w:rsidRPr="009567B0">
        <w:rPr>
          <w:rFonts w:ascii="Times New Roman" w:hAnsi="Times New Roman"/>
          <w:bCs/>
          <w:lang w:val="sq-AL"/>
        </w:rPr>
        <w:t xml:space="preserve"> pajisur me dokument pron</w:t>
      </w:r>
      <w:r w:rsidR="00687251" w:rsidRPr="009567B0">
        <w:rPr>
          <w:rFonts w:ascii="Times New Roman" w:hAnsi="Times New Roman"/>
          <w:bCs/>
          <w:lang w:val="sq-AL"/>
        </w:rPr>
        <w:t>ë</w:t>
      </w:r>
      <w:r w:rsidR="0094638F" w:rsidRPr="009567B0">
        <w:rPr>
          <w:rFonts w:ascii="Times New Roman" w:hAnsi="Times New Roman"/>
          <w:bCs/>
          <w:lang w:val="sq-AL"/>
        </w:rPr>
        <w:t>sor.</w:t>
      </w:r>
      <w:r w:rsidR="00687251" w:rsidRPr="009567B0">
        <w:rPr>
          <w:rFonts w:ascii="Times New Roman" w:hAnsi="Times New Roman"/>
          <w:bCs/>
          <w:lang w:val="sq-AL"/>
        </w:rPr>
        <w:t xml:space="preserve"> Kjo</w:t>
      </w:r>
      <w:r w:rsidR="0094638F" w:rsidRPr="009567B0">
        <w:rPr>
          <w:rFonts w:ascii="Times New Roman" w:hAnsi="Times New Roman"/>
          <w:bCs/>
          <w:lang w:val="sq-AL"/>
        </w:rPr>
        <w:t xml:space="preserve"> tregon se, muret rrethuese at</w:t>
      </w:r>
      <w:r w:rsidR="00687251" w:rsidRPr="009567B0">
        <w:rPr>
          <w:rFonts w:ascii="Times New Roman" w:hAnsi="Times New Roman"/>
          <w:bCs/>
          <w:lang w:val="sq-AL"/>
        </w:rPr>
        <w:t>ë</w:t>
      </w:r>
      <w:r w:rsidR="0094638F" w:rsidRPr="009567B0">
        <w:rPr>
          <w:rFonts w:ascii="Times New Roman" w:hAnsi="Times New Roman"/>
          <w:bCs/>
          <w:lang w:val="sq-AL"/>
        </w:rPr>
        <w:t>her</w:t>
      </w:r>
      <w:r w:rsidR="00687251" w:rsidRPr="009567B0">
        <w:rPr>
          <w:rFonts w:ascii="Times New Roman" w:hAnsi="Times New Roman"/>
          <w:bCs/>
          <w:lang w:val="sq-AL"/>
        </w:rPr>
        <w:t>ë</w:t>
      </w:r>
      <w:r w:rsidR="0094638F" w:rsidRPr="009567B0">
        <w:rPr>
          <w:rFonts w:ascii="Times New Roman" w:hAnsi="Times New Roman"/>
          <w:bCs/>
          <w:lang w:val="sq-AL"/>
        </w:rPr>
        <w:t xml:space="preserve"> sikurse edhe tani, v</w:t>
      </w:r>
      <w:r w:rsidR="00687251" w:rsidRPr="009567B0">
        <w:rPr>
          <w:rFonts w:ascii="Times New Roman" w:hAnsi="Times New Roman"/>
          <w:bCs/>
          <w:lang w:val="sq-AL"/>
        </w:rPr>
        <w:t>ë</w:t>
      </w:r>
      <w:r w:rsidR="0094638F" w:rsidRPr="009567B0">
        <w:rPr>
          <w:rFonts w:ascii="Times New Roman" w:hAnsi="Times New Roman"/>
          <w:bCs/>
          <w:lang w:val="sq-AL"/>
        </w:rPr>
        <w:t>rtetohet se jan</w:t>
      </w:r>
      <w:r w:rsidR="00687251" w:rsidRPr="009567B0">
        <w:rPr>
          <w:rFonts w:ascii="Times New Roman" w:hAnsi="Times New Roman"/>
          <w:bCs/>
          <w:lang w:val="sq-AL"/>
        </w:rPr>
        <w:t>ë</w:t>
      </w:r>
      <w:r w:rsidR="0094638F" w:rsidRPr="009567B0">
        <w:rPr>
          <w:rFonts w:ascii="Times New Roman" w:hAnsi="Times New Roman"/>
          <w:bCs/>
          <w:lang w:val="sq-AL"/>
        </w:rPr>
        <w:t xml:space="preserve"> ngritur n</w:t>
      </w:r>
      <w:r w:rsidR="00687251" w:rsidRPr="009567B0">
        <w:rPr>
          <w:rFonts w:ascii="Times New Roman" w:hAnsi="Times New Roman"/>
          <w:bCs/>
          <w:lang w:val="sq-AL"/>
        </w:rPr>
        <w:t>ë</w:t>
      </w:r>
      <w:r w:rsidR="0094638F" w:rsidRPr="009567B0">
        <w:rPr>
          <w:rFonts w:ascii="Times New Roman" w:hAnsi="Times New Roman"/>
          <w:bCs/>
          <w:lang w:val="sq-AL"/>
        </w:rPr>
        <w:t xml:space="preserve"> pron</w:t>
      </w:r>
      <w:r w:rsidR="00687251" w:rsidRPr="009567B0">
        <w:rPr>
          <w:rFonts w:ascii="Times New Roman" w:hAnsi="Times New Roman"/>
          <w:bCs/>
          <w:lang w:val="sq-AL"/>
        </w:rPr>
        <w:t>ë</w:t>
      </w:r>
      <w:r w:rsidR="0094638F" w:rsidRPr="009567B0">
        <w:rPr>
          <w:rFonts w:ascii="Times New Roman" w:hAnsi="Times New Roman"/>
          <w:bCs/>
          <w:lang w:val="sq-AL"/>
        </w:rPr>
        <w:t xml:space="preserve">n </w:t>
      </w:r>
      <w:r w:rsidR="00687251" w:rsidRPr="009567B0">
        <w:rPr>
          <w:rFonts w:ascii="Times New Roman" w:hAnsi="Times New Roman"/>
          <w:bCs/>
          <w:lang w:val="sq-AL"/>
        </w:rPr>
        <w:t>e tij.</w:t>
      </w:r>
      <w:r w:rsidR="0094638F" w:rsidRPr="009567B0">
        <w:rPr>
          <w:rFonts w:ascii="Times New Roman" w:hAnsi="Times New Roman"/>
          <w:bCs/>
          <w:lang w:val="sq-AL"/>
        </w:rPr>
        <w:t xml:space="preserve"> Rrjedhimisht, duke qen</w:t>
      </w:r>
      <w:r w:rsidR="00687251" w:rsidRPr="009567B0">
        <w:rPr>
          <w:rFonts w:ascii="Times New Roman" w:hAnsi="Times New Roman"/>
          <w:bCs/>
          <w:lang w:val="sq-AL"/>
        </w:rPr>
        <w:t>ë</w:t>
      </w:r>
      <w:r w:rsidR="0094638F" w:rsidRPr="009567B0">
        <w:rPr>
          <w:rFonts w:ascii="Times New Roman" w:hAnsi="Times New Roman"/>
          <w:bCs/>
          <w:lang w:val="sq-AL"/>
        </w:rPr>
        <w:t xml:space="preserve"> </w:t>
      </w:r>
      <w:r w:rsidR="00687251" w:rsidRPr="009567B0">
        <w:rPr>
          <w:rFonts w:ascii="Times New Roman" w:hAnsi="Times New Roman"/>
          <w:bCs/>
          <w:lang w:val="sq-AL"/>
        </w:rPr>
        <w:t xml:space="preserve">se </w:t>
      </w:r>
      <w:r w:rsidR="0094638F" w:rsidRPr="009567B0">
        <w:rPr>
          <w:rFonts w:ascii="Times New Roman" w:hAnsi="Times New Roman"/>
          <w:bCs/>
          <w:lang w:val="sq-AL"/>
        </w:rPr>
        <w:t>nd</w:t>
      </w:r>
      <w:r w:rsidR="00687251" w:rsidRPr="009567B0">
        <w:rPr>
          <w:rFonts w:ascii="Times New Roman" w:hAnsi="Times New Roman"/>
          <w:bCs/>
          <w:lang w:val="sq-AL"/>
        </w:rPr>
        <w:t>ë</w:t>
      </w:r>
      <w:r w:rsidR="0094638F" w:rsidRPr="009567B0">
        <w:rPr>
          <w:rFonts w:ascii="Times New Roman" w:hAnsi="Times New Roman"/>
          <w:bCs/>
          <w:lang w:val="sq-AL"/>
        </w:rPr>
        <w:t xml:space="preserve">rtimi </w:t>
      </w:r>
      <w:r w:rsidR="00687251" w:rsidRPr="009567B0">
        <w:rPr>
          <w:rFonts w:ascii="Times New Roman" w:hAnsi="Times New Roman"/>
          <w:bCs/>
          <w:lang w:val="sq-AL"/>
        </w:rPr>
        <w:t>është</w:t>
      </w:r>
      <w:r w:rsidR="0094638F" w:rsidRPr="009567B0">
        <w:rPr>
          <w:rFonts w:ascii="Times New Roman" w:hAnsi="Times New Roman"/>
          <w:bCs/>
          <w:lang w:val="sq-AL"/>
        </w:rPr>
        <w:t xml:space="preserve"> para vitit 2007, rezultuar kat</w:t>
      </w:r>
      <w:r w:rsidR="00687251" w:rsidRPr="009567B0">
        <w:rPr>
          <w:rFonts w:ascii="Times New Roman" w:hAnsi="Times New Roman"/>
          <w:bCs/>
          <w:lang w:val="sq-AL"/>
        </w:rPr>
        <w:t>ë</w:t>
      </w:r>
      <w:r w:rsidR="0094638F" w:rsidRPr="009567B0">
        <w:rPr>
          <w:rFonts w:ascii="Times New Roman" w:hAnsi="Times New Roman"/>
          <w:bCs/>
          <w:lang w:val="sq-AL"/>
        </w:rPr>
        <w:t>rc</w:t>
      </w:r>
      <w:r w:rsidR="00DC256D" w:rsidRPr="009567B0">
        <w:rPr>
          <w:rFonts w:ascii="Times New Roman" w:hAnsi="Times New Roman"/>
          <w:bCs/>
          <w:lang w:val="sq-AL"/>
        </w:rPr>
        <w:t>i</w:t>
      </w:r>
      <w:r w:rsidR="0094638F" w:rsidRPr="009567B0">
        <w:rPr>
          <w:rFonts w:ascii="Times New Roman" w:hAnsi="Times New Roman"/>
          <w:bCs/>
          <w:lang w:val="sq-AL"/>
        </w:rPr>
        <w:t>p</w:t>
      </w:r>
      <w:r w:rsidR="00687251" w:rsidRPr="009567B0">
        <w:rPr>
          <w:rFonts w:ascii="Times New Roman" w:hAnsi="Times New Roman"/>
          <w:bCs/>
          <w:lang w:val="sq-AL"/>
        </w:rPr>
        <w:t>ëri</w:t>
      </w:r>
      <w:r w:rsidR="0094638F" w:rsidRPr="009567B0">
        <w:rPr>
          <w:rFonts w:ascii="Times New Roman" w:hAnsi="Times New Roman"/>
          <w:bCs/>
          <w:lang w:val="sq-AL"/>
        </w:rPr>
        <w:t>sht ky fakt me t</w:t>
      </w:r>
      <w:r w:rsidR="00687251" w:rsidRPr="009567B0">
        <w:rPr>
          <w:rFonts w:ascii="Times New Roman" w:hAnsi="Times New Roman"/>
          <w:bCs/>
          <w:lang w:val="sq-AL"/>
        </w:rPr>
        <w:t>ë</w:t>
      </w:r>
      <w:r w:rsidR="0094638F" w:rsidRPr="009567B0">
        <w:rPr>
          <w:rFonts w:ascii="Times New Roman" w:hAnsi="Times New Roman"/>
          <w:bCs/>
          <w:lang w:val="sq-AL"/>
        </w:rPr>
        <w:t>r</w:t>
      </w:r>
      <w:r w:rsidR="00687251" w:rsidRPr="009567B0">
        <w:rPr>
          <w:rFonts w:ascii="Times New Roman" w:hAnsi="Times New Roman"/>
          <w:bCs/>
          <w:lang w:val="sq-AL"/>
        </w:rPr>
        <w:t>ë</w:t>
      </w:r>
      <w:r w:rsidR="0094638F" w:rsidRPr="009567B0">
        <w:rPr>
          <w:rFonts w:ascii="Times New Roman" w:hAnsi="Times New Roman"/>
          <w:bCs/>
          <w:lang w:val="sq-AL"/>
        </w:rPr>
        <w:t>sin</w:t>
      </w:r>
      <w:r w:rsidR="00687251" w:rsidRPr="009567B0">
        <w:rPr>
          <w:rFonts w:ascii="Times New Roman" w:hAnsi="Times New Roman"/>
          <w:bCs/>
          <w:lang w:val="sq-AL"/>
        </w:rPr>
        <w:t>ë</w:t>
      </w:r>
      <w:r w:rsidR="0094638F" w:rsidRPr="009567B0">
        <w:rPr>
          <w:rFonts w:ascii="Times New Roman" w:hAnsi="Times New Roman"/>
          <w:bCs/>
          <w:lang w:val="sq-AL"/>
        </w:rPr>
        <w:t xml:space="preserve"> e provave t</w:t>
      </w:r>
      <w:r w:rsidR="00687251" w:rsidRPr="009567B0">
        <w:rPr>
          <w:rFonts w:ascii="Times New Roman" w:hAnsi="Times New Roman"/>
          <w:bCs/>
          <w:lang w:val="sq-AL"/>
        </w:rPr>
        <w:t>ë</w:t>
      </w:r>
      <w:r w:rsidR="0094638F" w:rsidRPr="009567B0">
        <w:rPr>
          <w:rFonts w:ascii="Times New Roman" w:hAnsi="Times New Roman"/>
          <w:bCs/>
          <w:lang w:val="sq-AL"/>
        </w:rPr>
        <w:t xml:space="preserve"> treguara m</w:t>
      </w:r>
      <w:r w:rsidR="00687251" w:rsidRPr="009567B0">
        <w:rPr>
          <w:rFonts w:ascii="Times New Roman" w:hAnsi="Times New Roman"/>
          <w:bCs/>
          <w:lang w:val="sq-AL"/>
        </w:rPr>
        <w:t>ë</w:t>
      </w:r>
      <w:r w:rsidR="0094638F" w:rsidRPr="009567B0">
        <w:rPr>
          <w:rFonts w:ascii="Times New Roman" w:hAnsi="Times New Roman"/>
          <w:bCs/>
          <w:lang w:val="sq-AL"/>
        </w:rPr>
        <w:t xml:space="preserve"> lart, rrjedhimisht dhe ligj</w:t>
      </w:r>
      <w:r w:rsidR="00687251" w:rsidRPr="009567B0">
        <w:rPr>
          <w:rFonts w:ascii="Times New Roman" w:hAnsi="Times New Roman"/>
          <w:bCs/>
          <w:lang w:val="sq-AL"/>
        </w:rPr>
        <w:t>ë</w:t>
      </w:r>
      <w:r w:rsidR="0094638F" w:rsidRPr="009567B0">
        <w:rPr>
          <w:rFonts w:ascii="Times New Roman" w:hAnsi="Times New Roman"/>
          <w:bCs/>
          <w:lang w:val="sq-AL"/>
        </w:rPr>
        <w:t xml:space="preserve">risht, ndjekja penale ndaj </w:t>
      </w:r>
      <w:r w:rsidR="00687251" w:rsidRPr="009567B0">
        <w:rPr>
          <w:rFonts w:ascii="Times New Roman" w:hAnsi="Times New Roman"/>
          <w:bCs/>
          <w:lang w:val="sq-AL"/>
        </w:rPr>
        <w:t>tij</w:t>
      </w:r>
      <w:r w:rsidR="0094638F" w:rsidRPr="009567B0">
        <w:rPr>
          <w:rFonts w:ascii="Times New Roman" w:hAnsi="Times New Roman"/>
          <w:bCs/>
          <w:lang w:val="sq-AL"/>
        </w:rPr>
        <w:t xml:space="preserve"> nuk mund t</w:t>
      </w:r>
      <w:r w:rsidR="00687251" w:rsidRPr="009567B0">
        <w:rPr>
          <w:rFonts w:ascii="Times New Roman" w:hAnsi="Times New Roman"/>
          <w:bCs/>
          <w:lang w:val="sq-AL"/>
        </w:rPr>
        <w:t>ë</w:t>
      </w:r>
      <w:r w:rsidR="0094638F" w:rsidRPr="009567B0">
        <w:rPr>
          <w:rFonts w:ascii="Times New Roman" w:hAnsi="Times New Roman"/>
          <w:bCs/>
          <w:lang w:val="sq-AL"/>
        </w:rPr>
        <w:t xml:space="preserve"> vazhdohet p</w:t>
      </w:r>
      <w:r w:rsidR="00687251" w:rsidRPr="009567B0">
        <w:rPr>
          <w:rFonts w:ascii="Times New Roman" w:hAnsi="Times New Roman"/>
          <w:bCs/>
          <w:lang w:val="sq-AL"/>
        </w:rPr>
        <w:t>ë</w:t>
      </w:r>
      <w:r w:rsidR="0094638F" w:rsidRPr="009567B0">
        <w:rPr>
          <w:rFonts w:ascii="Times New Roman" w:hAnsi="Times New Roman"/>
          <w:bCs/>
          <w:lang w:val="sq-AL"/>
        </w:rPr>
        <w:t xml:space="preserve">r shkak se vepra penale e pretenduar </w:t>
      </w:r>
      <w:r w:rsidR="00687251" w:rsidRPr="009567B0">
        <w:rPr>
          <w:rFonts w:ascii="Times New Roman" w:hAnsi="Times New Roman"/>
          <w:bCs/>
          <w:lang w:val="sq-AL"/>
        </w:rPr>
        <w:t>ë</w:t>
      </w:r>
      <w:r w:rsidR="0094638F" w:rsidRPr="009567B0">
        <w:rPr>
          <w:rFonts w:ascii="Times New Roman" w:hAnsi="Times New Roman"/>
          <w:bCs/>
          <w:lang w:val="sq-AL"/>
        </w:rPr>
        <w:t>sht</w:t>
      </w:r>
      <w:r w:rsidR="00687251" w:rsidRPr="009567B0">
        <w:rPr>
          <w:rFonts w:ascii="Times New Roman" w:hAnsi="Times New Roman"/>
          <w:bCs/>
          <w:lang w:val="sq-AL"/>
        </w:rPr>
        <w:t>ë</w:t>
      </w:r>
      <w:r w:rsidR="0094638F" w:rsidRPr="009567B0">
        <w:rPr>
          <w:rFonts w:ascii="Times New Roman" w:hAnsi="Times New Roman"/>
          <w:bCs/>
          <w:lang w:val="sq-AL"/>
        </w:rPr>
        <w:t xml:space="preserve"> parashkruar, sipas nenit 66 t</w:t>
      </w:r>
      <w:r w:rsidR="00687251" w:rsidRPr="009567B0">
        <w:rPr>
          <w:rFonts w:ascii="Times New Roman" w:hAnsi="Times New Roman"/>
          <w:bCs/>
          <w:lang w:val="sq-AL"/>
        </w:rPr>
        <w:t>ë</w:t>
      </w:r>
      <w:r w:rsidR="0094638F" w:rsidRPr="009567B0">
        <w:rPr>
          <w:rFonts w:ascii="Times New Roman" w:hAnsi="Times New Roman"/>
          <w:bCs/>
          <w:lang w:val="sq-AL"/>
        </w:rPr>
        <w:t xml:space="preserve"> </w:t>
      </w:r>
      <w:r w:rsidR="00687251" w:rsidRPr="009567B0">
        <w:rPr>
          <w:rFonts w:ascii="Times New Roman" w:hAnsi="Times New Roman"/>
          <w:bCs/>
          <w:lang w:val="sq-AL"/>
        </w:rPr>
        <w:t>Kodit Penal</w:t>
      </w:r>
      <w:r w:rsidR="0094638F" w:rsidRPr="009567B0">
        <w:rPr>
          <w:rFonts w:ascii="Times New Roman" w:hAnsi="Times New Roman"/>
          <w:bCs/>
          <w:lang w:val="sq-AL"/>
        </w:rPr>
        <w:t>. Nj</w:t>
      </w:r>
      <w:r w:rsidR="00687251" w:rsidRPr="009567B0">
        <w:rPr>
          <w:rFonts w:ascii="Times New Roman" w:hAnsi="Times New Roman"/>
          <w:bCs/>
          <w:lang w:val="sq-AL"/>
        </w:rPr>
        <w:t>ë</w:t>
      </w:r>
      <w:r w:rsidR="0094638F" w:rsidRPr="009567B0">
        <w:rPr>
          <w:rFonts w:ascii="Times New Roman" w:hAnsi="Times New Roman"/>
          <w:bCs/>
          <w:lang w:val="sq-AL"/>
        </w:rPr>
        <w:t>jt</w:t>
      </w:r>
      <w:r w:rsidR="00687251" w:rsidRPr="009567B0">
        <w:rPr>
          <w:rFonts w:ascii="Times New Roman" w:hAnsi="Times New Roman"/>
          <w:bCs/>
          <w:lang w:val="sq-AL"/>
        </w:rPr>
        <w:t>ë</w:t>
      </w:r>
      <w:r w:rsidR="0094638F" w:rsidRPr="009567B0">
        <w:rPr>
          <w:rFonts w:ascii="Times New Roman" w:hAnsi="Times New Roman"/>
          <w:bCs/>
          <w:lang w:val="sq-AL"/>
        </w:rPr>
        <w:t>, kjo vep</w:t>
      </w:r>
      <w:r w:rsidR="00687251" w:rsidRPr="009567B0">
        <w:rPr>
          <w:rFonts w:ascii="Times New Roman" w:hAnsi="Times New Roman"/>
          <w:bCs/>
          <w:lang w:val="sq-AL"/>
        </w:rPr>
        <w:t>ë</w:t>
      </w:r>
      <w:r w:rsidR="0094638F" w:rsidRPr="009567B0">
        <w:rPr>
          <w:rFonts w:ascii="Times New Roman" w:hAnsi="Times New Roman"/>
          <w:bCs/>
          <w:lang w:val="sq-AL"/>
        </w:rPr>
        <w:t>r p</w:t>
      </w:r>
      <w:r w:rsidR="00687251" w:rsidRPr="009567B0">
        <w:rPr>
          <w:rFonts w:ascii="Times New Roman" w:hAnsi="Times New Roman"/>
          <w:bCs/>
          <w:lang w:val="sq-AL"/>
        </w:rPr>
        <w:t>ë</w:t>
      </w:r>
      <w:r w:rsidR="0094638F" w:rsidRPr="009567B0">
        <w:rPr>
          <w:rFonts w:ascii="Times New Roman" w:hAnsi="Times New Roman"/>
          <w:bCs/>
          <w:lang w:val="sq-AL"/>
        </w:rPr>
        <w:t xml:space="preserve">r shkak </w:t>
      </w:r>
      <w:r w:rsidR="0094638F" w:rsidRPr="009567B0">
        <w:rPr>
          <w:rFonts w:ascii="Times New Roman" w:hAnsi="Times New Roman"/>
          <w:bCs/>
          <w:lang w:val="sq-AL"/>
        </w:rPr>
        <w:lastRenderedPageBreak/>
        <w:t>t</w:t>
      </w:r>
      <w:r w:rsidR="00687251" w:rsidRPr="009567B0">
        <w:rPr>
          <w:rFonts w:ascii="Times New Roman" w:hAnsi="Times New Roman"/>
          <w:bCs/>
          <w:lang w:val="sq-AL"/>
        </w:rPr>
        <w:t>ë</w:t>
      </w:r>
      <w:r w:rsidR="0094638F" w:rsidRPr="009567B0">
        <w:rPr>
          <w:rFonts w:ascii="Times New Roman" w:hAnsi="Times New Roman"/>
          <w:bCs/>
          <w:lang w:val="sq-AL"/>
        </w:rPr>
        <w:t xml:space="preserve"> ligjit 33/2024, rezulton t</w:t>
      </w:r>
      <w:r w:rsidR="00687251" w:rsidRPr="009567B0">
        <w:rPr>
          <w:rFonts w:ascii="Times New Roman" w:hAnsi="Times New Roman"/>
          <w:bCs/>
          <w:lang w:val="sq-AL"/>
        </w:rPr>
        <w:t>ë</w:t>
      </w:r>
      <w:r w:rsidR="0094638F" w:rsidRPr="009567B0">
        <w:rPr>
          <w:rFonts w:ascii="Times New Roman" w:hAnsi="Times New Roman"/>
          <w:bCs/>
          <w:lang w:val="sq-AL"/>
        </w:rPr>
        <w:t xml:space="preserve"> jet</w:t>
      </w:r>
      <w:r w:rsidR="00687251" w:rsidRPr="009567B0">
        <w:rPr>
          <w:rFonts w:ascii="Times New Roman" w:hAnsi="Times New Roman"/>
          <w:bCs/>
          <w:lang w:val="sq-AL"/>
        </w:rPr>
        <w:t>ë</w:t>
      </w:r>
      <w:r w:rsidR="0094638F" w:rsidRPr="009567B0">
        <w:rPr>
          <w:rFonts w:ascii="Times New Roman" w:hAnsi="Times New Roman"/>
          <w:bCs/>
          <w:lang w:val="sq-AL"/>
        </w:rPr>
        <w:t xml:space="preserve"> amnistuar.</w:t>
      </w:r>
      <w:r w:rsidR="00687251" w:rsidRPr="009567B0">
        <w:rPr>
          <w:rFonts w:ascii="Times New Roman" w:hAnsi="Times New Roman"/>
          <w:bCs/>
          <w:lang w:val="sq-AL"/>
        </w:rPr>
        <w:t xml:space="preserve"> </w:t>
      </w:r>
      <w:r w:rsidR="0094638F" w:rsidRPr="009567B0">
        <w:rPr>
          <w:rFonts w:ascii="Times New Roman" w:hAnsi="Times New Roman"/>
          <w:bCs/>
          <w:lang w:val="sq-AL"/>
        </w:rPr>
        <w:t xml:space="preserve">Ndaj, vendimi objekt rekursi është një vendim i marrë në përputhje me ligjin dhe me provat. </w:t>
      </w:r>
    </w:p>
    <w:p w14:paraId="0436C028" w14:textId="77777777" w:rsidR="0094638F" w:rsidRPr="009567B0" w:rsidRDefault="0094638F" w:rsidP="00834B80">
      <w:pPr>
        <w:jc w:val="both"/>
        <w:rPr>
          <w:rFonts w:ascii="Times New Roman" w:hAnsi="Times New Roman"/>
          <w:bCs/>
        </w:rPr>
      </w:pPr>
    </w:p>
    <w:p w14:paraId="42E28F60" w14:textId="00668C95" w:rsidR="00E336F8" w:rsidRPr="009567B0" w:rsidRDefault="00E336F8" w:rsidP="00834B80">
      <w:pPr>
        <w:pStyle w:val="ListParagraph"/>
        <w:numPr>
          <w:ilvl w:val="0"/>
          <w:numId w:val="10"/>
        </w:numPr>
        <w:jc w:val="both"/>
        <w:rPr>
          <w:rFonts w:ascii="Times New Roman" w:hAnsi="Times New Roman"/>
          <w:bCs/>
          <w:lang w:val="sq-AL"/>
        </w:rPr>
      </w:pPr>
      <w:r w:rsidRPr="009567B0">
        <w:rPr>
          <w:rFonts w:ascii="Times New Roman" w:eastAsia="Calibri" w:hAnsi="Times New Roman"/>
          <w:b/>
          <w:lang w:val="sq-AL" w:bidi="ar-SA"/>
        </w:rPr>
        <w:t>Vlerësimi i Kolegjit Penal të Gjykatës së Lartë:</w:t>
      </w:r>
    </w:p>
    <w:p w14:paraId="08A32873" w14:textId="77777777" w:rsidR="00E336F8" w:rsidRPr="009567B0" w:rsidRDefault="00E336F8" w:rsidP="00834B80">
      <w:pPr>
        <w:jc w:val="both"/>
        <w:rPr>
          <w:rFonts w:ascii="Times New Roman" w:hAnsi="Times New Roman"/>
          <w:bCs/>
        </w:rPr>
      </w:pPr>
    </w:p>
    <w:p w14:paraId="76537DB2" w14:textId="62BAC18F" w:rsidR="00E336F8" w:rsidRPr="009567B0" w:rsidRDefault="00E336F8" w:rsidP="00834B80">
      <w:pPr>
        <w:pStyle w:val="ListParagraph"/>
        <w:numPr>
          <w:ilvl w:val="0"/>
          <w:numId w:val="14"/>
        </w:numPr>
        <w:tabs>
          <w:tab w:val="left" w:pos="720"/>
        </w:tabs>
        <w:ind w:left="0" w:firstLine="360"/>
        <w:jc w:val="both"/>
        <w:rPr>
          <w:rFonts w:ascii="Times New Roman" w:hAnsi="Times New Roman"/>
          <w:bCs/>
          <w:lang w:val="sq-AL"/>
        </w:rPr>
      </w:pPr>
      <w:r w:rsidRPr="009567B0">
        <w:rPr>
          <w:rFonts w:ascii="Times New Roman" w:eastAsia="MS Mincho" w:hAnsi="Times New Roman"/>
          <w:bCs/>
          <w:lang w:val="sq-AL" w:bidi="ar-SA"/>
        </w:rPr>
        <w:t xml:space="preserve">Kolegji Penal i Gjykatës së Lartë (në vijim Kolegji) vlerëson se rekursi nga </w:t>
      </w:r>
      <w:r w:rsidR="00687251" w:rsidRPr="009567B0">
        <w:rPr>
          <w:rFonts w:ascii="Times New Roman" w:eastAsia="MS Mincho" w:hAnsi="Times New Roman"/>
          <w:lang w:val="sq-AL" w:bidi="ar-SA"/>
        </w:rPr>
        <w:t>kallëzuesi Behar Xholi</w:t>
      </w:r>
      <w:r w:rsidRPr="009567B0">
        <w:rPr>
          <w:rFonts w:ascii="Times New Roman" w:eastAsia="MS Mincho" w:hAnsi="Times New Roman"/>
          <w:bCs/>
          <w:lang w:val="sq-AL" w:bidi="ar-SA"/>
        </w:rPr>
        <w:t xml:space="preserve"> është paraqitur brenda afatit ligjor</w:t>
      </w:r>
      <w:r w:rsidRPr="009567B0">
        <w:rPr>
          <w:rFonts w:ascii="Times New Roman" w:eastAsia="MS Mincho" w:hAnsi="Times New Roman"/>
          <w:lang w:val="sq-AL" w:bidi="ar-SA"/>
        </w:rPr>
        <w:t xml:space="preserve"> </w:t>
      </w:r>
      <w:r w:rsidRPr="009567B0">
        <w:rPr>
          <w:rFonts w:ascii="Times New Roman" w:eastAsia="MS Mincho" w:hAnsi="Times New Roman"/>
          <w:bCs/>
          <w:lang w:val="sq-AL" w:bidi="ar-SA"/>
        </w:rPr>
        <w:t>dhe në formën</w:t>
      </w:r>
      <w:r w:rsidRPr="009567B0">
        <w:rPr>
          <w:rFonts w:ascii="Times New Roman" w:eastAsia="MS Mincho" w:hAnsi="Times New Roman"/>
          <w:bCs/>
          <w:vertAlign w:val="superscript"/>
          <w:lang w:val="sq-AL" w:bidi="ar-SA"/>
        </w:rPr>
        <w:t xml:space="preserve"> </w:t>
      </w:r>
      <w:r w:rsidRPr="009567B0">
        <w:rPr>
          <w:rFonts w:ascii="Times New Roman" w:eastAsia="MS Mincho" w:hAnsi="Times New Roman"/>
          <w:bCs/>
          <w:lang w:val="sq-AL" w:bidi="ar-SA"/>
        </w:rPr>
        <w:t>e parashikuar në nenin 435 të Kodit të Procedurës Penale (në vijim KPP). Prokuroria dhe personi nën hetim janë njoftuar për rekursin. Për sa më sipër, rekursi plotëson kriteret formale për t’u pranuar për shqyrtim.</w:t>
      </w:r>
    </w:p>
    <w:p w14:paraId="3F09E548" w14:textId="06E38D61" w:rsidR="00E336F8" w:rsidRPr="009567B0" w:rsidRDefault="00E336F8" w:rsidP="00834B80">
      <w:pPr>
        <w:pStyle w:val="ListParagraph"/>
        <w:numPr>
          <w:ilvl w:val="0"/>
          <w:numId w:val="14"/>
        </w:numPr>
        <w:tabs>
          <w:tab w:val="left" w:pos="720"/>
        </w:tabs>
        <w:ind w:left="0" w:firstLine="360"/>
        <w:jc w:val="both"/>
        <w:rPr>
          <w:rFonts w:ascii="Times New Roman" w:hAnsi="Times New Roman"/>
          <w:bCs/>
          <w:lang w:val="sq-AL"/>
        </w:rPr>
      </w:pPr>
      <w:r w:rsidRPr="009567B0">
        <w:rPr>
          <w:rFonts w:ascii="Times New Roman" w:hAnsi="Times New Roman"/>
          <w:lang w:val="sq-AL"/>
        </w:rPr>
        <w:t>Kolegji rithekson se Gjykata e Lartë, si gjykatë ligji, ushtron kontroll vetëm mbi interpretimin dhe zbatimin e ligjit (neni 432 KPP dhe neni 141 i Kushtetutës), pa rivlerësuar faktet dhe provat. Në këtë kuadër, ajo verifikon nëse gjykatat e faktit kanë zbatuar drejt ligjin dhe nëse vendimet e tyre janë të arsyetuara, sipas standardeve kushtetuese dhe të Gjykatës Europiane të të Drejtave të Njeriut</w:t>
      </w:r>
      <w:r w:rsidRPr="009567B0">
        <w:rPr>
          <w:rFonts w:ascii="Times New Roman" w:hAnsi="Times New Roman"/>
          <w:spacing w:val="2"/>
          <w:shd w:val="clear" w:color="auto" w:fill="FFFFFF"/>
          <w:vertAlign w:val="superscript"/>
          <w:lang w:val="sq-AL"/>
        </w:rPr>
        <w:footnoteReference w:id="1"/>
      </w:r>
      <w:r w:rsidRPr="009567B0">
        <w:rPr>
          <w:rFonts w:ascii="Times New Roman" w:hAnsi="Times New Roman"/>
          <w:lang w:val="sq-AL"/>
        </w:rPr>
        <w:t>. Po ashtu, në përputhje me jurisprudencën kushtetuese</w:t>
      </w:r>
      <w:r w:rsidRPr="009567B0">
        <w:rPr>
          <w:rStyle w:val="FootnoteReference"/>
          <w:rFonts w:ascii="Times New Roman" w:hAnsi="Times New Roman"/>
          <w:bCs/>
          <w:lang w:val="sq-AL"/>
        </w:rPr>
        <w:footnoteReference w:id="2"/>
      </w:r>
      <w:r w:rsidRPr="009567B0">
        <w:rPr>
          <w:rFonts w:ascii="Times New Roman" w:hAnsi="Times New Roman"/>
          <w:lang w:val="sq-AL"/>
        </w:rPr>
        <w:t>, Kolegji vlerëson paraprakisht plotësimin e kërkesave ligjore të rekursit dhe, kur shkaqet e ngritura nuk mbështeten në aktet e dosjes ose janë haptazi të pabazuara, të vendosë mospranimin e tij me arsyetim të përmbledhur në dhomë këshillimi.</w:t>
      </w:r>
    </w:p>
    <w:p w14:paraId="171F8EB5" w14:textId="77777777" w:rsidR="00687251" w:rsidRPr="009567B0" w:rsidRDefault="00687251" w:rsidP="00834B80">
      <w:pPr>
        <w:pStyle w:val="ListParagraph"/>
        <w:numPr>
          <w:ilvl w:val="0"/>
          <w:numId w:val="14"/>
        </w:numPr>
        <w:tabs>
          <w:tab w:val="left" w:pos="360"/>
          <w:tab w:val="left" w:pos="540"/>
          <w:tab w:val="left" w:pos="720"/>
        </w:tabs>
        <w:ind w:left="0" w:firstLine="360"/>
        <w:jc w:val="both"/>
        <w:rPr>
          <w:rFonts w:ascii="Times New Roman" w:eastAsia="Calibri" w:hAnsi="Times New Roman"/>
          <w:lang w:val="sq-AL" w:bidi="ar-SA"/>
        </w:rPr>
      </w:pPr>
      <w:r w:rsidRPr="009567B0">
        <w:rPr>
          <w:rFonts w:ascii="Times New Roman" w:eastAsia="MS Mincho" w:hAnsi="Times New Roman"/>
          <w:bCs/>
          <w:lang w:val="sq-AL" w:bidi="ar-SA"/>
        </w:rPr>
        <w:t>Shkaqet e rekursit në Gjykatën e Lartë parashikohen nga neni 432 i KPP. Kjo dispozitë, në pikën 1 të saj, parashikon:</w:t>
      </w:r>
      <w:r w:rsidRPr="009567B0">
        <w:rPr>
          <w:rFonts w:ascii="Times New Roman" w:eastAsia="MS Mincho" w:hAnsi="Times New Roman"/>
          <w:bCs/>
          <w:i/>
          <w:lang w:val="sq-AL" w:bidi="ar-SA"/>
        </w:rPr>
        <w:t>“1. Rekursi në Gjykatën e Lartë kundër vendimeve të Gjykatës së Apelit mund të bëhet për këto shkaqe: a) për mosrespektimin ose zbatimin e gabuar të ligjit material ose procedural, me rëndësi për njësimin ose zhvillimin e praktikës gjyqësore; b) për mosrespektimin ose zbatimin e gabuar të ligjit procedural me pasojë pavlefshmërinë e vendimit, pavlefshmërinë absolute të akteve ose papërdorshmërinë e provave; c) kur vendimi i ankimuar vjen në kundërshtim me praktikën e Kolegjit Penal ose të Kolegjeve të Bashkuara të Gjykatës së Lartë”</w:t>
      </w:r>
      <w:r w:rsidRPr="009567B0">
        <w:rPr>
          <w:rFonts w:ascii="Times New Roman" w:eastAsia="MS Mincho" w:hAnsi="Times New Roman"/>
          <w:bCs/>
          <w:lang w:val="sq-AL" w:bidi="ar-SA"/>
        </w:rPr>
        <w:t xml:space="preserve">. </w:t>
      </w:r>
    </w:p>
    <w:p w14:paraId="1EB5D2BA" w14:textId="74B21623" w:rsidR="008B5A75" w:rsidRPr="009567B0" w:rsidRDefault="00687251" w:rsidP="00834B80">
      <w:pPr>
        <w:pStyle w:val="ListParagraph"/>
        <w:numPr>
          <w:ilvl w:val="0"/>
          <w:numId w:val="14"/>
        </w:numPr>
        <w:tabs>
          <w:tab w:val="left" w:pos="360"/>
          <w:tab w:val="left" w:pos="540"/>
          <w:tab w:val="left" w:pos="720"/>
        </w:tabs>
        <w:ind w:left="0" w:firstLine="360"/>
        <w:jc w:val="both"/>
        <w:rPr>
          <w:rFonts w:ascii="Times New Roman" w:eastAsia="Calibri" w:hAnsi="Times New Roman"/>
          <w:lang w:val="sq-AL" w:bidi="ar-SA"/>
        </w:rPr>
      </w:pPr>
      <w:r w:rsidRPr="009567B0">
        <w:rPr>
          <w:rFonts w:ascii="Times New Roman" w:eastAsia="Calibri" w:hAnsi="Times New Roman"/>
          <w:lang w:val="sq-AL" w:bidi="ar-SA"/>
        </w:rPr>
        <w:t>N</w:t>
      </w:r>
      <w:r w:rsidR="008B5A75" w:rsidRPr="009567B0">
        <w:rPr>
          <w:rFonts w:ascii="Times New Roman" w:eastAsia="Calibri" w:hAnsi="Times New Roman"/>
          <w:lang w:val="sq-AL" w:bidi="ar-SA"/>
        </w:rPr>
        <w:t>ë</w:t>
      </w:r>
      <w:r w:rsidRPr="009567B0">
        <w:rPr>
          <w:rFonts w:ascii="Times New Roman" w:eastAsia="Calibri" w:hAnsi="Times New Roman"/>
          <w:lang w:val="sq-AL" w:bidi="ar-SA"/>
        </w:rPr>
        <w:t xml:space="preserve"> rastin konkret, Kolegji vlerëson se pretendimet e ngritura në rekurs nga kallëzuesi Behar Xholi, në thelb, lidhen me cenimin e standardit të arsyetimit të vendimit gjyqësor dhe me mënyrën se si Gjykata e Apelit ka vlerësuar ekzistencën e shkaqeve ligjore që pengojnë vazhdimin e procedimit penal. Këto pretendime nuk kanë të bëjnë me një kërkesë për rivlerësimin e provave nga Gjykata e Lartë, pasi një kompetencë e tillë i përket gjykatave të faktit, por me kontrollin nëse konkluzioni i arritur nga Gjykata e Apelit është mbështetur mbi një analizë të plotë, logjike dhe të kontrollueshme të rrethanave mbi të cilat është bazuar vendimmarrja e saj.</w:t>
      </w:r>
    </w:p>
    <w:p w14:paraId="48BB5474" w14:textId="1E5974CC" w:rsidR="008B5A75" w:rsidRPr="009567B0" w:rsidRDefault="00687251" w:rsidP="00834B80">
      <w:pPr>
        <w:pStyle w:val="ListParagraph"/>
        <w:numPr>
          <w:ilvl w:val="0"/>
          <w:numId w:val="14"/>
        </w:numPr>
        <w:tabs>
          <w:tab w:val="left" w:pos="360"/>
          <w:tab w:val="left" w:pos="540"/>
          <w:tab w:val="left" w:pos="720"/>
        </w:tabs>
        <w:ind w:left="0" w:firstLine="360"/>
        <w:jc w:val="both"/>
        <w:rPr>
          <w:rFonts w:ascii="Times New Roman" w:eastAsia="Calibri" w:hAnsi="Times New Roman"/>
          <w:lang w:val="sq-AL" w:bidi="ar-SA"/>
        </w:rPr>
      </w:pPr>
      <w:r w:rsidRPr="009567B0">
        <w:rPr>
          <w:rFonts w:ascii="Times New Roman" w:eastAsia="Calibri" w:hAnsi="Times New Roman"/>
          <w:lang w:val="sq-AL" w:bidi="ar-SA"/>
        </w:rPr>
        <w:t>Në këtë kuptim, Kolegji vlerëson se Gjykata e Apelit nuk ka dhënë një përgjigje të plotë ndaj konstatimeve të evidentuara nga Gjykata e Shkallës së Parë lidhur me nevojën e kryerjes së veprimeve shtesë hetimore. Konkretisht, Gjykata e Shkallës së Parë ka evidentuar paqartësi që lidhen me identifikimin e saktë të objektit të hetimit, përcaktimin e shtrirjes së ndërtimeve, raportin e tyre me parcelat konkrete, si dhe mbi të gjitha, me kohën e kryerjes së punimeve, element ky, p</w:t>
      </w:r>
      <w:r w:rsidR="008B5A75" w:rsidRPr="009567B0">
        <w:rPr>
          <w:rFonts w:ascii="Times New Roman" w:eastAsia="Calibri" w:hAnsi="Times New Roman"/>
          <w:lang w:val="sq-AL" w:bidi="ar-SA"/>
        </w:rPr>
        <w:t>ë</w:t>
      </w:r>
      <w:r w:rsidRPr="009567B0">
        <w:rPr>
          <w:rFonts w:ascii="Times New Roman" w:eastAsia="Calibri" w:hAnsi="Times New Roman"/>
          <w:lang w:val="sq-AL" w:bidi="ar-SA"/>
        </w:rPr>
        <w:t>r t</w:t>
      </w:r>
      <w:r w:rsidR="008B5A75" w:rsidRPr="009567B0">
        <w:rPr>
          <w:rFonts w:ascii="Times New Roman" w:eastAsia="Calibri" w:hAnsi="Times New Roman"/>
          <w:lang w:val="sq-AL" w:bidi="ar-SA"/>
        </w:rPr>
        <w:t>ë</w:t>
      </w:r>
      <w:r w:rsidRPr="009567B0">
        <w:rPr>
          <w:rFonts w:ascii="Times New Roman" w:eastAsia="Calibri" w:hAnsi="Times New Roman"/>
          <w:lang w:val="sq-AL" w:bidi="ar-SA"/>
        </w:rPr>
        <w:t xml:space="preserve"> cilin Kolegji vler</w:t>
      </w:r>
      <w:r w:rsidR="008B5A75" w:rsidRPr="009567B0">
        <w:rPr>
          <w:rFonts w:ascii="Times New Roman" w:eastAsia="Calibri" w:hAnsi="Times New Roman"/>
          <w:lang w:val="sq-AL" w:bidi="ar-SA"/>
        </w:rPr>
        <w:t>ë</w:t>
      </w:r>
      <w:r w:rsidRPr="009567B0">
        <w:rPr>
          <w:rFonts w:ascii="Times New Roman" w:eastAsia="Calibri" w:hAnsi="Times New Roman"/>
          <w:lang w:val="sq-AL" w:bidi="ar-SA"/>
        </w:rPr>
        <w:t xml:space="preserve">son se </w:t>
      </w:r>
      <w:r w:rsidR="008B5A75" w:rsidRPr="009567B0">
        <w:rPr>
          <w:rFonts w:ascii="Times New Roman" w:eastAsia="Calibri" w:hAnsi="Times New Roman"/>
          <w:lang w:val="sq-AL" w:bidi="ar-SA"/>
        </w:rPr>
        <w:t>ë</w:t>
      </w:r>
      <w:r w:rsidRPr="009567B0">
        <w:rPr>
          <w:rFonts w:ascii="Times New Roman" w:eastAsia="Calibri" w:hAnsi="Times New Roman"/>
          <w:lang w:val="sq-AL" w:bidi="ar-SA"/>
        </w:rPr>
        <w:t>sht</w:t>
      </w:r>
      <w:r w:rsidR="008B5A75" w:rsidRPr="009567B0">
        <w:rPr>
          <w:rFonts w:ascii="Times New Roman" w:eastAsia="Calibri" w:hAnsi="Times New Roman"/>
          <w:lang w:val="sq-AL" w:bidi="ar-SA"/>
        </w:rPr>
        <w:t>ë</w:t>
      </w:r>
      <w:r w:rsidRPr="009567B0">
        <w:rPr>
          <w:rFonts w:ascii="Times New Roman" w:eastAsia="Calibri" w:hAnsi="Times New Roman"/>
          <w:lang w:val="sq-AL" w:bidi="ar-SA"/>
        </w:rPr>
        <w:t xml:space="preserve"> me rëndësi vendimtare për vlerësimin e ekzistencës së parashkrimit të ndjekjes penale. Këto çështje nuk përbëjnë aspekte </w:t>
      </w:r>
      <w:r w:rsidR="00591E3F" w:rsidRPr="009567B0">
        <w:rPr>
          <w:rFonts w:ascii="Times New Roman" w:hAnsi="Times New Roman"/>
          <w:bCs/>
          <w:lang w:val="sq-AL"/>
        </w:rPr>
        <w:t>të panevojshme</w:t>
      </w:r>
      <w:r w:rsidRPr="009567B0">
        <w:rPr>
          <w:rFonts w:ascii="Times New Roman" w:eastAsia="Calibri" w:hAnsi="Times New Roman"/>
          <w:lang w:val="sq-AL" w:bidi="ar-SA"/>
        </w:rPr>
        <w:t xml:space="preserve"> të hetimit</w:t>
      </w:r>
      <w:r w:rsidR="00591E3F" w:rsidRPr="009567B0">
        <w:rPr>
          <w:rFonts w:ascii="Times New Roman" w:eastAsia="Calibri" w:hAnsi="Times New Roman"/>
          <w:lang w:val="sq-AL" w:bidi="ar-SA"/>
        </w:rPr>
        <w:t xml:space="preserve"> sikurse ka konkluduar Gjykata e Apelit në vendimin objekt rekursi</w:t>
      </w:r>
      <w:r w:rsidRPr="009567B0">
        <w:rPr>
          <w:rFonts w:ascii="Times New Roman" w:eastAsia="Calibri" w:hAnsi="Times New Roman"/>
          <w:lang w:val="sq-AL" w:bidi="ar-SA"/>
        </w:rPr>
        <w:t>, por lidhen drejtpërdrejt me ekzistencën e vetë kushteve ligjore t</w:t>
      </w:r>
      <w:r w:rsidR="008B5A75" w:rsidRPr="009567B0">
        <w:rPr>
          <w:rFonts w:ascii="Times New Roman" w:eastAsia="Calibri" w:hAnsi="Times New Roman"/>
          <w:lang w:val="sq-AL" w:bidi="ar-SA"/>
        </w:rPr>
        <w:t>ë</w:t>
      </w:r>
      <w:r w:rsidRPr="009567B0">
        <w:rPr>
          <w:rFonts w:ascii="Times New Roman" w:eastAsia="Calibri" w:hAnsi="Times New Roman"/>
          <w:lang w:val="sq-AL" w:bidi="ar-SA"/>
        </w:rPr>
        <w:t xml:space="preserve"> parashikuara n</w:t>
      </w:r>
      <w:r w:rsidR="008B5A75" w:rsidRPr="009567B0">
        <w:rPr>
          <w:rFonts w:ascii="Times New Roman" w:eastAsia="Calibri" w:hAnsi="Times New Roman"/>
          <w:lang w:val="sq-AL" w:bidi="ar-SA"/>
        </w:rPr>
        <w:t>ë</w:t>
      </w:r>
      <w:r w:rsidRPr="009567B0">
        <w:rPr>
          <w:rFonts w:ascii="Times New Roman" w:eastAsia="Calibri" w:hAnsi="Times New Roman"/>
          <w:lang w:val="sq-AL" w:bidi="ar-SA"/>
        </w:rPr>
        <w:t xml:space="preserve"> nenin 328 t</w:t>
      </w:r>
      <w:r w:rsidR="008B5A75" w:rsidRPr="009567B0">
        <w:rPr>
          <w:rFonts w:ascii="Times New Roman" w:eastAsia="Calibri" w:hAnsi="Times New Roman"/>
          <w:lang w:val="sq-AL" w:bidi="ar-SA"/>
        </w:rPr>
        <w:t>ë</w:t>
      </w:r>
      <w:r w:rsidRPr="009567B0">
        <w:rPr>
          <w:rFonts w:ascii="Times New Roman" w:eastAsia="Calibri" w:hAnsi="Times New Roman"/>
          <w:lang w:val="sq-AL" w:bidi="ar-SA"/>
        </w:rPr>
        <w:t xml:space="preserve"> KPP për pushimin e procedimit penal.</w:t>
      </w:r>
    </w:p>
    <w:p w14:paraId="21573254" w14:textId="34F6E8F2" w:rsidR="008B5A75" w:rsidRPr="009567B0" w:rsidRDefault="008B5A75" w:rsidP="00834B80">
      <w:pPr>
        <w:pStyle w:val="ListParagraph"/>
        <w:numPr>
          <w:ilvl w:val="0"/>
          <w:numId w:val="14"/>
        </w:numPr>
        <w:tabs>
          <w:tab w:val="left" w:pos="360"/>
          <w:tab w:val="left" w:pos="540"/>
          <w:tab w:val="left" w:pos="720"/>
        </w:tabs>
        <w:ind w:left="0" w:firstLine="360"/>
        <w:jc w:val="both"/>
        <w:rPr>
          <w:rFonts w:ascii="Times New Roman" w:eastAsia="Calibri" w:hAnsi="Times New Roman"/>
          <w:lang w:val="sq-AL" w:bidi="ar-SA"/>
        </w:rPr>
      </w:pPr>
      <w:r w:rsidRPr="009567B0">
        <w:rPr>
          <w:rFonts w:ascii="Times New Roman" w:eastAsia="Calibri" w:hAnsi="Times New Roman"/>
          <w:lang w:val="sq-AL" w:bidi="ar-SA"/>
        </w:rPr>
        <w:t xml:space="preserve">Kolegji vlerëson se, </w:t>
      </w:r>
      <w:r w:rsidR="00687251" w:rsidRPr="009567B0">
        <w:rPr>
          <w:rFonts w:ascii="Times New Roman" w:eastAsia="Calibri" w:hAnsi="Times New Roman"/>
          <w:lang w:val="sq-AL" w:bidi="ar-SA"/>
        </w:rPr>
        <w:t xml:space="preserve">Gjykata e Apelit, duke arritur në përfundimin se veprimet e kërkuara nga gjykata e shkallës së parë ishin të panevojshme, duhej të jepte një arsyetim konkret dhe bindës mbi faktin se përse këto rrethana konsideroheshin të provuara në mënyrë të mjaftueshme dhe përse nuk kishte më nevojë për verifikime të tjera. Vetëm referimi në aktin e </w:t>
      </w:r>
      <w:r w:rsidR="00687251" w:rsidRPr="009567B0">
        <w:rPr>
          <w:rFonts w:ascii="Times New Roman" w:eastAsia="Calibri" w:hAnsi="Times New Roman"/>
          <w:lang w:val="sq-AL" w:bidi="ar-SA"/>
        </w:rPr>
        <w:lastRenderedPageBreak/>
        <w:t>ekspertimit dhe në pamjet e sistemeve gjeohapësinore nuk mund të konsiderohet i mjaftueshëm për të kapërcyer paqartësitë e evidentuara nga gjykata e shkallës së parë, veçanërisht kur vetë eksperti ka deklaruar se mosha e ndërtimit nuk mund të përcaktohet vetëm nga gjendja fizike e murit dhe se nevojiten analiza të tjera teknike për një përcaktim më të saktë.</w:t>
      </w:r>
    </w:p>
    <w:p w14:paraId="68674203" w14:textId="77777777" w:rsidR="008B5A75" w:rsidRPr="009567B0" w:rsidRDefault="00687251" w:rsidP="00834B80">
      <w:pPr>
        <w:pStyle w:val="ListParagraph"/>
        <w:numPr>
          <w:ilvl w:val="0"/>
          <w:numId w:val="14"/>
        </w:numPr>
        <w:tabs>
          <w:tab w:val="left" w:pos="360"/>
          <w:tab w:val="left" w:pos="540"/>
          <w:tab w:val="left" w:pos="720"/>
        </w:tabs>
        <w:ind w:left="0" w:firstLine="360"/>
        <w:jc w:val="both"/>
        <w:rPr>
          <w:rFonts w:ascii="Times New Roman" w:eastAsia="Calibri" w:hAnsi="Times New Roman"/>
          <w:lang w:val="sq-AL" w:bidi="ar-SA"/>
        </w:rPr>
      </w:pPr>
      <w:r w:rsidRPr="009567B0">
        <w:rPr>
          <w:rFonts w:ascii="Times New Roman" w:eastAsia="Calibri" w:hAnsi="Times New Roman"/>
          <w:lang w:val="sq-AL" w:bidi="ar-SA"/>
        </w:rPr>
        <w:t xml:space="preserve">Në lidhje me parashtrimet e personit nën hetim Musa Manjani, Kolegji vlerëson se pretendimet e tij, lidhur me ekzistencën e akteve të reja pronësore, deklaratat noteriale, marrëdhëniet juridike me pronarët e mëparshëm të pasurisë, si dhe pretendimet se ndërtimet kanë ekzistuar para vitit 2007, janë çështje që prekin drejtpërdrejt vlerësimin e rrethanave faktike të çështjes. Megjithatë, këto pretendime nuk mund të marrin zgjidhje përfundimtare në këtë fazë nga Gjykata e Lartë, pasi kjo e fundit, në funksionin e saj si gjykatë ligji, nuk ushtron një rivlerësim të provave dhe as nuk administron </w:t>
      </w:r>
      <w:r w:rsidR="008B5A75" w:rsidRPr="009567B0">
        <w:rPr>
          <w:rFonts w:ascii="Times New Roman" w:eastAsia="Calibri" w:hAnsi="Times New Roman"/>
          <w:lang w:val="sq-AL" w:bidi="ar-SA"/>
        </w:rPr>
        <w:t>ose</w:t>
      </w:r>
      <w:r w:rsidRPr="009567B0">
        <w:rPr>
          <w:rFonts w:ascii="Times New Roman" w:eastAsia="Calibri" w:hAnsi="Times New Roman"/>
          <w:lang w:val="sq-AL" w:bidi="ar-SA"/>
        </w:rPr>
        <w:t xml:space="preserve"> vlerëson prova të reja faktike për të përcaktuar nëse një ndërtim është kryer në vitin 2007 </w:t>
      </w:r>
      <w:r w:rsidR="008B5A75" w:rsidRPr="009567B0">
        <w:rPr>
          <w:rFonts w:ascii="Times New Roman" w:eastAsia="Calibri" w:hAnsi="Times New Roman"/>
          <w:lang w:val="sq-AL" w:bidi="ar-SA"/>
        </w:rPr>
        <w:t>ose</w:t>
      </w:r>
      <w:r w:rsidRPr="009567B0">
        <w:rPr>
          <w:rFonts w:ascii="Times New Roman" w:eastAsia="Calibri" w:hAnsi="Times New Roman"/>
          <w:lang w:val="sq-AL" w:bidi="ar-SA"/>
        </w:rPr>
        <w:t xml:space="preserve"> në vitin 2023, në cilën pasuri shtrihet ai, </w:t>
      </w:r>
      <w:r w:rsidR="008B5A75" w:rsidRPr="009567B0">
        <w:rPr>
          <w:rFonts w:ascii="Times New Roman" w:eastAsia="Calibri" w:hAnsi="Times New Roman"/>
          <w:lang w:val="sq-AL" w:bidi="ar-SA"/>
        </w:rPr>
        <w:t>ose</w:t>
      </w:r>
      <w:r w:rsidRPr="009567B0">
        <w:rPr>
          <w:rFonts w:ascii="Times New Roman" w:eastAsia="Calibri" w:hAnsi="Times New Roman"/>
          <w:lang w:val="sq-AL" w:bidi="ar-SA"/>
        </w:rPr>
        <w:t xml:space="preserve"> nëse ekziston </w:t>
      </w:r>
      <w:r w:rsidR="008B5A75" w:rsidRPr="009567B0">
        <w:rPr>
          <w:rFonts w:ascii="Times New Roman" w:eastAsia="Calibri" w:hAnsi="Times New Roman"/>
          <w:lang w:val="sq-AL" w:bidi="ar-SA"/>
        </w:rPr>
        <w:t>ose</w:t>
      </w:r>
      <w:r w:rsidRPr="009567B0">
        <w:rPr>
          <w:rFonts w:ascii="Times New Roman" w:eastAsia="Calibri" w:hAnsi="Times New Roman"/>
          <w:lang w:val="sq-AL" w:bidi="ar-SA"/>
        </w:rPr>
        <w:t xml:space="preserve"> jo një marrëdhënie pronësie mbi truallin objekt hetimi.</w:t>
      </w:r>
    </w:p>
    <w:p w14:paraId="0242B717" w14:textId="36C3B98D" w:rsidR="008B5A75" w:rsidRPr="009567B0" w:rsidRDefault="00687251" w:rsidP="00834B80">
      <w:pPr>
        <w:pStyle w:val="ListParagraph"/>
        <w:numPr>
          <w:ilvl w:val="0"/>
          <w:numId w:val="14"/>
        </w:numPr>
        <w:tabs>
          <w:tab w:val="left" w:pos="360"/>
          <w:tab w:val="left" w:pos="540"/>
          <w:tab w:val="left" w:pos="720"/>
        </w:tabs>
        <w:ind w:left="0" w:firstLine="360"/>
        <w:jc w:val="both"/>
        <w:rPr>
          <w:rFonts w:ascii="Times New Roman" w:eastAsia="Calibri" w:hAnsi="Times New Roman"/>
          <w:lang w:val="sq-AL" w:bidi="ar-SA"/>
        </w:rPr>
      </w:pPr>
      <w:r w:rsidRPr="009567B0">
        <w:rPr>
          <w:rFonts w:ascii="Times New Roman" w:eastAsia="Calibri" w:hAnsi="Times New Roman"/>
          <w:lang w:val="sq-AL" w:bidi="ar-SA"/>
        </w:rPr>
        <w:t xml:space="preserve">Në këtë drejtim, pretendimet e </w:t>
      </w:r>
      <w:r w:rsidR="008B5A75" w:rsidRPr="009567B0">
        <w:rPr>
          <w:rFonts w:ascii="Times New Roman" w:eastAsia="Calibri" w:hAnsi="Times New Roman"/>
          <w:lang w:val="sq-AL" w:bidi="ar-SA"/>
        </w:rPr>
        <w:t xml:space="preserve">të hetuarit </w:t>
      </w:r>
      <w:r w:rsidRPr="009567B0">
        <w:rPr>
          <w:rFonts w:ascii="Times New Roman" w:eastAsia="Calibri" w:hAnsi="Times New Roman"/>
          <w:lang w:val="sq-AL" w:bidi="ar-SA"/>
        </w:rPr>
        <w:t xml:space="preserve">Musa Manjani mbi certifikatat e pronësisë, aktet noteriale </w:t>
      </w:r>
      <w:r w:rsidR="008B5A75" w:rsidRPr="009567B0">
        <w:rPr>
          <w:rFonts w:ascii="Times New Roman" w:eastAsia="Calibri" w:hAnsi="Times New Roman"/>
          <w:lang w:val="sq-AL" w:bidi="ar-SA"/>
        </w:rPr>
        <w:t>ose</w:t>
      </w:r>
      <w:r w:rsidRPr="009567B0">
        <w:rPr>
          <w:rFonts w:ascii="Times New Roman" w:eastAsia="Calibri" w:hAnsi="Times New Roman"/>
          <w:lang w:val="sq-AL" w:bidi="ar-SA"/>
        </w:rPr>
        <w:t xml:space="preserve"> dokumentet e </w:t>
      </w:r>
      <w:r w:rsidR="008B5A75" w:rsidRPr="009567B0">
        <w:rPr>
          <w:rFonts w:ascii="Times New Roman" w:eastAsia="Calibri" w:hAnsi="Times New Roman"/>
          <w:lang w:val="sq-AL" w:bidi="ar-SA"/>
        </w:rPr>
        <w:t>paraqitura</w:t>
      </w:r>
      <w:r w:rsidRPr="009567B0">
        <w:rPr>
          <w:rFonts w:ascii="Times New Roman" w:eastAsia="Calibri" w:hAnsi="Times New Roman"/>
          <w:lang w:val="sq-AL" w:bidi="ar-SA"/>
        </w:rPr>
        <w:t xml:space="preserve"> prej tij përpara </w:t>
      </w:r>
      <w:r w:rsidR="008B5A75" w:rsidRPr="009567B0">
        <w:rPr>
          <w:rFonts w:ascii="Times New Roman" w:eastAsia="Calibri" w:hAnsi="Times New Roman"/>
          <w:lang w:val="sq-AL" w:bidi="ar-SA"/>
        </w:rPr>
        <w:t>Kolegjit të kësaj Gjykate</w:t>
      </w:r>
      <w:r w:rsidRPr="009567B0">
        <w:rPr>
          <w:rFonts w:ascii="Times New Roman" w:eastAsia="Calibri" w:hAnsi="Times New Roman"/>
          <w:lang w:val="sq-AL" w:bidi="ar-SA"/>
        </w:rPr>
        <w:t xml:space="preserve"> nuk mund të shërbejnë si bazë për një konkluzion përfundimtar mbi faktet e çështjes, pasi këto të dhëna, së bashku me provat e tjera të administruara në fashikull, duhet t’i nënshtrohen vlerësimit të organeve kompetente në kuadër të hetimeve të plota, sipas detyrave të përcaktuara nga Gjykata e Shkallës së Parë. Pikërisht kjo është arsyeja që </w:t>
      </w:r>
      <w:r w:rsidR="008B5A75" w:rsidRPr="009567B0">
        <w:rPr>
          <w:rFonts w:ascii="Times New Roman" w:eastAsia="Calibri" w:hAnsi="Times New Roman"/>
          <w:lang w:val="sq-AL" w:bidi="ar-SA"/>
        </w:rPr>
        <w:t>ky Kolegj</w:t>
      </w:r>
      <w:r w:rsidRPr="009567B0">
        <w:rPr>
          <w:rFonts w:ascii="Times New Roman" w:eastAsia="Calibri" w:hAnsi="Times New Roman"/>
          <w:lang w:val="sq-AL" w:bidi="ar-SA"/>
        </w:rPr>
        <w:t xml:space="preserve"> nuk </w:t>
      </w:r>
      <w:r w:rsidR="008B5A75" w:rsidRPr="009567B0">
        <w:rPr>
          <w:rFonts w:ascii="Times New Roman" w:eastAsia="Calibri" w:hAnsi="Times New Roman"/>
          <w:lang w:val="sq-AL" w:bidi="ar-SA"/>
        </w:rPr>
        <w:t>mban</w:t>
      </w:r>
      <w:r w:rsidRPr="009567B0">
        <w:rPr>
          <w:rFonts w:ascii="Times New Roman" w:eastAsia="Calibri" w:hAnsi="Times New Roman"/>
          <w:lang w:val="sq-AL" w:bidi="ar-SA"/>
        </w:rPr>
        <w:t xml:space="preserve"> qëndrim përfundimtar mbi kohën e ndërtimit, pronësinë e truallit </w:t>
      </w:r>
      <w:r w:rsidR="008B5A75" w:rsidRPr="009567B0">
        <w:rPr>
          <w:rFonts w:ascii="Times New Roman" w:eastAsia="Calibri" w:hAnsi="Times New Roman"/>
          <w:lang w:val="sq-AL" w:bidi="ar-SA"/>
        </w:rPr>
        <w:t>ose</w:t>
      </w:r>
      <w:r w:rsidRPr="009567B0">
        <w:rPr>
          <w:rFonts w:ascii="Times New Roman" w:eastAsia="Calibri" w:hAnsi="Times New Roman"/>
          <w:lang w:val="sq-AL" w:bidi="ar-SA"/>
        </w:rPr>
        <w:t xml:space="preserve"> ekzistencën e elementeve të veprës penale, por kufizohet në kontrollin e ligjshmërisë së mënyrës së arsyetimit të vendimit të Gjykatës së Apelit.</w:t>
      </w:r>
    </w:p>
    <w:p w14:paraId="06124010" w14:textId="08BF5DEB" w:rsidR="008B5A75" w:rsidRPr="009567B0" w:rsidRDefault="00687251" w:rsidP="00834B80">
      <w:pPr>
        <w:pStyle w:val="ListParagraph"/>
        <w:numPr>
          <w:ilvl w:val="0"/>
          <w:numId w:val="14"/>
        </w:numPr>
        <w:tabs>
          <w:tab w:val="left" w:pos="360"/>
          <w:tab w:val="left" w:pos="540"/>
          <w:tab w:val="left" w:pos="720"/>
        </w:tabs>
        <w:ind w:left="0" w:firstLine="360"/>
        <w:jc w:val="both"/>
        <w:rPr>
          <w:rFonts w:ascii="Times New Roman" w:eastAsia="Calibri" w:hAnsi="Times New Roman"/>
          <w:lang w:val="sq-AL" w:bidi="ar-SA"/>
        </w:rPr>
      </w:pPr>
      <w:r w:rsidRPr="009567B0">
        <w:rPr>
          <w:rFonts w:ascii="Times New Roman" w:eastAsia="Calibri" w:hAnsi="Times New Roman"/>
          <w:lang w:val="sq-AL" w:bidi="ar-SA"/>
        </w:rPr>
        <w:t xml:space="preserve">Për rrjedhojë, pretendimet e personit nën hetim se çështja duhet të konsiderohet e zgjidhur për shkak të parashkrimit </w:t>
      </w:r>
      <w:r w:rsidR="008B5A75" w:rsidRPr="009567B0">
        <w:rPr>
          <w:rFonts w:ascii="Times New Roman" w:eastAsia="Calibri" w:hAnsi="Times New Roman"/>
          <w:lang w:val="sq-AL" w:bidi="ar-SA"/>
        </w:rPr>
        <w:t>ose</w:t>
      </w:r>
      <w:r w:rsidRPr="009567B0">
        <w:rPr>
          <w:rFonts w:ascii="Times New Roman" w:eastAsia="Calibri" w:hAnsi="Times New Roman"/>
          <w:lang w:val="sq-AL" w:bidi="ar-SA"/>
        </w:rPr>
        <w:t xml:space="preserve"> amnistisë nuk mund të pranohen në këtë fazë, pasi vetë zbatimi i këtyre instituteve juridike varet nga një premisë faktike </w:t>
      </w:r>
      <w:r w:rsidR="008B5A75" w:rsidRPr="009567B0">
        <w:rPr>
          <w:rFonts w:ascii="Times New Roman" w:eastAsia="Calibri" w:hAnsi="Times New Roman"/>
          <w:lang w:val="sq-AL" w:bidi="ar-SA"/>
        </w:rPr>
        <w:t>e pa hetuar plotësisht sikurse</w:t>
      </w:r>
      <w:r w:rsidRPr="009567B0">
        <w:rPr>
          <w:rFonts w:ascii="Times New Roman" w:eastAsia="Calibri" w:hAnsi="Times New Roman"/>
          <w:lang w:val="sq-AL" w:bidi="ar-SA"/>
        </w:rPr>
        <w:t xml:space="preserve"> koha e kryerjes së veprës </w:t>
      </w:r>
      <w:r w:rsidR="008B5A75" w:rsidRPr="009567B0">
        <w:rPr>
          <w:rFonts w:ascii="Times New Roman" w:eastAsia="Calibri" w:hAnsi="Times New Roman"/>
          <w:lang w:val="sq-AL" w:bidi="ar-SA"/>
        </w:rPr>
        <w:t xml:space="preserve">objekt hetimi </w:t>
      </w:r>
      <w:r w:rsidRPr="009567B0">
        <w:rPr>
          <w:rFonts w:ascii="Times New Roman" w:eastAsia="Calibri" w:hAnsi="Times New Roman"/>
          <w:lang w:val="sq-AL" w:bidi="ar-SA"/>
        </w:rPr>
        <w:t xml:space="preserve">dhe rrethanat konkrete të ndërtimit objekt procedimi. Përderisa kjo premisë nuk është përcaktuar në mënyrë të qartë dhe të pakundërshtueshme përmes një hetimi të plotë, nuk mund të arrihet në përfundimin se </w:t>
      </w:r>
      <w:r w:rsidR="008B5A75" w:rsidRPr="009567B0">
        <w:rPr>
          <w:rFonts w:ascii="Times New Roman" w:eastAsia="Calibri" w:hAnsi="Times New Roman"/>
          <w:lang w:val="sq-AL" w:bidi="ar-SA"/>
        </w:rPr>
        <w:t xml:space="preserve">ushtrimi i </w:t>
      </w:r>
      <w:r w:rsidRPr="009567B0">
        <w:rPr>
          <w:rFonts w:ascii="Times New Roman" w:eastAsia="Calibri" w:hAnsi="Times New Roman"/>
          <w:lang w:val="sq-AL" w:bidi="ar-SA"/>
        </w:rPr>
        <w:t>ndjekj</w:t>
      </w:r>
      <w:r w:rsidR="008B5A75" w:rsidRPr="009567B0">
        <w:rPr>
          <w:rFonts w:ascii="Times New Roman" w:eastAsia="Calibri" w:hAnsi="Times New Roman"/>
          <w:lang w:val="sq-AL" w:bidi="ar-SA"/>
        </w:rPr>
        <w:t>es</w:t>
      </w:r>
      <w:r w:rsidRPr="009567B0">
        <w:rPr>
          <w:rFonts w:ascii="Times New Roman" w:eastAsia="Calibri" w:hAnsi="Times New Roman"/>
          <w:lang w:val="sq-AL" w:bidi="ar-SA"/>
        </w:rPr>
        <w:t xml:space="preserve"> penale </w:t>
      </w:r>
      <w:r w:rsidR="008B5A75" w:rsidRPr="009567B0">
        <w:rPr>
          <w:rFonts w:ascii="Times New Roman" w:eastAsia="Calibri" w:hAnsi="Times New Roman"/>
          <w:lang w:val="sq-AL" w:bidi="ar-SA"/>
        </w:rPr>
        <w:t>pengohet</w:t>
      </w:r>
      <w:r w:rsidRPr="009567B0">
        <w:rPr>
          <w:rFonts w:ascii="Times New Roman" w:eastAsia="Calibri" w:hAnsi="Times New Roman"/>
          <w:lang w:val="sq-AL" w:bidi="ar-SA"/>
        </w:rPr>
        <w:t xml:space="preserve"> nga parashkrimi ose amnistia.</w:t>
      </w:r>
    </w:p>
    <w:p w14:paraId="7DECE278" w14:textId="6DB47981" w:rsidR="008B5A75" w:rsidRPr="009567B0" w:rsidRDefault="00687251" w:rsidP="00834B80">
      <w:pPr>
        <w:pStyle w:val="ListParagraph"/>
        <w:numPr>
          <w:ilvl w:val="0"/>
          <w:numId w:val="14"/>
        </w:numPr>
        <w:tabs>
          <w:tab w:val="left" w:pos="360"/>
          <w:tab w:val="left" w:pos="540"/>
          <w:tab w:val="left" w:pos="720"/>
        </w:tabs>
        <w:ind w:left="0" w:firstLine="360"/>
        <w:jc w:val="both"/>
        <w:rPr>
          <w:rFonts w:ascii="Times New Roman" w:eastAsia="Calibri" w:hAnsi="Times New Roman"/>
          <w:lang w:val="sq-AL" w:bidi="ar-SA"/>
        </w:rPr>
      </w:pPr>
      <w:r w:rsidRPr="009567B0">
        <w:rPr>
          <w:rFonts w:ascii="Times New Roman" w:eastAsia="Calibri" w:hAnsi="Times New Roman"/>
          <w:lang w:val="sq-AL" w:bidi="ar-SA"/>
        </w:rPr>
        <w:t xml:space="preserve">Po kështu, lidhur me pretendimin e kallëzuesit se ndërtimi është kryer në vitin 2023 dhe se janë konsumuar elementët e veprës penale të parashikuar nga neni 199/a/3 i Kodit Penal, Kolegji </w:t>
      </w:r>
      <w:r w:rsidR="008B5A75" w:rsidRPr="009567B0">
        <w:rPr>
          <w:rFonts w:ascii="Times New Roman" w:eastAsia="Calibri" w:hAnsi="Times New Roman"/>
          <w:lang w:val="sq-AL" w:bidi="ar-SA"/>
        </w:rPr>
        <w:t>vlerëson</w:t>
      </w:r>
      <w:r w:rsidRPr="009567B0">
        <w:rPr>
          <w:rFonts w:ascii="Times New Roman" w:eastAsia="Calibri" w:hAnsi="Times New Roman"/>
          <w:lang w:val="sq-AL" w:bidi="ar-SA"/>
        </w:rPr>
        <w:t xml:space="preserve"> se edhe ky pretendim mbetet një çështje faktike që duhet të sqarohet gjatë vijimit të hetimeve. Gjykata e Lartë nuk mund të zëvendësojë organin procedues dhe gjykatat e faktit në përcaktimin e rrethanave konkrete të ndërtimit, por vetëm të vlerësojë nëse vendimi i kundërshtuar është dhënë në respektim të standardeve </w:t>
      </w:r>
      <w:r w:rsidR="008B5A75" w:rsidRPr="009567B0">
        <w:rPr>
          <w:rFonts w:ascii="Times New Roman" w:eastAsia="Calibri" w:hAnsi="Times New Roman"/>
          <w:lang w:val="sq-AL" w:bidi="ar-SA"/>
        </w:rPr>
        <w:t>të procesit të rregullt ligjor</w:t>
      </w:r>
      <w:r w:rsidRPr="009567B0">
        <w:rPr>
          <w:rFonts w:ascii="Times New Roman" w:eastAsia="Calibri" w:hAnsi="Times New Roman"/>
          <w:lang w:val="sq-AL" w:bidi="ar-SA"/>
        </w:rPr>
        <w:t xml:space="preserve"> </w:t>
      </w:r>
      <w:r w:rsidR="00591E3F" w:rsidRPr="009567B0">
        <w:rPr>
          <w:rFonts w:ascii="Times New Roman" w:eastAsia="Calibri" w:hAnsi="Times New Roman"/>
          <w:lang w:val="sq-AL" w:bidi="ar-SA"/>
        </w:rPr>
        <w:t>në drejtim</w:t>
      </w:r>
      <w:r w:rsidRPr="009567B0">
        <w:rPr>
          <w:rFonts w:ascii="Times New Roman" w:eastAsia="Calibri" w:hAnsi="Times New Roman"/>
          <w:lang w:val="sq-AL" w:bidi="ar-SA"/>
        </w:rPr>
        <w:t xml:space="preserve"> të arsyetimit </w:t>
      </w:r>
      <w:r w:rsidR="008B5A75" w:rsidRPr="009567B0">
        <w:rPr>
          <w:rFonts w:ascii="Times New Roman" w:eastAsia="Calibri" w:hAnsi="Times New Roman"/>
          <w:lang w:val="sq-AL" w:bidi="ar-SA"/>
        </w:rPr>
        <w:t>të vendimit</w:t>
      </w:r>
      <w:r w:rsidRPr="009567B0">
        <w:rPr>
          <w:rFonts w:ascii="Times New Roman" w:eastAsia="Calibri" w:hAnsi="Times New Roman"/>
          <w:lang w:val="sq-AL" w:bidi="ar-SA"/>
        </w:rPr>
        <w:t>.</w:t>
      </w:r>
    </w:p>
    <w:p w14:paraId="47A864E2" w14:textId="5866EAB0" w:rsidR="008B5A75" w:rsidRPr="009567B0" w:rsidRDefault="008B5A75" w:rsidP="00834B80">
      <w:pPr>
        <w:pStyle w:val="ListParagraph"/>
        <w:numPr>
          <w:ilvl w:val="0"/>
          <w:numId w:val="14"/>
        </w:numPr>
        <w:tabs>
          <w:tab w:val="left" w:pos="360"/>
          <w:tab w:val="left" w:pos="540"/>
          <w:tab w:val="left" w:pos="720"/>
        </w:tabs>
        <w:ind w:left="0" w:firstLine="360"/>
        <w:jc w:val="both"/>
        <w:rPr>
          <w:rFonts w:ascii="Times New Roman" w:eastAsia="Calibri" w:hAnsi="Times New Roman"/>
          <w:lang w:val="sq-AL" w:bidi="ar-SA"/>
        </w:rPr>
      </w:pPr>
      <w:r w:rsidRPr="009567B0">
        <w:rPr>
          <w:rFonts w:ascii="Times New Roman" w:eastAsia="Calibri" w:hAnsi="Times New Roman"/>
          <w:lang w:val="sq-AL" w:bidi="ar-SA"/>
        </w:rPr>
        <w:t>Nga analiza e vendimit objekt rekursi</w:t>
      </w:r>
      <w:r w:rsidR="00687251" w:rsidRPr="009567B0">
        <w:rPr>
          <w:rFonts w:ascii="Times New Roman" w:eastAsia="Calibri" w:hAnsi="Times New Roman"/>
          <w:lang w:val="sq-AL" w:bidi="ar-SA"/>
        </w:rPr>
        <w:t xml:space="preserve">, </w:t>
      </w:r>
      <w:r w:rsidRPr="009567B0">
        <w:rPr>
          <w:rFonts w:ascii="Times New Roman" w:eastAsia="Calibri" w:hAnsi="Times New Roman"/>
          <w:lang w:val="sq-AL" w:bidi="ar-SA"/>
        </w:rPr>
        <w:t xml:space="preserve">Kolegji vlerëson se </w:t>
      </w:r>
      <w:r w:rsidR="00687251" w:rsidRPr="009567B0">
        <w:rPr>
          <w:rFonts w:ascii="Times New Roman" w:eastAsia="Calibri" w:hAnsi="Times New Roman"/>
          <w:lang w:val="sq-AL" w:bidi="ar-SA"/>
        </w:rPr>
        <w:t xml:space="preserve">vendimi i Gjykatës së Apelit rezulton i pamjaftueshëm në arsyetim, pasi ka nxjerrë përfundimin mbi ekzistencën e parashkrimit dhe amnistisë pa u dhënë përgjigje të plotë çështjeve faktike që përbëjnë bazën e këtyre përfundimeve. Për këtë arsye, vendimi duhet të prishet dhe të lihet në fuqi vendimi i Gjykatës së Shkallës së Parë, e cila në mënyrë të drejtë ka vlerësuar se hetimet nuk </w:t>
      </w:r>
      <w:r w:rsidRPr="009567B0">
        <w:rPr>
          <w:rFonts w:ascii="Times New Roman" w:eastAsia="Calibri" w:hAnsi="Times New Roman"/>
          <w:lang w:val="sq-AL" w:bidi="ar-SA"/>
        </w:rPr>
        <w:t>ishin të plota</w:t>
      </w:r>
      <w:r w:rsidR="00687251" w:rsidRPr="009567B0">
        <w:rPr>
          <w:rFonts w:ascii="Times New Roman" w:eastAsia="Calibri" w:hAnsi="Times New Roman"/>
          <w:lang w:val="sq-AL" w:bidi="ar-SA"/>
        </w:rPr>
        <w:t xml:space="preserve"> dhe se kryerja e veprimeve të mëtejshme hetimore ishte e domosdoshme për sqarimin e rrethanave me rëndësi për zgjidhjen e çështjes.</w:t>
      </w:r>
      <w:r w:rsidRPr="009567B0">
        <w:rPr>
          <w:rFonts w:ascii="Times New Roman" w:eastAsia="Calibri" w:hAnsi="Times New Roman"/>
          <w:lang w:val="sq-AL" w:bidi="ar-SA"/>
        </w:rPr>
        <w:t xml:space="preserve"> Kolegji vlerëson të vërë në dukje se, k</w:t>
      </w:r>
      <w:r w:rsidR="00687251" w:rsidRPr="009567B0">
        <w:rPr>
          <w:rFonts w:ascii="Times New Roman" w:eastAsia="Calibri" w:hAnsi="Times New Roman"/>
          <w:lang w:val="sq-AL" w:bidi="ar-SA"/>
        </w:rPr>
        <w:t xml:space="preserve">y disponim nuk përbën një vlerësim paraprak mbi fajësinë ose pafajësinë e personit nën hetim, dhe as një konkluzion përfundimtar mbi ekzistencën e veprës penale. Ai synon vetëm garantimin e zhvillimit të një hetimi të plotë, ku të gjitha rrethanat kontradiktore, pretendimet e palëve dhe provat e administruara të analizohen nga organet proceduese sipas kërkesave të ligjit, përpara se të arrihet në një </w:t>
      </w:r>
      <w:r w:rsidR="00591E3F" w:rsidRPr="009567B0">
        <w:rPr>
          <w:rFonts w:ascii="Times New Roman" w:eastAsia="Calibri" w:hAnsi="Times New Roman"/>
          <w:lang w:val="sq-AL" w:bidi="ar-SA"/>
        </w:rPr>
        <w:t>konkluzion</w:t>
      </w:r>
      <w:r w:rsidR="00687251" w:rsidRPr="009567B0">
        <w:rPr>
          <w:rFonts w:ascii="Times New Roman" w:eastAsia="Calibri" w:hAnsi="Times New Roman"/>
          <w:lang w:val="sq-AL" w:bidi="ar-SA"/>
        </w:rPr>
        <w:t xml:space="preserve"> mbi vijimin ose jo të procedimit penal.</w:t>
      </w:r>
    </w:p>
    <w:p w14:paraId="70845AE5" w14:textId="450D9A56" w:rsidR="00687251" w:rsidRPr="009567B0" w:rsidRDefault="008B5A75" w:rsidP="00834B80">
      <w:pPr>
        <w:pStyle w:val="ListParagraph"/>
        <w:numPr>
          <w:ilvl w:val="0"/>
          <w:numId w:val="14"/>
        </w:numPr>
        <w:tabs>
          <w:tab w:val="left" w:pos="360"/>
          <w:tab w:val="left" w:pos="540"/>
          <w:tab w:val="left" w:pos="720"/>
        </w:tabs>
        <w:ind w:left="0" w:firstLine="360"/>
        <w:jc w:val="both"/>
        <w:rPr>
          <w:rFonts w:ascii="Times New Roman" w:eastAsia="Calibri" w:hAnsi="Times New Roman"/>
          <w:lang w:val="sq-AL" w:bidi="ar-SA"/>
        </w:rPr>
      </w:pPr>
      <w:r w:rsidRPr="009567B0">
        <w:rPr>
          <w:rFonts w:ascii="Times New Roman" w:eastAsia="Calibri" w:hAnsi="Times New Roman"/>
          <w:lang w:val="sq-AL" w:bidi="ar-SA"/>
        </w:rPr>
        <w:t xml:space="preserve">Për sa më lart, Kolegji vlerëson se në rastet kur Gjykata e Apelit nuk ka përmbushur detyrimin për zbatimin korrekt të ligjit procedural penal, veçanërisht lidhur me standardin e </w:t>
      </w:r>
      <w:r w:rsidRPr="009567B0">
        <w:rPr>
          <w:rFonts w:ascii="Times New Roman" w:eastAsia="Calibri" w:hAnsi="Times New Roman"/>
          <w:lang w:val="sq-AL" w:bidi="ar-SA"/>
        </w:rPr>
        <w:lastRenderedPageBreak/>
        <w:t>arsyetimit të vendimit dhe vlerësimin e plotësisë së hetimeve paraprake, ndërkohë që Gjykata e Shkallës së Parë ka evidentuar në mënyrë të drejtë nevojën për kryerjen e veprimeve të mëtejshme hetimore për sqarimin e rrethanave me rëndësi për çështjen, Kolegji, në shqyrtim në dhomë këshillimi dhe pasi shqyrton shkaqet e rekursit, vendos sipas nenit 441, pika 1, shkronja “b”, të KPP, prishjen e vendimit të Gjykatës së Apelit dhe lënien në fuqi të vendimit të Gjykatës së Shkallës së Parë. Në rastin konkret, Kolegji rithekson se nuk merr një qëndrim përfundimtar mbi kohën e kryerjes së ndërtimit, pronësinë e truallit, ekzistencën e elementeve të veprës penale ose përgjegjësinë e personit nën hetim Musa Manjani, pasi këto janë çështje faktike që duhet të sqarohen nëpërmjet hetimeve të mëtejshme sipas disponimit të Gjykatës së Shkallës së Parë. Gjykata e Lartë, në funksionin e saj si gjykatë ligji, nuk rivlerëson prova dhe as nuk shqyrton të dhëna të reja faktike të paraqitura nga palët në këtë fazë, por kontrollon vetëm nëse vendimi i ankimuar është dhënë në përputhje me ligjin dhe standardet e arsyetimit. Në këtë kuadër, Kolegji vlerëson se Gjykata e Shkallës së Parë ka zbatuar drejt ligjin procedural penal, pasi ka konstatuar se përpara arritjes në një përfundim mbi parashkrimin e ndjekjes penale ose përfitimin nga amnistia, duhej të sqaroheshin plotësisht rrethanat lidhur me objektin e ndërtimit, shtrirjen e tij, parcelat mbi të cilat është kryer dhe, veçanërisht, kohën e realizimit të tij, si premisë e domosdoshme për zbatimin e këtyre instituteve. Për rrjedhojë, vendimi i Gjykatës së Apelit, i cili ka pranuar përfundimin e organit të akuzës pa dhënë një arsyetim të plotë mbi këto çështje, duhet të prishet, ndërsa vendimi i Gjykatës së Shkallës së Parë duhet të lihet në fuqi.</w:t>
      </w:r>
    </w:p>
    <w:p w14:paraId="466C9207" w14:textId="77777777" w:rsidR="00E336F8" w:rsidRPr="009567B0" w:rsidRDefault="00E336F8" w:rsidP="00834B80">
      <w:pPr>
        <w:jc w:val="both"/>
        <w:rPr>
          <w:rFonts w:ascii="Times New Roman" w:hAnsi="Times New Roman"/>
          <w:bCs/>
        </w:rPr>
      </w:pPr>
    </w:p>
    <w:p w14:paraId="6587C27A" w14:textId="77777777" w:rsidR="008901D4" w:rsidRPr="009567B0" w:rsidRDefault="008901D4" w:rsidP="00834B80">
      <w:pPr>
        <w:jc w:val="center"/>
        <w:rPr>
          <w:rFonts w:ascii="Times New Roman" w:eastAsia="Calibri" w:hAnsi="Times New Roman"/>
          <w:b/>
          <w:lang w:bidi="ar-SA"/>
        </w:rPr>
      </w:pPr>
      <w:r w:rsidRPr="009567B0">
        <w:rPr>
          <w:rFonts w:ascii="Times New Roman" w:eastAsia="Calibri" w:hAnsi="Times New Roman"/>
          <w:b/>
          <w:lang w:bidi="ar-SA"/>
        </w:rPr>
        <w:t>PËR KËTO ARSYE,</w:t>
      </w:r>
    </w:p>
    <w:p w14:paraId="243CC1ED" w14:textId="77777777" w:rsidR="008901D4" w:rsidRPr="009567B0" w:rsidRDefault="008901D4" w:rsidP="00834B80">
      <w:pPr>
        <w:jc w:val="center"/>
        <w:rPr>
          <w:rFonts w:ascii="Times New Roman" w:eastAsia="Calibri" w:hAnsi="Times New Roman"/>
          <w:b/>
          <w:lang w:bidi="ar-SA"/>
        </w:rPr>
      </w:pPr>
    </w:p>
    <w:p w14:paraId="49E86163" w14:textId="10D9B7D3" w:rsidR="008901D4" w:rsidRPr="009567B0" w:rsidRDefault="008901D4" w:rsidP="00834B80">
      <w:pPr>
        <w:tabs>
          <w:tab w:val="left" w:pos="3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rFonts w:ascii="Times New Roman" w:hAnsi="Times New Roman"/>
          <w:bCs/>
          <w:lang w:bidi="ar-SA"/>
        </w:rPr>
      </w:pPr>
      <w:r w:rsidRPr="009567B0">
        <w:rPr>
          <w:rFonts w:ascii="Times New Roman" w:hAnsi="Times New Roman"/>
        </w:rPr>
        <w:tab/>
        <w:t xml:space="preserve">Kolegji Penal i Gjykatës së Lartë, </w:t>
      </w:r>
      <w:r w:rsidRPr="009567B0">
        <w:rPr>
          <w:rFonts w:ascii="Times New Roman" w:hAnsi="Times New Roman"/>
          <w:bCs/>
          <w:lang w:bidi="ar-SA"/>
        </w:rPr>
        <w:t>mbështetur në nenet 432 dhe 441, pika 1, shkronja “b”,  të Kodit të Procedurës Penale,</w:t>
      </w:r>
    </w:p>
    <w:p w14:paraId="0B6DCE8E" w14:textId="77777777" w:rsidR="00DC256D" w:rsidRPr="009567B0" w:rsidRDefault="00DC256D" w:rsidP="00834B80">
      <w:pPr>
        <w:tabs>
          <w:tab w:val="left" w:pos="3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rFonts w:ascii="Times New Roman" w:hAnsi="Times New Roman"/>
          <w:bCs/>
          <w:lang w:bidi="ar-SA"/>
        </w:rPr>
      </w:pPr>
    </w:p>
    <w:p w14:paraId="72ECE6F5" w14:textId="106CE574" w:rsidR="008901D4" w:rsidRPr="009567B0" w:rsidRDefault="00DC256D" w:rsidP="00834B80">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rFonts w:ascii="Times New Roman" w:hAnsi="Times New Roman"/>
          <w:b/>
          <w:bCs/>
          <w:lang w:bidi="ar-SA"/>
        </w:rPr>
      </w:pPr>
      <w:r w:rsidRPr="009567B0">
        <w:rPr>
          <w:rFonts w:ascii="Times New Roman" w:hAnsi="Times New Roman"/>
          <w:b/>
          <w:bCs/>
          <w:lang w:bidi="ar-SA"/>
        </w:rPr>
        <w:t>VENDOS</w:t>
      </w:r>
      <w:r w:rsidR="008901D4" w:rsidRPr="009567B0">
        <w:rPr>
          <w:rFonts w:ascii="Times New Roman" w:hAnsi="Times New Roman"/>
          <w:b/>
          <w:bCs/>
          <w:lang w:bidi="ar-SA"/>
        </w:rPr>
        <w:t>I</w:t>
      </w:r>
      <w:r w:rsidRPr="009567B0">
        <w:rPr>
          <w:rFonts w:ascii="Times New Roman" w:hAnsi="Times New Roman"/>
          <w:b/>
          <w:bCs/>
          <w:lang w:bidi="ar-SA"/>
        </w:rPr>
        <w:t>:</w:t>
      </w:r>
    </w:p>
    <w:p w14:paraId="05653699" w14:textId="77777777" w:rsidR="008901D4" w:rsidRPr="009567B0" w:rsidRDefault="008901D4" w:rsidP="00834B80">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rFonts w:ascii="Times New Roman" w:hAnsi="Times New Roman"/>
          <w:b/>
          <w:bCs/>
          <w:lang w:bidi="ar-SA"/>
        </w:rPr>
      </w:pPr>
    </w:p>
    <w:p w14:paraId="02585BD0" w14:textId="08C72B49" w:rsidR="008901D4" w:rsidRPr="009567B0" w:rsidRDefault="008901D4" w:rsidP="00834B80">
      <w:pPr>
        <w:ind w:firstLine="360"/>
        <w:jc w:val="both"/>
        <w:rPr>
          <w:rFonts w:ascii="Times New Roman" w:hAnsi="Times New Roman"/>
          <w:noProof/>
          <w:lang w:eastAsia="it-IT"/>
        </w:rPr>
      </w:pPr>
      <w:bookmarkStart w:id="6" w:name="_Hlk148525761"/>
      <w:r w:rsidRPr="009567B0">
        <w:rPr>
          <w:rFonts w:ascii="Times New Roman" w:hAnsi="Times New Roman"/>
          <w:lang w:bidi="ar-SA"/>
        </w:rPr>
        <w:t xml:space="preserve">Prishjen e vendimit </w:t>
      </w:r>
      <w:r w:rsidRPr="009567B0">
        <w:rPr>
          <w:rFonts w:ascii="Times New Roman" w:hAnsi="Times New Roman"/>
          <w:bCs/>
          <w:iCs/>
        </w:rPr>
        <w:t>nr. 2666 (30-2025-9629), datë 18.11.2025</w:t>
      </w:r>
      <w:r w:rsidR="00DC256D" w:rsidRPr="009567B0">
        <w:rPr>
          <w:rFonts w:ascii="Times New Roman" w:hAnsi="Times New Roman"/>
          <w:bCs/>
          <w:iCs/>
        </w:rPr>
        <w:t>,</w:t>
      </w:r>
      <w:r w:rsidRPr="009567B0">
        <w:rPr>
          <w:rFonts w:ascii="Times New Roman" w:eastAsia="MS Mincho" w:hAnsi="Times New Roman"/>
          <w:lang w:bidi="ar-SA"/>
        </w:rPr>
        <w:t xml:space="preserve"> </w:t>
      </w:r>
      <w:r w:rsidRPr="009567B0">
        <w:rPr>
          <w:rFonts w:ascii="Times New Roman" w:eastAsia="MS Mincho" w:hAnsi="Times New Roman"/>
          <w:bCs/>
          <w:lang w:bidi="ar-SA"/>
        </w:rPr>
        <w:t>të Gjykatës së Apelit të Juridiksionit të Përgjithshëm</w:t>
      </w:r>
      <w:bookmarkEnd w:id="6"/>
      <w:r w:rsidRPr="009567B0">
        <w:rPr>
          <w:rFonts w:ascii="Times New Roman" w:hAnsi="Times New Roman"/>
          <w:bCs/>
          <w:lang w:bidi="ar-SA"/>
        </w:rPr>
        <w:t xml:space="preserve"> dhe lënien në fuqi të vendimit nr. 63 (33-2025-127), datë 05.02.2025 të Gjykatës së Shkallës së Parë të Juridiksionit të Përgjithshëm</w:t>
      </w:r>
      <w:r w:rsidR="00DC256D" w:rsidRPr="009567B0">
        <w:rPr>
          <w:rFonts w:ascii="Times New Roman" w:hAnsi="Times New Roman"/>
          <w:bCs/>
          <w:lang w:bidi="ar-SA"/>
        </w:rPr>
        <w:t>,</w:t>
      </w:r>
      <w:r w:rsidRPr="009567B0">
        <w:rPr>
          <w:rFonts w:ascii="Times New Roman" w:hAnsi="Times New Roman"/>
          <w:bCs/>
          <w:lang w:bidi="ar-SA"/>
        </w:rPr>
        <w:t xml:space="preserve"> Dibër.</w:t>
      </w:r>
      <w:r w:rsidRPr="009567B0">
        <w:rPr>
          <w:rFonts w:ascii="Times New Roman" w:hAnsi="Times New Roman"/>
          <w:b/>
        </w:rPr>
        <w:t xml:space="preserve">    </w:t>
      </w:r>
    </w:p>
    <w:p w14:paraId="12C6E619" w14:textId="77777777" w:rsidR="008901D4" w:rsidRPr="009567B0" w:rsidRDefault="008901D4" w:rsidP="00834B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Times New Roman" w:hAnsi="Times New Roman"/>
          <w:b/>
        </w:rPr>
      </w:pPr>
      <w:r w:rsidRPr="009567B0">
        <w:rPr>
          <w:rFonts w:ascii="Times New Roman" w:hAnsi="Times New Roman"/>
          <w:bCs/>
          <w:i/>
        </w:rPr>
        <w:tab/>
      </w:r>
      <w:r w:rsidRPr="009567B0">
        <w:rPr>
          <w:rFonts w:ascii="Times New Roman" w:hAnsi="Times New Roman"/>
          <w:bCs/>
          <w:i/>
        </w:rPr>
        <w:tab/>
      </w:r>
      <w:r w:rsidRPr="009567B0">
        <w:rPr>
          <w:rFonts w:ascii="Times New Roman" w:hAnsi="Times New Roman"/>
          <w:bCs/>
          <w:i/>
        </w:rPr>
        <w:tab/>
      </w:r>
      <w:r w:rsidRPr="009567B0">
        <w:rPr>
          <w:rFonts w:ascii="Times New Roman" w:hAnsi="Times New Roman"/>
          <w:bCs/>
          <w:i/>
        </w:rPr>
        <w:tab/>
      </w:r>
      <w:r w:rsidRPr="009567B0">
        <w:rPr>
          <w:rFonts w:ascii="Times New Roman" w:hAnsi="Times New Roman"/>
          <w:bCs/>
          <w:i/>
        </w:rPr>
        <w:tab/>
      </w:r>
      <w:r w:rsidRPr="009567B0">
        <w:rPr>
          <w:rFonts w:ascii="Times New Roman" w:hAnsi="Times New Roman"/>
          <w:bCs/>
          <w:i/>
        </w:rPr>
        <w:tab/>
      </w:r>
      <w:r w:rsidRPr="009567B0">
        <w:rPr>
          <w:rFonts w:ascii="Times New Roman" w:hAnsi="Times New Roman"/>
          <w:b/>
        </w:rPr>
        <w:t>Tiranë, më 21.07.2026</w:t>
      </w:r>
    </w:p>
    <w:p w14:paraId="73761503" w14:textId="77777777" w:rsidR="008901D4" w:rsidRPr="009567B0" w:rsidRDefault="008901D4" w:rsidP="00834B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Times New Roman" w:hAnsi="Times New Roman"/>
          <w:b/>
        </w:rPr>
      </w:pPr>
    </w:p>
    <w:p w14:paraId="53F0C237" w14:textId="759C8ED5" w:rsidR="00DC256D" w:rsidRPr="009567B0" w:rsidRDefault="00DC256D" w:rsidP="00834B80">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rFonts w:ascii="Times New Roman" w:hAnsi="Times New Roman"/>
          <w:b/>
          <w:lang w:bidi="ar-SA"/>
        </w:rPr>
      </w:pPr>
    </w:p>
    <w:sectPr w:rsidR="00DC256D" w:rsidRPr="009567B0" w:rsidSect="006157CD">
      <w:footerReference w:type="default" r:id="rId1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EDDCFD" w14:textId="77777777" w:rsidR="00C32E0C" w:rsidRDefault="00C32E0C" w:rsidP="005C5C65">
      <w:r>
        <w:separator/>
      </w:r>
    </w:p>
  </w:endnote>
  <w:endnote w:type="continuationSeparator" w:id="0">
    <w:p w14:paraId="2C9754F5" w14:textId="77777777" w:rsidR="00C32E0C" w:rsidRDefault="00C32E0C" w:rsidP="005C5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rlit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36964236"/>
      <w:docPartObj>
        <w:docPartGallery w:val="Page Numbers (Bottom of Page)"/>
        <w:docPartUnique/>
      </w:docPartObj>
    </w:sdtPr>
    <w:sdtEndPr>
      <w:rPr>
        <w:noProof/>
      </w:rPr>
    </w:sdtEndPr>
    <w:sdtContent>
      <w:p w14:paraId="34010A9C" w14:textId="487D5E94" w:rsidR="004E2605" w:rsidRDefault="004E2605">
        <w:pPr>
          <w:pStyle w:val="Footer"/>
          <w:jc w:val="right"/>
        </w:pPr>
        <w:r>
          <w:fldChar w:fldCharType="begin"/>
        </w:r>
        <w:r>
          <w:instrText xml:space="preserve"> PAGE   \* MERGEFORMAT </w:instrText>
        </w:r>
        <w:r>
          <w:fldChar w:fldCharType="separate"/>
        </w:r>
        <w:r w:rsidR="009567B0">
          <w:rPr>
            <w:noProof/>
          </w:rPr>
          <w:t>11</w:t>
        </w:r>
        <w:r>
          <w:rPr>
            <w:noProof/>
          </w:rPr>
          <w:fldChar w:fldCharType="end"/>
        </w:r>
      </w:p>
    </w:sdtContent>
  </w:sdt>
  <w:p w14:paraId="6CE2122C" w14:textId="77777777" w:rsidR="008666BF" w:rsidRDefault="008666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796C53" w14:textId="77777777" w:rsidR="00C32E0C" w:rsidRDefault="00C32E0C" w:rsidP="005C5C65">
      <w:r>
        <w:separator/>
      </w:r>
    </w:p>
  </w:footnote>
  <w:footnote w:type="continuationSeparator" w:id="0">
    <w:p w14:paraId="3297FAF7" w14:textId="77777777" w:rsidR="00C32E0C" w:rsidRDefault="00C32E0C" w:rsidP="005C5C65">
      <w:r>
        <w:continuationSeparator/>
      </w:r>
    </w:p>
  </w:footnote>
  <w:footnote w:id="1">
    <w:p w14:paraId="268EBE82" w14:textId="77777777" w:rsidR="00E336F8" w:rsidRPr="00E154F7" w:rsidRDefault="00E336F8" w:rsidP="00E336F8">
      <w:pPr>
        <w:pStyle w:val="FootnoteText"/>
        <w:rPr>
          <w:lang w:val="sq-AL"/>
        </w:rPr>
      </w:pPr>
      <w:r w:rsidRPr="00E154F7">
        <w:rPr>
          <w:rStyle w:val="FootnoteReference"/>
          <w:lang w:val="sq-AL"/>
        </w:rPr>
        <w:footnoteRef/>
      </w:r>
      <w:r w:rsidRPr="00E154F7">
        <w:rPr>
          <w:rStyle w:val="FootnoteReference"/>
          <w:lang w:val="sq-AL"/>
        </w:rPr>
        <w:footnoteRef/>
      </w:r>
      <w:r w:rsidRPr="00E154F7">
        <w:rPr>
          <w:lang w:val="sq-AL"/>
        </w:rPr>
        <w:t xml:space="preserve"> Shih vendimin nr. 25/2003 të Gjykatës Kushtetuese.</w:t>
      </w:r>
    </w:p>
  </w:footnote>
  <w:footnote w:id="2">
    <w:p w14:paraId="4D2F4962" w14:textId="77777777" w:rsidR="00E336F8" w:rsidRPr="002B54F7" w:rsidRDefault="00E336F8" w:rsidP="00E336F8">
      <w:pPr>
        <w:pStyle w:val="FootnoteText"/>
        <w:rPr>
          <w:lang w:val="sq-AL"/>
        </w:rPr>
      </w:pPr>
      <w:r w:rsidRPr="00E154F7">
        <w:rPr>
          <w:rStyle w:val="FootnoteReference"/>
          <w:lang w:val="sq-AL"/>
        </w:rPr>
        <w:footnoteRef/>
      </w:r>
      <w:r w:rsidRPr="00E154F7">
        <w:rPr>
          <w:lang w:val="sq-AL"/>
        </w:rPr>
        <w:t xml:space="preserve"> S</w:t>
      </w:r>
      <w:r w:rsidRPr="00E154F7">
        <w:rPr>
          <w:lang w:val="sq-AL" w:eastAsia="en-GB"/>
        </w:rPr>
        <w:t xml:space="preserve">hih vendimet nr. 6, datë 10.02.2014, </w:t>
      </w:r>
      <w:r w:rsidRPr="00E154F7">
        <w:rPr>
          <w:lang w:val="sq-AL"/>
        </w:rPr>
        <w:t xml:space="preserve">nr. 194 datë 22.12.2022, </w:t>
      </w:r>
      <w:r w:rsidRPr="00E154F7">
        <w:rPr>
          <w:lang w:val="sq-AL" w:eastAsia="en-GB"/>
        </w:rPr>
        <w:t>nr. 13, datë 10.03.2016, të Gjykatës Kushtetuese.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7B636F"/>
    <w:multiLevelType w:val="hybridMultilevel"/>
    <w:tmpl w:val="E0223C04"/>
    <w:lvl w:ilvl="0" w:tplc="209C5AE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93449A"/>
    <w:multiLevelType w:val="hybridMultilevel"/>
    <w:tmpl w:val="2C644BE4"/>
    <w:lvl w:ilvl="0" w:tplc="B204CA94">
      <w:start w:val="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A2366A"/>
    <w:multiLevelType w:val="hybridMultilevel"/>
    <w:tmpl w:val="CF8E21E2"/>
    <w:lvl w:ilvl="0" w:tplc="E8BE6D8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7C365D"/>
    <w:multiLevelType w:val="hybridMultilevel"/>
    <w:tmpl w:val="B47694CA"/>
    <w:lvl w:ilvl="0" w:tplc="AC282794">
      <w:start w:val="9"/>
      <w:numFmt w:val="bullet"/>
      <w:lvlText w:val="-"/>
      <w:lvlJc w:val="left"/>
      <w:pPr>
        <w:ind w:left="720" w:hanging="360"/>
      </w:pPr>
      <w:rPr>
        <w:rFonts w:ascii="Times New Roman" w:eastAsia="MS Mincho"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4D10F1"/>
    <w:multiLevelType w:val="hybridMultilevel"/>
    <w:tmpl w:val="97D0972E"/>
    <w:lvl w:ilvl="0" w:tplc="5E986EA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A92934"/>
    <w:multiLevelType w:val="hybridMultilevel"/>
    <w:tmpl w:val="C206F9A0"/>
    <w:lvl w:ilvl="0" w:tplc="4FFCCA8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7F599F"/>
    <w:multiLevelType w:val="multilevel"/>
    <w:tmpl w:val="00529D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BD0F09"/>
    <w:multiLevelType w:val="hybridMultilevel"/>
    <w:tmpl w:val="4E265690"/>
    <w:lvl w:ilvl="0" w:tplc="599C3BF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3567DE"/>
    <w:multiLevelType w:val="hybridMultilevel"/>
    <w:tmpl w:val="9FA023F8"/>
    <w:lvl w:ilvl="0" w:tplc="19924208">
      <w:start w:val="3"/>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C228D0"/>
    <w:multiLevelType w:val="multilevel"/>
    <w:tmpl w:val="AE3CE30A"/>
    <w:lvl w:ilvl="0">
      <w:start w:val="1"/>
      <w:numFmt w:val="decimal"/>
      <w:lvlText w:val="%1."/>
      <w:lvlJc w:val="left"/>
      <w:pPr>
        <w:ind w:left="720" w:hanging="360"/>
      </w:pPr>
      <w:rPr>
        <w:rFonts w:hint="default"/>
        <w:b w:val="0"/>
        <w:bCs/>
        <w:i w:val="0"/>
        <w:iCs w:val="0"/>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0" w15:restartNumberingAfterBreak="0">
    <w:nsid w:val="513511E6"/>
    <w:multiLevelType w:val="hybridMultilevel"/>
    <w:tmpl w:val="E17AC916"/>
    <w:lvl w:ilvl="0" w:tplc="F1CE07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7E331C"/>
    <w:multiLevelType w:val="hybridMultilevel"/>
    <w:tmpl w:val="C9F697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4B7604"/>
    <w:multiLevelType w:val="hybridMultilevel"/>
    <w:tmpl w:val="015A54F8"/>
    <w:lvl w:ilvl="0" w:tplc="81701230">
      <w:start w:val="13"/>
      <w:numFmt w:val="bullet"/>
      <w:lvlText w:val="-"/>
      <w:lvlJc w:val="left"/>
      <w:pPr>
        <w:ind w:left="720" w:hanging="360"/>
      </w:pPr>
      <w:rPr>
        <w:rFonts w:ascii="Times New Roman" w:eastAsia="MS Mincho"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6317C3"/>
    <w:multiLevelType w:val="hybridMultilevel"/>
    <w:tmpl w:val="55C4D488"/>
    <w:lvl w:ilvl="0" w:tplc="E0D846EE">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A777FF4"/>
    <w:multiLevelType w:val="hybridMultilevel"/>
    <w:tmpl w:val="34087012"/>
    <w:lvl w:ilvl="0" w:tplc="FEBABF5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0"/>
  </w:num>
  <w:num w:numId="3">
    <w:abstractNumId w:val="7"/>
  </w:num>
  <w:num w:numId="4">
    <w:abstractNumId w:val="8"/>
  </w:num>
  <w:num w:numId="5">
    <w:abstractNumId w:val="4"/>
  </w:num>
  <w:num w:numId="6">
    <w:abstractNumId w:val="13"/>
  </w:num>
  <w:num w:numId="7">
    <w:abstractNumId w:val="3"/>
  </w:num>
  <w:num w:numId="8">
    <w:abstractNumId w:val="14"/>
  </w:num>
  <w:num w:numId="9">
    <w:abstractNumId w:val="12"/>
  </w:num>
  <w:num w:numId="10">
    <w:abstractNumId w:val="2"/>
  </w:num>
  <w:num w:numId="11">
    <w:abstractNumId w:val="0"/>
  </w:num>
  <w:num w:numId="12">
    <w:abstractNumId w:val="6"/>
  </w:num>
  <w:num w:numId="13">
    <w:abstractNumId w:val="5"/>
  </w:num>
  <w:num w:numId="14">
    <w:abstractNumId w:val="9"/>
  </w:num>
  <w:num w:numId="1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2E4"/>
    <w:rsid w:val="000036C0"/>
    <w:rsid w:val="00007795"/>
    <w:rsid w:val="00007E8F"/>
    <w:rsid w:val="00021DFF"/>
    <w:rsid w:val="000272F2"/>
    <w:rsid w:val="00032BF5"/>
    <w:rsid w:val="0003358F"/>
    <w:rsid w:val="00035817"/>
    <w:rsid w:val="000423EC"/>
    <w:rsid w:val="000469F5"/>
    <w:rsid w:val="00047A58"/>
    <w:rsid w:val="00056F9A"/>
    <w:rsid w:val="00061222"/>
    <w:rsid w:val="000619FD"/>
    <w:rsid w:val="00061E38"/>
    <w:rsid w:val="00065BB1"/>
    <w:rsid w:val="00074C10"/>
    <w:rsid w:val="00076906"/>
    <w:rsid w:val="00080D4C"/>
    <w:rsid w:val="00082148"/>
    <w:rsid w:val="000870D0"/>
    <w:rsid w:val="00087512"/>
    <w:rsid w:val="00091290"/>
    <w:rsid w:val="00095892"/>
    <w:rsid w:val="0009661B"/>
    <w:rsid w:val="000A0534"/>
    <w:rsid w:val="000A580B"/>
    <w:rsid w:val="000A6AAA"/>
    <w:rsid w:val="000B2784"/>
    <w:rsid w:val="000B3B21"/>
    <w:rsid w:val="000B4845"/>
    <w:rsid w:val="000B790C"/>
    <w:rsid w:val="000B7D1F"/>
    <w:rsid w:val="000C03B2"/>
    <w:rsid w:val="000C05B2"/>
    <w:rsid w:val="000C7102"/>
    <w:rsid w:val="000D2310"/>
    <w:rsid w:val="000D4B6B"/>
    <w:rsid w:val="000D7B3A"/>
    <w:rsid w:val="000E2AC1"/>
    <w:rsid w:val="000E49C6"/>
    <w:rsid w:val="000F1494"/>
    <w:rsid w:val="000F2DE1"/>
    <w:rsid w:val="00100AB7"/>
    <w:rsid w:val="00103F36"/>
    <w:rsid w:val="00112CB4"/>
    <w:rsid w:val="0012027A"/>
    <w:rsid w:val="001257C7"/>
    <w:rsid w:val="00126431"/>
    <w:rsid w:val="00131399"/>
    <w:rsid w:val="0013343F"/>
    <w:rsid w:val="00134FF2"/>
    <w:rsid w:val="00135DBB"/>
    <w:rsid w:val="00135E4E"/>
    <w:rsid w:val="001361C2"/>
    <w:rsid w:val="00136910"/>
    <w:rsid w:val="00142C89"/>
    <w:rsid w:val="00143EC2"/>
    <w:rsid w:val="001456E8"/>
    <w:rsid w:val="00154B85"/>
    <w:rsid w:val="00154D03"/>
    <w:rsid w:val="001644B0"/>
    <w:rsid w:val="00166468"/>
    <w:rsid w:val="00166FF5"/>
    <w:rsid w:val="00167682"/>
    <w:rsid w:val="00170800"/>
    <w:rsid w:val="00171BD5"/>
    <w:rsid w:val="001741A9"/>
    <w:rsid w:val="0017566C"/>
    <w:rsid w:val="001818E5"/>
    <w:rsid w:val="001851D7"/>
    <w:rsid w:val="001A39BF"/>
    <w:rsid w:val="001B56C2"/>
    <w:rsid w:val="001C28D4"/>
    <w:rsid w:val="001C497F"/>
    <w:rsid w:val="001C53A7"/>
    <w:rsid w:val="001C53DB"/>
    <w:rsid w:val="001D0E51"/>
    <w:rsid w:val="001D4EAA"/>
    <w:rsid w:val="001D54FD"/>
    <w:rsid w:val="001E013E"/>
    <w:rsid w:val="001E5102"/>
    <w:rsid w:val="001E793E"/>
    <w:rsid w:val="00200D0B"/>
    <w:rsid w:val="0020776F"/>
    <w:rsid w:val="002113BF"/>
    <w:rsid w:val="00215ECD"/>
    <w:rsid w:val="00220DE0"/>
    <w:rsid w:val="002214C2"/>
    <w:rsid w:val="0022333A"/>
    <w:rsid w:val="00223DC1"/>
    <w:rsid w:val="00224450"/>
    <w:rsid w:val="00225A94"/>
    <w:rsid w:val="002356EE"/>
    <w:rsid w:val="00247B1F"/>
    <w:rsid w:val="0025106E"/>
    <w:rsid w:val="0025265A"/>
    <w:rsid w:val="00253702"/>
    <w:rsid w:val="00262EAE"/>
    <w:rsid w:val="0026320B"/>
    <w:rsid w:val="0026788D"/>
    <w:rsid w:val="00272BEA"/>
    <w:rsid w:val="002918A7"/>
    <w:rsid w:val="00292119"/>
    <w:rsid w:val="00293744"/>
    <w:rsid w:val="00297ABF"/>
    <w:rsid w:val="002A029B"/>
    <w:rsid w:val="002A2742"/>
    <w:rsid w:val="002A43EF"/>
    <w:rsid w:val="002B02B4"/>
    <w:rsid w:val="002B0C00"/>
    <w:rsid w:val="002B33C4"/>
    <w:rsid w:val="002B42CC"/>
    <w:rsid w:val="002B43D9"/>
    <w:rsid w:val="002C7893"/>
    <w:rsid w:val="002D4666"/>
    <w:rsid w:val="002D4ACE"/>
    <w:rsid w:val="002E3D0A"/>
    <w:rsid w:val="003028B6"/>
    <w:rsid w:val="00303E2E"/>
    <w:rsid w:val="00307FE7"/>
    <w:rsid w:val="0031088E"/>
    <w:rsid w:val="0032721D"/>
    <w:rsid w:val="00327E1B"/>
    <w:rsid w:val="00337136"/>
    <w:rsid w:val="003416A5"/>
    <w:rsid w:val="003430F4"/>
    <w:rsid w:val="00345E46"/>
    <w:rsid w:val="00347AEC"/>
    <w:rsid w:val="00352553"/>
    <w:rsid w:val="0035386A"/>
    <w:rsid w:val="00353F24"/>
    <w:rsid w:val="003543A1"/>
    <w:rsid w:val="00362137"/>
    <w:rsid w:val="00362C53"/>
    <w:rsid w:val="00370195"/>
    <w:rsid w:val="0037286A"/>
    <w:rsid w:val="00380948"/>
    <w:rsid w:val="00383A0E"/>
    <w:rsid w:val="003843D9"/>
    <w:rsid w:val="00387C2B"/>
    <w:rsid w:val="00394629"/>
    <w:rsid w:val="00394C6F"/>
    <w:rsid w:val="003A46CE"/>
    <w:rsid w:val="003A6806"/>
    <w:rsid w:val="003B3D5A"/>
    <w:rsid w:val="003C0062"/>
    <w:rsid w:val="003C2323"/>
    <w:rsid w:val="003D39BC"/>
    <w:rsid w:val="003D3A6C"/>
    <w:rsid w:val="003E4FC4"/>
    <w:rsid w:val="003F123B"/>
    <w:rsid w:val="003F36BB"/>
    <w:rsid w:val="003F38AA"/>
    <w:rsid w:val="003F5DE6"/>
    <w:rsid w:val="003F631E"/>
    <w:rsid w:val="003F7DDC"/>
    <w:rsid w:val="00404274"/>
    <w:rsid w:val="00404ADF"/>
    <w:rsid w:val="004171D0"/>
    <w:rsid w:val="004204E1"/>
    <w:rsid w:val="004208E3"/>
    <w:rsid w:val="00424149"/>
    <w:rsid w:val="00424A4B"/>
    <w:rsid w:val="0042696D"/>
    <w:rsid w:val="00430AB9"/>
    <w:rsid w:val="004320B2"/>
    <w:rsid w:val="00436143"/>
    <w:rsid w:val="00436573"/>
    <w:rsid w:val="0044414B"/>
    <w:rsid w:val="00445118"/>
    <w:rsid w:val="0044534C"/>
    <w:rsid w:val="00447475"/>
    <w:rsid w:val="0045283C"/>
    <w:rsid w:val="0045551A"/>
    <w:rsid w:val="004714C1"/>
    <w:rsid w:val="00475EF6"/>
    <w:rsid w:val="00477D6C"/>
    <w:rsid w:val="00481C14"/>
    <w:rsid w:val="00484ABD"/>
    <w:rsid w:val="00496FDC"/>
    <w:rsid w:val="004A029E"/>
    <w:rsid w:val="004B0424"/>
    <w:rsid w:val="004B0FEC"/>
    <w:rsid w:val="004B1922"/>
    <w:rsid w:val="004B7F88"/>
    <w:rsid w:val="004C2971"/>
    <w:rsid w:val="004D1B7E"/>
    <w:rsid w:val="004D29D2"/>
    <w:rsid w:val="004D40B6"/>
    <w:rsid w:val="004D64BC"/>
    <w:rsid w:val="004E2605"/>
    <w:rsid w:val="004F0BDE"/>
    <w:rsid w:val="004F382A"/>
    <w:rsid w:val="0050265F"/>
    <w:rsid w:val="005046EA"/>
    <w:rsid w:val="00504896"/>
    <w:rsid w:val="0051024C"/>
    <w:rsid w:val="005132A6"/>
    <w:rsid w:val="00517529"/>
    <w:rsid w:val="00517840"/>
    <w:rsid w:val="00521B98"/>
    <w:rsid w:val="005253FA"/>
    <w:rsid w:val="00530C24"/>
    <w:rsid w:val="00532316"/>
    <w:rsid w:val="00532831"/>
    <w:rsid w:val="00532FEA"/>
    <w:rsid w:val="00543748"/>
    <w:rsid w:val="00544916"/>
    <w:rsid w:val="00544AE5"/>
    <w:rsid w:val="00547F00"/>
    <w:rsid w:val="00550C51"/>
    <w:rsid w:val="00560AC8"/>
    <w:rsid w:val="00561B8F"/>
    <w:rsid w:val="00566160"/>
    <w:rsid w:val="005759E3"/>
    <w:rsid w:val="00577C76"/>
    <w:rsid w:val="00585915"/>
    <w:rsid w:val="00586D51"/>
    <w:rsid w:val="00591E3F"/>
    <w:rsid w:val="00595744"/>
    <w:rsid w:val="005A1D5E"/>
    <w:rsid w:val="005A2CD7"/>
    <w:rsid w:val="005A6900"/>
    <w:rsid w:val="005C17D9"/>
    <w:rsid w:val="005C1878"/>
    <w:rsid w:val="005C5C65"/>
    <w:rsid w:val="005C635B"/>
    <w:rsid w:val="005D5FD1"/>
    <w:rsid w:val="005E196E"/>
    <w:rsid w:val="005F014B"/>
    <w:rsid w:val="005F18A1"/>
    <w:rsid w:val="005F2573"/>
    <w:rsid w:val="005F28A5"/>
    <w:rsid w:val="00600159"/>
    <w:rsid w:val="006007AC"/>
    <w:rsid w:val="00602E25"/>
    <w:rsid w:val="00605542"/>
    <w:rsid w:val="00605B83"/>
    <w:rsid w:val="006157CD"/>
    <w:rsid w:val="00620BA9"/>
    <w:rsid w:val="0062401F"/>
    <w:rsid w:val="0062459C"/>
    <w:rsid w:val="006249C4"/>
    <w:rsid w:val="00626ED5"/>
    <w:rsid w:val="0063078C"/>
    <w:rsid w:val="00630DCE"/>
    <w:rsid w:val="00633371"/>
    <w:rsid w:val="00640EF0"/>
    <w:rsid w:val="006468E1"/>
    <w:rsid w:val="00656EBE"/>
    <w:rsid w:val="00657130"/>
    <w:rsid w:val="0067152C"/>
    <w:rsid w:val="006808F5"/>
    <w:rsid w:val="00682AD6"/>
    <w:rsid w:val="00687251"/>
    <w:rsid w:val="00691FF4"/>
    <w:rsid w:val="0069649D"/>
    <w:rsid w:val="006A254C"/>
    <w:rsid w:val="006A5451"/>
    <w:rsid w:val="006A6222"/>
    <w:rsid w:val="006A6E1A"/>
    <w:rsid w:val="006A757A"/>
    <w:rsid w:val="006A7CCE"/>
    <w:rsid w:val="006B1945"/>
    <w:rsid w:val="006B2053"/>
    <w:rsid w:val="006B2AB8"/>
    <w:rsid w:val="006B4416"/>
    <w:rsid w:val="006B4A59"/>
    <w:rsid w:val="006B6E59"/>
    <w:rsid w:val="006B7C52"/>
    <w:rsid w:val="006C07EB"/>
    <w:rsid w:val="006C57C7"/>
    <w:rsid w:val="006D340A"/>
    <w:rsid w:val="006D57A3"/>
    <w:rsid w:val="006E4941"/>
    <w:rsid w:val="006F7B46"/>
    <w:rsid w:val="00722318"/>
    <w:rsid w:val="007254BB"/>
    <w:rsid w:val="00725C5A"/>
    <w:rsid w:val="007317FA"/>
    <w:rsid w:val="00735E72"/>
    <w:rsid w:val="00736C54"/>
    <w:rsid w:val="0073709C"/>
    <w:rsid w:val="00741FBD"/>
    <w:rsid w:val="00744CB9"/>
    <w:rsid w:val="00747361"/>
    <w:rsid w:val="00750787"/>
    <w:rsid w:val="007510BA"/>
    <w:rsid w:val="00760E6C"/>
    <w:rsid w:val="007649E3"/>
    <w:rsid w:val="00767F10"/>
    <w:rsid w:val="00770FD6"/>
    <w:rsid w:val="0077186A"/>
    <w:rsid w:val="007778D0"/>
    <w:rsid w:val="00791E1D"/>
    <w:rsid w:val="00794FCD"/>
    <w:rsid w:val="007973EF"/>
    <w:rsid w:val="007A4BAA"/>
    <w:rsid w:val="007A52AD"/>
    <w:rsid w:val="007B4BA1"/>
    <w:rsid w:val="007C0207"/>
    <w:rsid w:val="007C3E58"/>
    <w:rsid w:val="007C5F95"/>
    <w:rsid w:val="007C7A54"/>
    <w:rsid w:val="007D2317"/>
    <w:rsid w:val="007D4D18"/>
    <w:rsid w:val="007D714E"/>
    <w:rsid w:val="007E0A63"/>
    <w:rsid w:val="007E3411"/>
    <w:rsid w:val="007E3DED"/>
    <w:rsid w:val="007E3EF5"/>
    <w:rsid w:val="007E4BB7"/>
    <w:rsid w:val="007E5472"/>
    <w:rsid w:val="007F194E"/>
    <w:rsid w:val="007F4294"/>
    <w:rsid w:val="007F4FC3"/>
    <w:rsid w:val="007F53AC"/>
    <w:rsid w:val="007F7598"/>
    <w:rsid w:val="00806CA6"/>
    <w:rsid w:val="00812FC0"/>
    <w:rsid w:val="008140DB"/>
    <w:rsid w:val="00821E34"/>
    <w:rsid w:val="0082658E"/>
    <w:rsid w:val="0082751B"/>
    <w:rsid w:val="00830181"/>
    <w:rsid w:val="008310AF"/>
    <w:rsid w:val="00834B80"/>
    <w:rsid w:val="00835F73"/>
    <w:rsid w:val="008363ED"/>
    <w:rsid w:val="0084054F"/>
    <w:rsid w:val="008439AD"/>
    <w:rsid w:val="0084583C"/>
    <w:rsid w:val="00847BED"/>
    <w:rsid w:val="008501D1"/>
    <w:rsid w:val="00850C89"/>
    <w:rsid w:val="008535C9"/>
    <w:rsid w:val="00855CC2"/>
    <w:rsid w:val="00855FE7"/>
    <w:rsid w:val="008600F7"/>
    <w:rsid w:val="00863AE9"/>
    <w:rsid w:val="008666BF"/>
    <w:rsid w:val="00870D74"/>
    <w:rsid w:val="00871FAB"/>
    <w:rsid w:val="00872526"/>
    <w:rsid w:val="008734B5"/>
    <w:rsid w:val="00874B46"/>
    <w:rsid w:val="00885E9F"/>
    <w:rsid w:val="008869DE"/>
    <w:rsid w:val="008901D4"/>
    <w:rsid w:val="00890D17"/>
    <w:rsid w:val="00895DFE"/>
    <w:rsid w:val="008A0295"/>
    <w:rsid w:val="008A107E"/>
    <w:rsid w:val="008A2A65"/>
    <w:rsid w:val="008B1C2F"/>
    <w:rsid w:val="008B5A75"/>
    <w:rsid w:val="008B6223"/>
    <w:rsid w:val="008B699C"/>
    <w:rsid w:val="008C0AAD"/>
    <w:rsid w:val="008C0EBF"/>
    <w:rsid w:val="008C0EDF"/>
    <w:rsid w:val="008C1FBA"/>
    <w:rsid w:val="008D5EBC"/>
    <w:rsid w:val="008D7DB6"/>
    <w:rsid w:val="008E3C8A"/>
    <w:rsid w:val="008E4A58"/>
    <w:rsid w:val="008E4F28"/>
    <w:rsid w:val="008F13F0"/>
    <w:rsid w:val="009039AA"/>
    <w:rsid w:val="00906B00"/>
    <w:rsid w:val="00911331"/>
    <w:rsid w:val="00911702"/>
    <w:rsid w:val="00913C98"/>
    <w:rsid w:val="00915486"/>
    <w:rsid w:val="00922AFA"/>
    <w:rsid w:val="00925915"/>
    <w:rsid w:val="0092607D"/>
    <w:rsid w:val="00932F50"/>
    <w:rsid w:val="009339A7"/>
    <w:rsid w:val="00940B47"/>
    <w:rsid w:val="00945AA0"/>
    <w:rsid w:val="0094638F"/>
    <w:rsid w:val="009535EB"/>
    <w:rsid w:val="0095491B"/>
    <w:rsid w:val="009567B0"/>
    <w:rsid w:val="0096185E"/>
    <w:rsid w:val="009646C3"/>
    <w:rsid w:val="00967978"/>
    <w:rsid w:val="00977970"/>
    <w:rsid w:val="009860FF"/>
    <w:rsid w:val="00986A0E"/>
    <w:rsid w:val="00987485"/>
    <w:rsid w:val="00992437"/>
    <w:rsid w:val="00992C10"/>
    <w:rsid w:val="00996553"/>
    <w:rsid w:val="009A54F1"/>
    <w:rsid w:val="009B6198"/>
    <w:rsid w:val="009B6A55"/>
    <w:rsid w:val="009B7DD1"/>
    <w:rsid w:val="009C1231"/>
    <w:rsid w:val="009C1240"/>
    <w:rsid w:val="009C1C94"/>
    <w:rsid w:val="009C37F5"/>
    <w:rsid w:val="009C5C90"/>
    <w:rsid w:val="009D2AF4"/>
    <w:rsid w:val="009D696B"/>
    <w:rsid w:val="009E55DA"/>
    <w:rsid w:val="009F0CE4"/>
    <w:rsid w:val="00A06AF5"/>
    <w:rsid w:val="00A07046"/>
    <w:rsid w:val="00A17971"/>
    <w:rsid w:val="00A2052E"/>
    <w:rsid w:val="00A206F5"/>
    <w:rsid w:val="00A22745"/>
    <w:rsid w:val="00A22B3B"/>
    <w:rsid w:val="00A23427"/>
    <w:rsid w:val="00A253BF"/>
    <w:rsid w:val="00A34CE1"/>
    <w:rsid w:val="00A4051E"/>
    <w:rsid w:val="00A419A8"/>
    <w:rsid w:val="00A4609B"/>
    <w:rsid w:val="00A50CDB"/>
    <w:rsid w:val="00A51E78"/>
    <w:rsid w:val="00A55426"/>
    <w:rsid w:val="00A70E9A"/>
    <w:rsid w:val="00A762DA"/>
    <w:rsid w:val="00A76AF5"/>
    <w:rsid w:val="00A83E17"/>
    <w:rsid w:val="00A91B2D"/>
    <w:rsid w:val="00AA30D5"/>
    <w:rsid w:val="00AA3260"/>
    <w:rsid w:val="00AA591C"/>
    <w:rsid w:val="00AA6F34"/>
    <w:rsid w:val="00AB0D52"/>
    <w:rsid w:val="00AB0F39"/>
    <w:rsid w:val="00AB2CC8"/>
    <w:rsid w:val="00AB471D"/>
    <w:rsid w:val="00AB7C57"/>
    <w:rsid w:val="00AC11CA"/>
    <w:rsid w:val="00AC20EA"/>
    <w:rsid w:val="00AC3FC1"/>
    <w:rsid w:val="00AD0694"/>
    <w:rsid w:val="00AD18FE"/>
    <w:rsid w:val="00AD6E22"/>
    <w:rsid w:val="00AD734D"/>
    <w:rsid w:val="00AE3C59"/>
    <w:rsid w:val="00AF4F1C"/>
    <w:rsid w:val="00B01361"/>
    <w:rsid w:val="00B021F5"/>
    <w:rsid w:val="00B117A8"/>
    <w:rsid w:val="00B12191"/>
    <w:rsid w:val="00B16403"/>
    <w:rsid w:val="00B16D4D"/>
    <w:rsid w:val="00B24990"/>
    <w:rsid w:val="00B252F6"/>
    <w:rsid w:val="00B26184"/>
    <w:rsid w:val="00B26769"/>
    <w:rsid w:val="00B34929"/>
    <w:rsid w:val="00B36BB9"/>
    <w:rsid w:val="00B36FC2"/>
    <w:rsid w:val="00B478E8"/>
    <w:rsid w:val="00B738CF"/>
    <w:rsid w:val="00B77B81"/>
    <w:rsid w:val="00B81CC6"/>
    <w:rsid w:val="00B929C1"/>
    <w:rsid w:val="00BA0D35"/>
    <w:rsid w:val="00BA27A2"/>
    <w:rsid w:val="00BA3F2F"/>
    <w:rsid w:val="00BB283B"/>
    <w:rsid w:val="00BB59EB"/>
    <w:rsid w:val="00BB7136"/>
    <w:rsid w:val="00BB7A91"/>
    <w:rsid w:val="00BC0968"/>
    <w:rsid w:val="00BC342E"/>
    <w:rsid w:val="00BC41AB"/>
    <w:rsid w:val="00BC4DE0"/>
    <w:rsid w:val="00BD2078"/>
    <w:rsid w:val="00BD6991"/>
    <w:rsid w:val="00BD7D10"/>
    <w:rsid w:val="00BE0D53"/>
    <w:rsid w:val="00BE14FD"/>
    <w:rsid w:val="00BF2565"/>
    <w:rsid w:val="00BF2B1D"/>
    <w:rsid w:val="00BF386F"/>
    <w:rsid w:val="00BF5117"/>
    <w:rsid w:val="00BF5E7E"/>
    <w:rsid w:val="00C01644"/>
    <w:rsid w:val="00C01F47"/>
    <w:rsid w:val="00C03140"/>
    <w:rsid w:val="00C110C6"/>
    <w:rsid w:val="00C14FA3"/>
    <w:rsid w:val="00C32E0C"/>
    <w:rsid w:val="00C336BC"/>
    <w:rsid w:val="00C45D26"/>
    <w:rsid w:val="00C57645"/>
    <w:rsid w:val="00C61323"/>
    <w:rsid w:val="00C62696"/>
    <w:rsid w:val="00C62D66"/>
    <w:rsid w:val="00C66B97"/>
    <w:rsid w:val="00C71B1C"/>
    <w:rsid w:val="00C72236"/>
    <w:rsid w:val="00C7426F"/>
    <w:rsid w:val="00C74596"/>
    <w:rsid w:val="00C81CCD"/>
    <w:rsid w:val="00C82BAA"/>
    <w:rsid w:val="00C84B89"/>
    <w:rsid w:val="00C90D73"/>
    <w:rsid w:val="00C9444D"/>
    <w:rsid w:val="00C96BC7"/>
    <w:rsid w:val="00CA33DE"/>
    <w:rsid w:val="00CA62CA"/>
    <w:rsid w:val="00CB75EC"/>
    <w:rsid w:val="00CB7DC3"/>
    <w:rsid w:val="00CC5685"/>
    <w:rsid w:val="00CC5693"/>
    <w:rsid w:val="00CD2155"/>
    <w:rsid w:val="00CD2A5D"/>
    <w:rsid w:val="00CE2374"/>
    <w:rsid w:val="00CE30C5"/>
    <w:rsid w:val="00CE3FD7"/>
    <w:rsid w:val="00CE725D"/>
    <w:rsid w:val="00CF69AE"/>
    <w:rsid w:val="00CF72B3"/>
    <w:rsid w:val="00D03537"/>
    <w:rsid w:val="00D05802"/>
    <w:rsid w:val="00D12854"/>
    <w:rsid w:val="00D141DF"/>
    <w:rsid w:val="00D15F75"/>
    <w:rsid w:val="00D35F04"/>
    <w:rsid w:val="00D426CA"/>
    <w:rsid w:val="00D46C61"/>
    <w:rsid w:val="00D4751C"/>
    <w:rsid w:val="00D531FA"/>
    <w:rsid w:val="00D55D72"/>
    <w:rsid w:val="00D5697C"/>
    <w:rsid w:val="00D61884"/>
    <w:rsid w:val="00D6218C"/>
    <w:rsid w:val="00D64569"/>
    <w:rsid w:val="00D65784"/>
    <w:rsid w:val="00D66A21"/>
    <w:rsid w:val="00D67730"/>
    <w:rsid w:val="00D67EB4"/>
    <w:rsid w:val="00D73B67"/>
    <w:rsid w:val="00D77E4D"/>
    <w:rsid w:val="00D82939"/>
    <w:rsid w:val="00D83D1A"/>
    <w:rsid w:val="00D843E9"/>
    <w:rsid w:val="00D8453B"/>
    <w:rsid w:val="00D84BBE"/>
    <w:rsid w:val="00D84E44"/>
    <w:rsid w:val="00D86774"/>
    <w:rsid w:val="00D909BC"/>
    <w:rsid w:val="00D91CCE"/>
    <w:rsid w:val="00D9635B"/>
    <w:rsid w:val="00DA2D2B"/>
    <w:rsid w:val="00DB5E00"/>
    <w:rsid w:val="00DB73FD"/>
    <w:rsid w:val="00DC2549"/>
    <w:rsid w:val="00DC256D"/>
    <w:rsid w:val="00DC282E"/>
    <w:rsid w:val="00DC3216"/>
    <w:rsid w:val="00DC778D"/>
    <w:rsid w:val="00DD4F8D"/>
    <w:rsid w:val="00DE7022"/>
    <w:rsid w:val="00DE7245"/>
    <w:rsid w:val="00DE757D"/>
    <w:rsid w:val="00DF0E32"/>
    <w:rsid w:val="00E01B48"/>
    <w:rsid w:val="00E11A1B"/>
    <w:rsid w:val="00E13BED"/>
    <w:rsid w:val="00E20F78"/>
    <w:rsid w:val="00E27BA6"/>
    <w:rsid w:val="00E30DA2"/>
    <w:rsid w:val="00E332FF"/>
    <w:rsid w:val="00E336F8"/>
    <w:rsid w:val="00E345A2"/>
    <w:rsid w:val="00E42899"/>
    <w:rsid w:val="00E442E4"/>
    <w:rsid w:val="00E4533C"/>
    <w:rsid w:val="00E50C09"/>
    <w:rsid w:val="00E56074"/>
    <w:rsid w:val="00E5646D"/>
    <w:rsid w:val="00E637AC"/>
    <w:rsid w:val="00E74A2B"/>
    <w:rsid w:val="00E76448"/>
    <w:rsid w:val="00E81E4C"/>
    <w:rsid w:val="00E91456"/>
    <w:rsid w:val="00E93287"/>
    <w:rsid w:val="00EA583E"/>
    <w:rsid w:val="00EB15D1"/>
    <w:rsid w:val="00EB214F"/>
    <w:rsid w:val="00EB256E"/>
    <w:rsid w:val="00EB40DC"/>
    <w:rsid w:val="00EB584E"/>
    <w:rsid w:val="00EC3DAB"/>
    <w:rsid w:val="00EC45CA"/>
    <w:rsid w:val="00ED0F8E"/>
    <w:rsid w:val="00ED4245"/>
    <w:rsid w:val="00ED6F61"/>
    <w:rsid w:val="00EE1C2C"/>
    <w:rsid w:val="00EE79CE"/>
    <w:rsid w:val="00EF1A0F"/>
    <w:rsid w:val="00F03EA7"/>
    <w:rsid w:val="00F10357"/>
    <w:rsid w:val="00F11077"/>
    <w:rsid w:val="00F16985"/>
    <w:rsid w:val="00F25F95"/>
    <w:rsid w:val="00F3110E"/>
    <w:rsid w:val="00F3284F"/>
    <w:rsid w:val="00F329E9"/>
    <w:rsid w:val="00F35B04"/>
    <w:rsid w:val="00F35FF5"/>
    <w:rsid w:val="00F405B2"/>
    <w:rsid w:val="00F411F3"/>
    <w:rsid w:val="00F4181F"/>
    <w:rsid w:val="00F41A82"/>
    <w:rsid w:val="00F470C6"/>
    <w:rsid w:val="00F47B01"/>
    <w:rsid w:val="00F50DAF"/>
    <w:rsid w:val="00F54528"/>
    <w:rsid w:val="00F56C6A"/>
    <w:rsid w:val="00F64C63"/>
    <w:rsid w:val="00F64DFC"/>
    <w:rsid w:val="00F7673A"/>
    <w:rsid w:val="00F81C03"/>
    <w:rsid w:val="00F90636"/>
    <w:rsid w:val="00F90BE7"/>
    <w:rsid w:val="00F90C1D"/>
    <w:rsid w:val="00F961E4"/>
    <w:rsid w:val="00F962D6"/>
    <w:rsid w:val="00F96EF7"/>
    <w:rsid w:val="00F97A68"/>
    <w:rsid w:val="00FA0BFF"/>
    <w:rsid w:val="00FA1A5A"/>
    <w:rsid w:val="00FA48C9"/>
    <w:rsid w:val="00FA6ED7"/>
    <w:rsid w:val="00FA78D2"/>
    <w:rsid w:val="00FA7AB4"/>
    <w:rsid w:val="00FB5F6E"/>
    <w:rsid w:val="00FC1A36"/>
    <w:rsid w:val="00FC3EF8"/>
    <w:rsid w:val="00FC42A3"/>
    <w:rsid w:val="00FC4DA2"/>
    <w:rsid w:val="00FC692A"/>
    <w:rsid w:val="00FD1466"/>
    <w:rsid w:val="00FD2525"/>
    <w:rsid w:val="00FE1294"/>
    <w:rsid w:val="00FE51FF"/>
    <w:rsid w:val="00FE75FF"/>
    <w:rsid w:val="00FF105A"/>
    <w:rsid w:val="00FF4DD9"/>
    <w:rsid w:val="00FF6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B6EFC"/>
  <w15:chartTrackingRefBased/>
  <w15:docId w15:val="{9548921C-DD23-4DD5-89CE-C183B045D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E25"/>
    <w:pPr>
      <w:spacing w:after="0" w:line="240" w:lineRule="auto"/>
    </w:pPr>
    <w:rPr>
      <w:rFonts w:ascii="Calibri" w:eastAsia="Times New Roman" w:hAnsi="Calibri" w:cs="Times New Roman"/>
      <w:sz w:val="24"/>
      <w:szCs w:val="24"/>
      <w:lang w:val="sq-AL" w:bidi="en-US"/>
    </w:rPr>
  </w:style>
  <w:style w:type="paragraph" w:styleId="Heading1">
    <w:name w:val="heading 1"/>
    <w:basedOn w:val="Normal"/>
    <w:next w:val="Normal"/>
    <w:link w:val="Heading1Char"/>
    <w:uiPriority w:val="9"/>
    <w:qFormat/>
    <w:rsid w:val="00223DC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02E25"/>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02E25"/>
    <w:rPr>
      <w:rFonts w:ascii="Cambria" w:eastAsia="Times New Roman" w:hAnsi="Cambria" w:cs="Times New Roman"/>
      <w:b/>
      <w:bCs/>
      <w:i/>
      <w:iCs/>
      <w:sz w:val="28"/>
      <w:szCs w:val="28"/>
      <w:lang w:val="sq-AL" w:bidi="en-US"/>
    </w:rPr>
  </w:style>
  <w:style w:type="paragraph" w:styleId="Title">
    <w:name w:val="Title"/>
    <w:basedOn w:val="Normal"/>
    <w:link w:val="TitleChar"/>
    <w:qFormat/>
    <w:rsid w:val="00602E25"/>
    <w:pPr>
      <w:jc w:val="center"/>
    </w:pPr>
    <w:rPr>
      <w:rFonts w:ascii="Times New Roman" w:hAnsi="Times New Roman"/>
      <w:sz w:val="28"/>
      <w:szCs w:val="28"/>
      <w:lang w:val="en-US" w:eastAsia="x-none" w:bidi="ar-SA"/>
    </w:rPr>
  </w:style>
  <w:style w:type="character" w:customStyle="1" w:styleId="TitleChar">
    <w:name w:val="Title Char"/>
    <w:basedOn w:val="DefaultParagraphFont"/>
    <w:link w:val="Title"/>
    <w:rsid w:val="00602E25"/>
    <w:rPr>
      <w:rFonts w:ascii="Times New Roman" w:eastAsia="Times New Roman" w:hAnsi="Times New Roman" w:cs="Times New Roman"/>
      <w:sz w:val="28"/>
      <w:szCs w:val="28"/>
      <w:lang w:eastAsia="x-none"/>
    </w:rPr>
  </w:style>
  <w:style w:type="character" w:customStyle="1" w:styleId="NoSpacingChar">
    <w:name w:val="No Spacing Char"/>
    <w:link w:val="NoSpacing"/>
    <w:uiPriority w:val="1"/>
    <w:locked/>
    <w:rsid w:val="00602E25"/>
    <w:rPr>
      <w:rFonts w:ascii="Calibri" w:eastAsia="Times New Roman" w:hAnsi="Calibri" w:cs="Times New Roman"/>
      <w:sz w:val="24"/>
      <w:szCs w:val="24"/>
      <w:lang w:bidi="en-US"/>
    </w:rPr>
  </w:style>
  <w:style w:type="paragraph" w:styleId="NoSpacing">
    <w:name w:val="No Spacing"/>
    <w:link w:val="NoSpacingChar"/>
    <w:uiPriority w:val="99"/>
    <w:qFormat/>
    <w:rsid w:val="00602E25"/>
    <w:pPr>
      <w:spacing w:after="0" w:line="240" w:lineRule="auto"/>
    </w:pPr>
    <w:rPr>
      <w:rFonts w:ascii="Calibri" w:eastAsia="Times New Roman" w:hAnsi="Calibri" w:cs="Times New Roman"/>
      <w:sz w:val="24"/>
      <w:szCs w:val="24"/>
      <w:lang w:bidi="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602E25"/>
    <w:rPr>
      <w:rFonts w:ascii="Calibri" w:eastAsia="Times New Roman" w:hAnsi="Calibri" w:cs="Times New Roman"/>
      <w:sz w:val="24"/>
      <w:szCs w:val="24"/>
      <w:lang w:bidi="en-US"/>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602E25"/>
    <w:pPr>
      <w:ind w:left="720"/>
      <w:contextualSpacing/>
    </w:pPr>
    <w:rPr>
      <w:lang w:val="en-US"/>
    </w:rPr>
  </w:style>
  <w:style w:type="paragraph" w:styleId="BodyText">
    <w:name w:val="Body Text"/>
    <w:basedOn w:val="Normal"/>
    <w:link w:val="BodyTextChar"/>
    <w:uiPriority w:val="99"/>
    <w:unhideWhenUsed/>
    <w:rsid w:val="00DF0E32"/>
    <w:pPr>
      <w:spacing w:after="120"/>
    </w:pPr>
    <w:rPr>
      <w:rFonts w:ascii="Times New Roman" w:hAnsi="Times New Roman"/>
      <w:sz w:val="20"/>
      <w:szCs w:val="20"/>
      <w:lang w:val="x-none" w:eastAsia="x-none" w:bidi="ar-SA"/>
    </w:rPr>
  </w:style>
  <w:style w:type="character" w:customStyle="1" w:styleId="BodyTextChar">
    <w:name w:val="Body Text Char"/>
    <w:basedOn w:val="DefaultParagraphFont"/>
    <w:link w:val="BodyText"/>
    <w:uiPriority w:val="99"/>
    <w:rsid w:val="00DF0E32"/>
    <w:rPr>
      <w:rFonts w:ascii="Times New Roman" w:eastAsia="Times New Roman" w:hAnsi="Times New Roman" w:cs="Times New Roman"/>
      <w:sz w:val="20"/>
      <w:szCs w:val="20"/>
      <w:lang w:val="x-none" w:eastAsia="x-none"/>
    </w:rPr>
  </w:style>
  <w:style w:type="paragraph" w:styleId="FootnoteText">
    <w:name w:val="footnote text"/>
    <w:aliases w:val=" Char Char,Char,Footnote Text Char1 Char Char Char,Footnote Text Char Char Char Char Char,Car,single space,footnote text,fn,FOOTNOTES,Footnote Text Char1,Footnote Text Char2 Char,Footnote Text Char1 Char Char,Char Char Char Char"/>
    <w:basedOn w:val="Normal"/>
    <w:link w:val="FootnoteTextChar"/>
    <w:uiPriority w:val="99"/>
    <w:unhideWhenUsed/>
    <w:qFormat/>
    <w:rsid w:val="005C5C65"/>
    <w:rPr>
      <w:rFonts w:ascii="Times New Roman" w:hAnsi="Times New Roman"/>
      <w:sz w:val="20"/>
      <w:szCs w:val="20"/>
      <w:lang w:val="en-US" w:eastAsia="x-none" w:bidi="ar-SA"/>
    </w:rPr>
  </w:style>
  <w:style w:type="character" w:customStyle="1" w:styleId="FootnoteTextChar">
    <w:name w:val="Footnote Text Char"/>
    <w:aliases w:val=" Char Char Char,Char Char,Footnote Text Char1 Char Char Char Char,Footnote Text Char Char Char Char Char Char,Car Char,single space Char,footnote text Char,fn Char,FOOTNOTES Char,Footnote Text Char1 Char,Footnote Text Char2 Char Char"/>
    <w:basedOn w:val="DefaultParagraphFont"/>
    <w:link w:val="FootnoteText"/>
    <w:uiPriority w:val="99"/>
    <w:rsid w:val="005C5C65"/>
    <w:rPr>
      <w:rFonts w:ascii="Times New Roman" w:eastAsia="Times New Roman" w:hAnsi="Times New Roman" w:cs="Times New Roman"/>
      <w:sz w:val="20"/>
      <w:szCs w:val="20"/>
      <w:lang w:eastAsia="x-none"/>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BVI fnr Char"/>
    <w:link w:val="Char2"/>
    <w:uiPriority w:val="99"/>
    <w:unhideWhenUsed/>
    <w:qFormat/>
    <w:rsid w:val="005C5C65"/>
    <w:rPr>
      <w:vertAlign w:val="superscript"/>
    </w:rPr>
  </w:style>
  <w:style w:type="paragraph" w:styleId="BalloonText">
    <w:name w:val="Balloon Text"/>
    <w:basedOn w:val="Normal"/>
    <w:link w:val="BalloonTextChar"/>
    <w:uiPriority w:val="99"/>
    <w:semiHidden/>
    <w:unhideWhenUsed/>
    <w:rsid w:val="002A27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742"/>
    <w:rPr>
      <w:rFonts w:ascii="Segoe UI" w:eastAsia="Times New Roman" w:hAnsi="Segoe UI" w:cs="Segoe UI"/>
      <w:sz w:val="18"/>
      <w:szCs w:val="18"/>
      <w:lang w:val="sq-AL" w:bidi="en-US"/>
    </w:rPr>
  </w:style>
  <w:style w:type="paragraph" w:styleId="Header">
    <w:name w:val="header"/>
    <w:basedOn w:val="Normal"/>
    <w:link w:val="HeaderChar"/>
    <w:uiPriority w:val="99"/>
    <w:unhideWhenUsed/>
    <w:rsid w:val="007510BA"/>
    <w:pPr>
      <w:tabs>
        <w:tab w:val="center" w:pos="4680"/>
        <w:tab w:val="right" w:pos="9360"/>
      </w:tabs>
    </w:pPr>
  </w:style>
  <w:style w:type="character" w:customStyle="1" w:styleId="HeaderChar">
    <w:name w:val="Header Char"/>
    <w:basedOn w:val="DefaultParagraphFont"/>
    <w:link w:val="Header"/>
    <w:uiPriority w:val="99"/>
    <w:rsid w:val="007510BA"/>
    <w:rPr>
      <w:rFonts w:ascii="Calibri" w:eastAsia="Times New Roman" w:hAnsi="Calibri" w:cs="Times New Roman"/>
      <w:sz w:val="24"/>
      <w:szCs w:val="24"/>
      <w:lang w:val="sq-AL" w:bidi="en-US"/>
    </w:rPr>
  </w:style>
  <w:style w:type="paragraph" w:styleId="Footer">
    <w:name w:val="footer"/>
    <w:basedOn w:val="Normal"/>
    <w:link w:val="FooterChar"/>
    <w:uiPriority w:val="99"/>
    <w:unhideWhenUsed/>
    <w:rsid w:val="007510BA"/>
    <w:pPr>
      <w:tabs>
        <w:tab w:val="center" w:pos="4680"/>
        <w:tab w:val="right" w:pos="9360"/>
      </w:tabs>
    </w:pPr>
  </w:style>
  <w:style w:type="character" w:customStyle="1" w:styleId="FooterChar">
    <w:name w:val="Footer Char"/>
    <w:basedOn w:val="DefaultParagraphFont"/>
    <w:link w:val="Footer"/>
    <w:uiPriority w:val="99"/>
    <w:rsid w:val="007510BA"/>
    <w:rPr>
      <w:rFonts w:ascii="Calibri" w:eastAsia="Times New Roman" w:hAnsi="Calibri" w:cs="Times New Roman"/>
      <w:sz w:val="24"/>
      <w:szCs w:val="24"/>
      <w:lang w:val="sq-AL" w:bidi="en-US"/>
    </w:rPr>
  </w:style>
  <w:style w:type="paragraph" w:styleId="NormalWeb">
    <w:name w:val="Normal (Web)"/>
    <w:basedOn w:val="Normal"/>
    <w:uiPriority w:val="99"/>
    <w:unhideWhenUsed/>
    <w:rsid w:val="008D5EBC"/>
    <w:pPr>
      <w:spacing w:before="100" w:beforeAutospacing="1" w:after="100" w:afterAutospacing="1"/>
    </w:pPr>
    <w:rPr>
      <w:rFonts w:ascii="Times New Roman" w:hAnsi="Times New Roman"/>
      <w:lang w:val="en-US" w:bidi="ar-SA"/>
    </w:rPr>
  </w:style>
  <w:style w:type="character" w:customStyle="1" w:styleId="fontstyle01">
    <w:name w:val="fontstyle01"/>
    <w:basedOn w:val="DefaultParagraphFont"/>
    <w:rsid w:val="00447475"/>
    <w:rPr>
      <w:rFonts w:ascii="Garamond" w:hAnsi="Garamond" w:hint="default"/>
      <w:b w:val="0"/>
      <w:bCs w:val="0"/>
      <w:i w:val="0"/>
      <w:iCs w:val="0"/>
      <w:color w:val="000000"/>
      <w:sz w:val="24"/>
      <w:szCs w:val="24"/>
    </w:rPr>
  </w:style>
  <w:style w:type="character" w:customStyle="1" w:styleId="fontstyle21">
    <w:name w:val="fontstyle21"/>
    <w:basedOn w:val="DefaultParagraphFont"/>
    <w:rsid w:val="002C7893"/>
    <w:rPr>
      <w:rFonts w:ascii="Carlito" w:hAnsi="Carlito" w:hint="default"/>
      <w:b w:val="0"/>
      <w:bCs w:val="0"/>
      <w:i w:val="0"/>
      <w:iCs w:val="0"/>
      <w:color w:val="000000"/>
      <w:sz w:val="22"/>
      <w:szCs w:val="22"/>
    </w:rPr>
  </w:style>
  <w:style w:type="character" w:customStyle="1" w:styleId="fontstyle31">
    <w:name w:val="fontstyle31"/>
    <w:basedOn w:val="DefaultParagraphFont"/>
    <w:rsid w:val="002C7893"/>
    <w:rPr>
      <w:rFonts w:ascii="Garamond" w:hAnsi="Garamond" w:hint="default"/>
      <w:b w:val="0"/>
      <w:bCs w:val="0"/>
      <w:i w:val="0"/>
      <w:iCs w:val="0"/>
      <w:color w:val="000000"/>
      <w:sz w:val="24"/>
      <w:szCs w:val="24"/>
    </w:rPr>
  </w:style>
  <w:style w:type="paragraph" w:customStyle="1" w:styleId="Char2">
    <w:name w:val="Char2"/>
    <w:basedOn w:val="Normal"/>
    <w:link w:val="FootnoteReference"/>
    <w:uiPriority w:val="99"/>
    <w:rsid w:val="0026788D"/>
    <w:pPr>
      <w:spacing w:after="160" w:line="240" w:lineRule="exact"/>
    </w:pPr>
    <w:rPr>
      <w:rFonts w:asciiTheme="minorHAnsi" w:eastAsiaTheme="minorHAnsi" w:hAnsiTheme="minorHAnsi" w:cstheme="minorBidi"/>
      <w:sz w:val="22"/>
      <w:szCs w:val="22"/>
      <w:vertAlign w:val="superscript"/>
      <w:lang w:val="en-US" w:bidi="ar-SA"/>
    </w:rPr>
  </w:style>
  <w:style w:type="character" w:styleId="Hyperlink">
    <w:name w:val="Hyperlink"/>
    <w:basedOn w:val="DefaultParagraphFont"/>
    <w:uiPriority w:val="99"/>
    <w:unhideWhenUsed/>
    <w:rsid w:val="003028B6"/>
    <w:rPr>
      <w:color w:val="0563C1" w:themeColor="hyperlink"/>
      <w:u w:val="single"/>
    </w:rPr>
  </w:style>
  <w:style w:type="paragraph" w:customStyle="1" w:styleId="FootnoteReferneceCharChar1">
    <w:name w:val="Footnote Refernece Char Char1"/>
    <w:aliases w:val="Car Char Car Char Car Char Char Char Char Char Char Char Char1"/>
    <w:basedOn w:val="Normal"/>
    <w:rsid w:val="00AB0F39"/>
    <w:pPr>
      <w:spacing w:after="160" w:line="240" w:lineRule="exact"/>
    </w:pPr>
    <w:rPr>
      <w:rFonts w:ascii="Times New Roman" w:eastAsia="Calibri" w:hAnsi="Times New Roman"/>
      <w:sz w:val="20"/>
      <w:szCs w:val="20"/>
      <w:vertAlign w:val="superscript"/>
      <w:lang w:val="x-none" w:eastAsia="x-none" w:bidi="ar-SA"/>
    </w:rPr>
  </w:style>
  <w:style w:type="character" w:customStyle="1" w:styleId="Style1Char">
    <w:name w:val="Style1 Char"/>
    <w:basedOn w:val="DefaultParagraphFont"/>
    <w:link w:val="Style1"/>
    <w:locked/>
    <w:rsid w:val="00223DC1"/>
    <w:rPr>
      <w:b/>
      <w:bCs/>
      <w:kern w:val="32"/>
      <w:sz w:val="24"/>
      <w:szCs w:val="24"/>
    </w:rPr>
  </w:style>
  <w:style w:type="paragraph" w:customStyle="1" w:styleId="Style1">
    <w:name w:val="Style1"/>
    <w:basedOn w:val="Heading1"/>
    <w:link w:val="Style1Char"/>
    <w:qFormat/>
    <w:rsid w:val="00223DC1"/>
    <w:pPr>
      <w:keepLines w:val="0"/>
      <w:spacing w:before="0"/>
      <w:jc w:val="center"/>
    </w:pPr>
    <w:rPr>
      <w:rFonts w:asciiTheme="minorHAnsi" w:eastAsiaTheme="minorHAnsi" w:hAnsiTheme="minorHAnsi" w:cstheme="minorBidi"/>
      <w:b/>
      <w:bCs/>
      <w:color w:val="auto"/>
      <w:kern w:val="32"/>
      <w:sz w:val="24"/>
      <w:szCs w:val="24"/>
      <w:lang w:val="en-US" w:bidi="ar-SA"/>
    </w:rPr>
  </w:style>
  <w:style w:type="character" w:customStyle="1" w:styleId="Heading1Char">
    <w:name w:val="Heading 1 Char"/>
    <w:basedOn w:val="DefaultParagraphFont"/>
    <w:link w:val="Heading1"/>
    <w:uiPriority w:val="9"/>
    <w:rsid w:val="00223DC1"/>
    <w:rPr>
      <w:rFonts w:asciiTheme="majorHAnsi" w:eastAsiaTheme="majorEastAsia" w:hAnsiTheme="majorHAnsi" w:cstheme="majorBidi"/>
      <w:color w:val="2E74B5" w:themeColor="accent1" w:themeShade="BF"/>
      <w:sz w:val="32"/>
      <w:szCs w:val="32"/>
      <w:lang w:val="sq-AL"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4647418">
      <w:bodyDiv w:val="1"/>
      <w:marLeft w:val="0"/>
      <w:marRight w:val="0"/>
      <w:marTop w:val="0"/>
      <w:marBottom w:val="0"/>
      <w:divBdr>
        <w:top w:val="none" w:sz="0" w:space="0" w:color="auto"/>
        <w:left w:val="none" w:sz="0" w:space="0" w:color="auto"/>
        <w:bottom w:val="none" w:sz="0" w:space="0" w:color="auto"/>
        <w:right w:val="none" w:sz="0" w:space="0" w:color="auto"/>
      </w:divBdr>
    </w:div>
    <w:div w:id="476185967">
      <w:bodyDiv w:val="1"/>
      <w:marLeft w:val="0"/>
      <w:marRight w:val="0"/>
      <w:marTop w:val="0"/>
      <w:marBottom w:val="0"/>
      <w:divBdr>
        <w:top w:val="none" w:sz="0" w:space="0" w:color="auto"/>
        <w:left w:val="none" w:sz="0" w:space="0" w:color="auto"/>
        <w:bottom w:val="none" w:sz="0" w:space="0" w:color="auto"/>
        <w:right w:val="none" w:sz="0" w:space="0" w:color="auto"/>
      </w:divBdr>
    </w:div>
    <w:div w:id="831067518">
      <w:bodyDiv w:val="1"/>
      <w:marLeft w:val="0"/>
      <w:marRight w:val="0"/>
      <w:marTop w:val="0"/>
      <w:marBottom w:val="0"/>
      <w:divBdr>
        <w:top w:val="none" w:sz="0" w:space="0" w:color="auto"/>
        <w:left w:val="none" w:sz="0" w:space="0" w:color="auto"/>
        <w:bottom w:val="none" w:sz="0" w:space="0" w:color="auto"/>
        <w:right w:val="none" w:sz="0" w:space="0" w:color="auto"/>
      </w:divBdr>
    </w:div>
    <w:div w:id="854420646">
      <w:bodyDiv w:val="1"/>
      <w:marLeft w:val="0"/>
      <w:marRight w:val="0"/>
      <w:marTop w:val="0"/>
      <w:marBottom w:val="0"/>
      <w:divBdr>
        <w:top w:val="none" w:sz="0" w:space="0" w:color="auto"/>
        <w:left w:val="none" w:sz="0" w:space="0" w:color="auto"/>
        <w:bottom w:val="none" w:sz="0" w:space="0" w:color="auto"/>
        <w:right w:val="none" w:sz="0" w:space="0" w:color="auto"/>
      </w:divBdr>
    </w:div>
    <w:div w:id="1108311188">
      <w:bodyDiv w:val="1"/>
      <w:marLeft w:val="0"/>
      <w:marRight w:val="0"/>
      <w:marTop w:val="0"/>
      <w:marBottom w:val="0"/>
      <w:divBdr>
        <w:top w:val="none" w:sz="0" w:space="0" w:color="auto"/>
        <w:left w:val="none" w:sz="0" w:space="0" w:color="auto"/>
        <w:bottom w:val="none" w:sz="0" w:space="0" w:color="auto"/>
        <w:right w:val="none" w:sz="0" w:space="0" w:color="auto"/>
      </w:divBdr>
    </w:div>
    <w:div w:id="1508473502">
      <w:bodyDiv w:val="1"/>
      <w:marLeft w:val="0"/>
      <w:marRight w:val="0"/>
      <w:marTop w:val="0"/>
      <w:marBottom w:val="0"/>
      <w:divBdr>
        <w:top w:val="none" w:sz="0" w:space="0" w:color="auto"/>
        <w:left w:val="none" w:sz="0" w:space="0" w:color="auto"/>
        <w:bottom w:val="none" w:sz="0" w:space="0" w:color="auto"/>
        <w:right w:val="none" w:sz="0" w:space="0" w:color="auto"/>
      </w:divBdr>
    </w:div>
    <w:div w:id="1573587384">
      <w:bodyDiv w:val="1"/>
      <w:marLeft w:val="0"/>
      <w:marRight w:val="0"/>
      <w:marTop w:val="0"/>
      <w:marBottom w:val="0"/>
      <w:divBdr>
        <w:top w:val="none" w:sz="0" w:space="0" w:color="auto"/>
        <w:left w:val="none" w:sz="0" w:space="0" w:color="auto"/>
        <w:bottom w:val="none" w:sz="0" w:space="0" w:color="auto"/>
        <w:right w:val="none" w:sz="0" w:space="0" w:color="auto"/>
      </w:divBdr>
    </w:div>
    <w:div w:id="1719621089">
      <w:bodyDiv w:val="1"/>
      <w:marLeft w:val="0"/>
      <w:marRight w:val="0"/>
      <w:marTop w:val="0"/>
      <w:marBottom w:val="0"/>
      <w:divBdr>
        <w:top w:val="none" w:sz="0" w:space="0" w:color="auto"/>
        <w:left w:val="none" w:sz="0" w:space="0" w:color="auto"/>
        <w:bottom w:val="none" w:sz="0" w:space="0" w:color="auto"/>
        <w:right w:val="none" w:sz="0" w:space="0" w:color="auto"/>
      </w:divBdr>
    </w:div>
    <w:div w:id="1916282524">
      <w:bodyDiv w:val="1"/>
      <w:marLeft w:val="0"/>
      <w:marRight w:val="0"/>
      <w:marTop w:val="0"/>
      <w:marBottom w:val="0"/>
      <w:divBdr>
        <w:top w:val="none" w:sz="0" w:space="0" w:color="auto"/>
        <w:left w:val="none" w:sz="0" w:space="0" w:color="auto"/>
        <w:bottom w:val="none" w:sz="0" w:space="0" w:color="auto"/>
        <w:right w:val="none" w:sz="0" w:space="0" w:color="auto"/>
      </w:divBdr>
    </w:div>
    <w:div w:id="1967661200">
      <w:bodyDiv w:val="1"/>
      <w:marLeft w:val="0"/>
      <w:marRight w:val="0"/>
      <w:marTop w:val="0"/>
      <w:marBottom w:val="0"/>
      <w:divBdr>
        <w:top w:val="none" w:sz="0" w:space="0" w:color="auto"/>
        <w:left w:val="none" w:sz="0" w:space="0" w:color="auto"/>
        <w:bottom w:val="none" w:sz="0" w:space="0" w:color="auto"/>
        <w:right w:val="none" w:sz="0" w:space="0" w:color="auto"/>
      </w:divBdr>
      <w:divsChild>
        <w:div w:id="1150755097">
          <w:marLeft w:val="0"/>
          <w:marRight w:val="0"/>
          <w:marTop w:val="15"/>
          <w:marBottom w:val="0"/>
          <w:divBdr>
            <w:top w:val="none" w:sz="0" w:space="0" w:color="auto"/>
            <w:left w:val="none" w:sz="0" w:space="0" w:color="auto"/>
            <w:bottom w:val="none" w:sz="0" w:space="0" w:color="auto"/>
            <w:right w:val="none" w:sz="0" w:space="0" w:color="auto"/>
          </w:divBdr>
          <w:divsChild>
            <w:div w:id="8063535">
              <w:marLeft w:val="0"/>
              <w:marRight w:val="0"/>
              <w:marTop w:val="0"/>
              <w:marBottom w:val="0"/>
              <w:divBdr>
                <w:top w:val="single" w:sz="6" w:space="0" w:color="808080"/>
                <w:left w:val="single" w:sz="6" w:space="0" w:color="808080"/>
                <w:bottom w:val="single" w:sz="6" w:space="0" w:color="808080"/>
                <w:right w:val="single" w:sz="6" w:space="0" w:color="808080"/>
              </w:divBdr>
              <w:divsChild>
                <w:div w:id="835921796">
                  <w:marLeft w:val="0"/>
                  <w:marRight w:val="0"/>
                  <w:marTop w:val="0"/>
                  <w:marBottom w:val="0"/>
                  <w:divBdr>
                    <w:top w:val="none" w:sz="0" w:space="0" w:color="auto"/>
                    <w:left w:val="none" w:sz="0" w:space="0" w:color="auto"/>
                    <w:bottom w:val="none" w:sz="0" w:space="0" w:color="auto"/>
                    <w:right w:val="none" w:sz="0" w:space="0" w:color="auto"/>
                  </w:divBdr>
                </w:div>
                <w:div w:id="90780241">
                  <w:marLeft w:val="0"/>
                  <w:marRight w:val="0"/>
                  <w:marTop w:val="0"/>
                  <w:marBottom w:val="0"/>
                  <w:divBdr>
                    <w:top w:val="none" w:sz="0" w:space="0" w:color="auto"/>
                    <w:left w:val="none" w:sz="0" w:space="0" w:color="auto"/>
                    <w:bottom w:val="none" w:sz="0" w:space="0" w:color="auto"/>
                    <w:right w:val="none" w:sz="0" w:space="0" w:color="auto"/>
                  </w:divBdr>
                </w:div>
                <w:div w:id="1815297878">
                  <w:marLeft w:val="0"/>
                  <w:marRight w:val="0"/>
                  <w:marTop w:val="0"/>
                  <w:marBottom w:val="0"/>
                  <w:divBdr>
                    <w:top w:val="none" w:sz="0" w:space="0" w:color="auto"/>
                    <w:left w:val="none" w:sz="0" w:space="0" w:color="auto"/>
                    <w:bottom w:val="none" w:sz="0" w:space="0" w:color="auto"/>
                    <w:right w:val="none" w:sz="0" w:space="0" w:color="auto"/>
                  </w:divBdr>
                </w:div>
                <w:div w:id="1755084128">
                  <w:marLeft w:val="0"/>
                  <w:marRight w:val="0"/>
                  <w:marTop w:val="0"/>
                  <w:marBottom w:val="0"/>
                  <w:divBdr>
                    <w:top w:val="none" w:sz="0" w:space="0" w:color="auto"/>
                    <w:left w:val="none" w:sz="0" w:space="0" w:color="auto"/>
                    <w:bottom w:val="none" w:sz="0" w:space="0" w:color="auto"/>
                    <w:right w:val="none" w:sz="0" w:space="0" w:color="auto"/>
                  </w:divBdr>
                </w:div>
                <w:div w:id="36144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139388">
          <w:marLeft w:val="0"/>
          <w:marRight w:val="0"/>
          <w:marTop w:val="15"/>
          <w:marBottom w:val="0"/>
          <w:divBdr>
            <w:top w:val="none" w:sz="0" w:space="0" w:color="auto"/>
            <w:left w:val="none" w:sz="0" w:space="0" w:color="auto"/>
            <w:bottom w:val="none" w:sz="0" w:space="0" w:color="auto"/>
            <w:right w:val="none" w:sz="0" w:space="0" w:color="auto"/>
          </w:divBdr>
          <w:divsChild>
            <w:div w:id="1798987465">
              <w:marLeft w:val="0"/>
              <w:marRight w:val="0"/>
              <w:marTop w:val="0"/>
              <w:marBottom w:val="0"/>
              <w:divBdr>
                <w:top w:val="single" w:sz="6" w:space="0" w:color="808080"/>
                <w:left w:val="single" w:sz="6" w:space="0" w:color="808080"/>
                <w:bottom w:val="single" w:sz="6" w:space="0" w:color="808080"/>
                <w:right w:val="single" w:sz="6" w:space="0" w:color="808080"/>
              </w:divBdr>
              <w:divsChild>
                <w:div w:id="1523202761">
                  <w:marLeft w:val="0"/>
                  <w:marRight w:val="0"/>
                  <w:marTop w:val="0"/>
                  <w:marBottom w:val="0"/>
                  <w:divBdr>
                    <w:top w:val="none" w:sz="0" w:space="0" w:color="auto"/>
                    <w:left w:val="none" w:sz="0" w:space="0" w:color="auto"/>
                    <w:bottom w:val="none" w:sz="0" w:space="0" w:color="auto"/>
                    <w:right w:val="none" w:sz="0" w:space="0" w:color="auto"/>
                  </w:divBdr>
                </w:div>
                <w:div w:id="1366827982">
                  <w:marLeft w:val="0"/>
                  <w:marRight w:val="0"/>
                  <w:marTop w:val="0"/>
                  <w:marBottom w:val="0"/>
                  <w:divBdr>
                    <w:top w:val="none" w:sz="0" w:space="0" w:color="auto"/>
                    <w:left w:val="none" w:sz="0" w:space="0" w:color="auto"/>
                    <w:bottom w:val="none" w:sz="0" w:space="0" w:color="auto"/>
                    <w:right w:val="none" w:sz="0" w:space="0" w:color="auto"/>
                  </w:divBdr>
                </w:div>
                <w:div w:id="476151044">
                  <w:marLeft w:val="0"/>
                  <w:marRight w:val="0"/>
                  <w:marTop w:val="0"/>
                  <w:marBottom w:val="0"/>
                  <w:divBdr>
                    <w:top w:val="none" w:sz="0" w:space="0" w:color="auto"/>
                    <w:left w:val="none" w:sz="0" w:space="0" w:color="auto"/>
                    <w:bottom w:val="none" w:sz="0" w:space="0" w:color="auto"/>
                    <w:right w:val="none" w:sz="0" w:space="0" w:color="auto"/>
                  </w:divBdr>
                </w:div>
                <w:div w:id="785196013">
                  <w:marLeft w:val="0"/>
                  <w:marRight w:val="0"/>
                  <w:marTop w:val="0"/>
                  <w:marBottom w:val="0"/>
                  <w:divBdr>
                    <w:top w:val="none" w:sz="0" w:space="0" w:color="auto"/>
                    <w:left w:val="none" w:sz="0" w:space="0" w:color="auto"/>
                    <w:bottom w:val="none" w:sz="0" w:space="0" w:color="auto"/>
                    <w:right w:val="none" w:sz="0" w:space="0" w:color="auto"/>
                  </w:divBdr>
                </w:div>
                <w:div w:id="1344473999">
                  <w:marLeft w:val="0"/>
                  <w:marRight w:val="0"/>
                  <w:marTop w:val="0"/>
                  <w:marBottom w:val="0"/>
                  <w:divBdr>
                    <w:top w:val="none" w:sz="0" w:space="0" w:color="auto"/>
                    <w:left w:val="none" w:sz="0" w:space="0" w:color="auto"/>
                    <w:bottom w:val="none" w:sz="0" w:space="0" w:color="auto"/>
                    <w:right w:val="none" w:sz="0" w:space="0" w:color="auto"/>
                  </w:divBdr>
                </w:div>
                <w:div w:id="149834170">
                  <w:marLeft w:val="0"/>
                  <w:marRight w:val="0"/>
                  <w:marTop w:val="0"/>
                  <w:marBottom w:val="0"/>
                  <w:divBdr>
                    <w:top w:val="none" w:sz="0" w:space="0" w:color="auto"/>
                    <w:left w:val="none" w:sz="0" w:space="0" w:color="auto"/>
                    <w:bottom w:val="none" w:sz="0" w:space="0" w:color="auto"/>
                    <w:right w:val="none" w:sz="0" w:space="0" w:color="auto"/>
                  </w:divBdr>
                </w:div>
                <w:div w:id="2097048514">
                  <w:marLeft w:val="0"/>
                  <w:marRight w:val="0"/>
                  <w:marTop w:val="0"/>
                  <w:marBottom w:val="0"/>
                  <w:divBdr>
                    <w:top w:val="none" w:sz="0" w:space="0" w:color="auto"/>
                    <w:left w:val="none" w:sz="0" w:space="0" w:color="auto"/>
                    <w:bottom w:val="none" w:sz="0" w:space="0" w:color="auto"/>
                    <w:right w:val="none" w:sz="0" w:space="0" w:color="auto"/>
                  </w:divBdr>
                </w:div>
                <w:div w:id="193201027">
                  <w:marLeft w:val="0"/>
                  <w:marRight w:val="0"/>
                  <w:marTop w:val="0"/>
                  <w:marBottom w:val="0"/>
                  <w:divBdr>
                    <w:top w:val="none" w:sz="0" w:space="0" w:color="auto"/>
                    <w:left w:val="none" w:sz="0" w:space="0" w:color="auto"/>
                    <w:bottom w:val="none" w:sz="0" w:space="0" w:color="auto"/>
                    <w:right w:val="none" w:sz="0" w:space="0" w:color="auto"/>
                  </w:divBdr>
                </w:div>
                <w:div w:id="1331374442">
                  <w:marLeft w:val="0"/>
                  <w:marRight w:val="0"/>
                  <w:marTop w:val="0"/>
                  <w:marBottom w:val="0"/>
                  <w:divBdr>
                    <w:top w:val="none" w:sz="0" w:space="0" w:color="auto"/>
                    <w:left w:val="none" w:sz="0" w:space="0" w:color="auto"/>
                    <w:bottom w:val="none" w:sz="0" w:space="0" w:color="auto"/>
                    <w:right w:val="none" w:sz="0" w:space="0" w:color="auto"/>
                  </w:divBdr>
                </w:div>
                <w:div w:id="1249076966">
                  <w:marLeft w:val="0"/>
                  <w:marRight w:val="0"/>
                  <w:marTop w:val="0"/>
                  <w:marBottom w:val="0"/>
                  <w:divBdr>
                    <w:top w:val="none" w:sz="0" w:space="0" w:color="auto"/>
                    <w:left w:val="none" w:sz="0" w:space="0" w:color="auto"/>
                    <w:bottom w:val="none" w:sz="0" w:space="0" w:color="auto"/>
                    <w:right w:val="none" w:sz="0" w:space="0" w:color="auto"/>
                  </w:divBdr>
                </w:div>
                <w:div w:id="552277824">
                  <w:marLeft w:val="0"/>
                  <w:marRight w:val="0"/>
                  <w:marTop w:val="0"/>
                  <w:marBottom w:val="0"/>
                  <w:divBdr>
                    <w:top w:val="none" w:sz="0" w:space="0" w:color="auto"/>
                    <w:left w:val="none" w:sz="0" w:space="0" w:color="auto"/>
                    <w:bottom w:val="none" w:sz="0" w:space="0" w:color="auto"/>
                    <w:right w:val="none" w:sz="0" w:space="0" w:color="auto"/>
                  </w:divBdr>
                </w:div>
                <w:div w:id="1888762583">
                  <w:marLeft w:val="0"/>
                  <w:marRight w:val="0"/>
                  <w:marTop w:val="0"/>
                  <w:marBottom w:val="0"/>
                  <w:divBdr>
                    <w:top w:val="none" w:sz="0" w:space="0" w:color="auto"/>
                    <w:left w:val="none" w:sz="0" w:space="0" w:color="auto"/>
                    <w:bottom w:val="none" w:sz="0" w:space="0" w:color="auto"/>
                    <w:right w:val="none" w:sz="0" w:space="0" w:color="auto"/>
                  </w:divBdr>
                </w:div>
                <w:div w:id="1704164493">
                  <w:marLeft w:val="0"/>
                  <w:marRight w:val="0"/>
                  <w:marTop w:val="0"/>
                  <w:marBottom w:val="0"/>
                  <w:divBdr>
                    <w:top w:val="none" w:sz="0" w:space="0" w:color="auto"/>
                    <w:left w:val="none" w:sz="0" w:space="0" w:color="auto"/>
                    <w:bottom w:val="none" w:sz="0" w:space="0" w:color="auto"/>
                    <w:right w:val="none" w:sz="0" w:space="0" w:color="auto"/>
                  </w:divBdr>
                </w:div>
                <w:div w:id="174811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F6C3F-800E-4951-91EE-2E3586C5C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6712</Words>
  <Characters>38262</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Planet</dc:creator>
  <cp:keywords/>
  <dc:description/>
  <cp:lastModifiedBy>User</cp:lastModifiedBy>
  <cp:revision>2</cp:revision>
  <cp:lastPrinted>2026-08-03T10:35:00Z</cp:lastPrinted>
  <dcterms:created xsi:type="dcterms:W3CDTF">2026-09-14T11:32:00Z</dcterms:created>
  <dcterms:modified xsi:type="dcterms:W3CDTF">2026-09-14T11:32:00Z</dcterms:modified>
</cp:coreProperties>
</file>