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476" w:rsidRPr="004F1F62" w:rsidRDefault="00BD2476" w:rsidP="00251387">
      <w:pPr>
        <w:jc w:val="center"/>
        <w:rPr>
          <w:i/>
          <w:sz w:val="24"/>
          <w:szCs w:val="24"/>
          <w:lang w:val="sq-AL"/>
        </w:rPr>
      </w:pPr>
      <w:r w:rsidRPr="004F1F62">
        <w:rPr>
          <w:sz w:val="24"/>
          <w:szCs w:val="24"/>
          <w:lang w:val="sq-AL"/>
        </w:rPr>
        <w:object w:dxaOrig="6674" w:dyaOrig="10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42pt" o:ole="">
            <v:imagedata r:id="rId8" o:title=""/>
          </v:shape>
          <o:OLEObject Type="Embed" ProgID="MSPhotoEd.3" ShapeID="_x0000_i1025" DrawAspect="Content" ObjectID="_1846321905" r:id="rId9"/>
        </w:object>
      </w:r>
    </w:p>
    <w:p w:rsidR="00BD2476" w:rsidRPr="004F1F62" w:rsidRDefault="00BD2476" w:rsidP="00251387">
      <w:pPr>
        <w:jc w:val="center"/>
        <w:rPr>
          <w:b/>
          <w:bCs/>
          <w:iCs/>
          <w:sz w:val="24"/>
          <w:szCs w:val="24"/>
          <w:lang w:val="sq-AL"/>
        </w:rPr>
      </w:pPr>
      <w:r w:rsidRPr="004F1F62">
        <w:rPr>
          <w:b/>
          <w:bCs/>
          <w:iCs/>
          <w:sz w:val="24"/>
          <w:szCs w:val="24"/>
          <w:lang w:val="sq-AL"/>
        </w:rPr>
        <w:t>REPUBLIKA E SHQIPËRISË</w:t>
      </w:r>
    </w:p>
    <w:p w:rsidR="00BD2476" w:rsidRPr="004F1F62" w:rsidRDefault="00BD2476" w:rsidP="00251387">
      <w:pPr>
        <w:jc w:val="center"/>
        <w:rPr>
          <w:b/>
          <w:bCs/>
          <w:iCs/>
          <w:sz w:val="24"/>
          <w:szCs w:val="24"/>
          <w:lang w:val="sq-AL"/>
        </w:rPr>
      </w:pPr>
      <w:r w:rsidRPr="004F1F62">
        <w:rPr>
          <w:b/>
          <w:bCs/>
          <w:iCs/>
          <w:sz w:val="24"/>
          <w:szCs w:val="24"/>
          <w:lang w:val="sq-AL"/>
        </w:rPr>
        <w:t>GJYKATA E LARTË</w:t>
      </w:r>
    </w:p>
    <w:p w:rsidR="002E7390" w:rsidRPr="004F1F62" w:rsidRDefault="00BD2476" w:rsidP="00251387">
      <w:pPr>
        <w:pStyle w:val="Heading2"/>
        <w:spacing w:before="0"/>
        <w:jc w:val="center"/>
        <w:rPr>
          <w:rFonts w:ascii="Times New Roman" w:hAnsi="Times New Roman" w:cs="Times New Roman"/>
          <w:bCs w:val="0"/>
          <w:iCs/>
          <w:color w:val="auto"/>
          <w:sz w:val="24"/>
          <w:szCs w:val="24"/>
          <w:lang w:val="sq-AL"/>
        </w:rPr>
      </w:pPr>
      <w:r w:rsidRPr="004F1F62">
        <w:rPr>
          <w:rFonts w:ascii="Times New Roman" w:hAnsi="Times New Roman" w:cs="Times New Roman"/>
          <w:bCs w:val="0"/>
          <w:iCs/>
          <w:color w:val="auto"/>
          <w:sz w:val="24"/>
          <w:szCs w:val="24"/>
          <w:lang w:val="sq-AL"/>
        </w:rPr>
        <w:t xml:space="preserve">KOLEGJI </w:t>
      </w:r>
      <w:r w:rsidR="00763663" w:rsidRPr="004F1F62">
        <w:rPr>
          <w:rFonts w:ascii="Times New Roman" w:hAnsi="Times New Roman" w:cs="Times New Roman"/>
          <w:bCs w:val="0"/>
          <w:iCs/>
          <w:color w:val="auto"/>
          <w:sz w:val="24"/>
          <w:szCs w:val="24"/>
          <w:lang w:val="sq-AL"/>
        </w:rPr>
        <w:t>PENAL</w:t>
      </w:r>
    </w:p>
    <w:p w:rsidR="00FC48F7" w:rsidRPr="004F1F62" w:rsidRDefault="00FC48F7" w:rsidP="00251387">
      <w:pPr>
        <w:jc w:val="both"/>
        <w:rPr>
          <w:sz w:val="24"/>
          <w:szCs w:val="24"/>
          <w:lang w:val="sq-AL"/>
        </w:rPr>
      </w:pPr>
    </w:p>
    <w:p w:rsidR="002E7390" w:rsidRPr="004F1F62" w:rsidRDefault="002E7390" w:rsidP="00251387">
      <w:pPr>
        <w:jc w:val="both"/>
        <w:rPr>
          <w:rFonts w:eastAsia="Calibri"/>
          <w:b/>
          <w:sz w:val="24"/>
          <w:szCs w:val="24"/>
          <w:lang w:val="sq-AL"/>
        </w:rPr>
      </w:pPr>
      <w:r w:rsidRPr="004F1F62">
        <w:rPr>
          <w:rFonts w:eastAsia="Calibri"/>
          <w:b/>
          <w:bCs/>
          <w:sz w:val="24"/>
          <w:szCs w:val="24"/>
          <w:lang w:val="sq-AL"/>
        </w:rPr>
        <w:t>Nr.</w:t>
      </w:r>
      <w:r w:rsidRPr="004F1F62">
        <w:rPr>
          <w:rFonts w:eastAsia="Calibri"/>
          <w:bCs/>
          <w:sz w:val="24"/>
          <w:szCs w:val="24"/>
          <w:lang w:val="sq-AL"/>
        </w:rPr>
        <w:t xml:space="preserve"> </w:t>
      </w:r>
      <w:r w:rsidR="00251387" w:rsidRPr="004F1F62">
        <w:rPr>
          <w:rFonts w:eastAsia="Calibri"/>
          <w:b/>
          <w:bCs/>
          <w:sz w:val="24"/>
          <w:szCs w:val="24"/>
          <w:lang w:val="sq-AL"/>
        </w:rPr>
        <w:t>70003-00066</w:t>
      </w:r>
      <w:r w:rsidR="00C75743" w:rsidRPr="004F1F62">
        <w:rPr>
          <w:rFonts w:eastAsia="Calibri"/>
          <w:b/>
          <w:bCs/>
          <w:sz w:val="24"/>
          <w:szCs w:val="24"/>
          <w:lang w:val="sq-AL"/>
        </w:rPr>
        <w:t>-00-202</w:t>
      </w:r>
      <w:r w:rsidR="00C1239B" w:rsidRPr="004F1F62">
        <w:rPr>
          <w:rFonts w:eastAsia="Calibri"/>
          <w:b/>
          <w:bCs/>
          <w:sz w:val="24"/>
          <w:szCs w:val="24"/>
          <w:lang w:val="sq-AL"/>
        </w:rPr>
        <w:t>6</w:t>
      </w:r>
      <w:r w:rsidR="003732B5" w:rsidRPr="004F1F62">
        <w:rPr>
          <w:rFonts w:eastAsia="Calibri"/>
          <w:b/>
          <w:bCs/>
          <w:sz w:val="24"/>
          <w:szCs w:val="24"/>
          <w:lang w:val="sq-AL"/>
        </w:rPr>
        <w:t xml:space="preserve"> </w:t>
      </w:r>
      <w:r w:rsidRPr="004F1F62">
        <w:rPr>
          <w:rFonts w:eastAsia="Calibri"/>
          <w:b/>
          <w:bCs/>
          <w:sz w:val="24"/>
          <w:szCs w:val="24"/>
          <w:lang w:val="sq-AL"/>
        </w:rPr>
        <w:t>i Regj. Themeltar</w:t>
      </w:r>
      <w:r w:rsidRPr="004F1F62">
        <w:rPr>
          <w:b/>
          <w:sz w:val="24"/>
          <w:szCs w:val="24"/>
          <w:lang w:val="sq-AL"/>
        </w:rPr>
        <w:t xml:space="preserve"> </w:t>
      </w:r>
    </w:p>
    <w:p w:rsidR="002E7390" w:rsidRPr="004F1F62" w:rsidRDefault="002E7390" w:rsidP="00251387">
      <w:pPr>
        <w:jc w:val="both"/>
        <w:rPr>
          <w:rFonts w:eastAsia="Calibri"/>
          <w:b/>
          <w:bCs/>
          <w:sz w:val="24"/>
          <w:szCs w:val="24"/>
          <w:lang w:val="sq-AL"/>
        </w:rPr>
      </w:pPr>
      <w:r w:rsidRPr="004F1F62">
        <w:rPr>
          <w:rFonts w:eastAsia="Calibri"/>
          <w:b/>
          <w:bCs/>
          <w:sz w:val="24"/>
          <w:szCs w:val="24"/>
          <w:lang w:val="sq-AL"/>
        </w:rPr>
        <w:t xml:space="preserve">Nr. </w:t>
      </w:r>
      <w:bookmarkStart w:id="0" w:name="_GoBack"/>
      <w:r w:rsidRPr="004F1F62">
        <w:rPr>
          <w:rFonts w:eastAsia="Calibri"/>
          <w:b/>
          <w:bCs/>
          <w:sz w:val="24"/>
          <w:szCs w:val="24"/>
          <w:lang w:val="sq-AL"/>
        </w:rPr>
        <w:t>00-202</w:t>
      </w:r>
      <w:r w:rsidR="005D7B26" w:rsidRPr="004F1F62">
        <w:rPr>
          <w:rFonts w:eastAsia="Calibri"/>
          <w:b/>
          <w:bCs/>
          <w:sz w:val="24"/>
          <w:szCs w:val="24"/>
          <w:lang w:val="sq-AL"/>
        </w:rPr>
        <w:t>6</w:t>
      </w:r>
      <w:r w:rsidRPr="004F1F62">
        <w:rPr>
          <w:rFonts w:eastAsia="Calibri"/>
          <w:b/>
          <w:bCs/>
          <w:sz w:val="24"/>
          <w:szCs w:val="24"/>
          <w:lang w:val="sq-AL"/>
        </w:rPr>
        <w:t>-</w:t>
      </w:r>
      <w:r w:rsidR="00830AA7" w:rsidRPr="004F1F62">
        <w:rPr>
          <w:rFonts w:eastAsia="Calibri"/>
          <w:b/>
          <w:bCs/>
          <w:sz w:val="24"/>
          <w:szCs w:val="24"/>
          <w:lang w:val="sq-AL"/>
        </w:rPr>
        <w:t xml:space="preserve"> </w:t>
      </w:r>
      <w:r w:rsidR="00D05241">
        <w:rPr>
          <w:rFonts w:eastAsia="Calibri"/>
          <w:b/>
          <w:bCs/>
          <w:sz w:val="24"/>
          <w:szCs w:val="24"/>
          <w:lang w:val="sq-AL"/>
        </w:rPr>
        <w:t>647</w:t>
      </w:r>
      <w:r w:rsidR="00251387" w:rsidRPr="004F1F62">
        <w:rPr>
          <w:rFonts w:eastAsia="Calibri"/>
          <w:b/>
          <w:bCs/>
          <w:sz w:val="24"/>
          <w:szCs w:val="24"/>
          <w:lang w:val="sq-AL"/>
        </w:rPr>
        <w:t xml:space="preserve"> </w:t>
      </w:r>
      <w:r w:rsidRPr="004F1F62">
        <w:rPr>
          <w:rFonts w:eastAsia="Calibri"/>
          <w:b/>
          <w:bCs/>
          <w:sz w:val="24"/>
          <w:szCs w:val="24"/>
          <w:lang w:val="sq-AL"/>
        </w:rPr>
        <w:t>i Vendimit</w:t>
      </w:r>
      <w:r w:rsidR="00830AA7" w:rsidRPr="004F1F62">
        <w:rPr>
          <w:rFonts w:eastAsia="Calibri"/>
          <w:b/>
          <w:bCs/>
          <w:sz w:val="24"/>
          <w:szCs w:val="24"/>
          <w:lang w:val="sq-AL"/>
        </w:rPr>
        <w:t xml:space="preserve"> </w:t>
      </w:r>
      <w:r w:rsidR="00251387" w:rsidRPr="004F1F62">
        <w:rPr>
          <w:rFonts w:eastAsia="Calibri"/>
          <w:b/>
          <w:bCs/>
          <w:sz w:val="24"/>
          <w:szCs w:val="24"/>
          <w:lang w:val="sq-AL"/>
        </w:rPr>
        <w:t>(68)</w:t>
      </w:r>
      <w:bookmarkEnd w:id="0"/>
    </w:p>
    <w:p w:rsidR="00AB2330" w:rsidRPr="004F1F62" w:rsidRDefault="00AB2330" w:rsidP="00251387">
      <w:pPr>
        <w:ind w:left="360"/>
        <w:jc w:val="both"/>
        <w:rPr>
          <w:b/>
          <w:bCs/>
          <w:sz w:val="24"/>
          <w:szCs w:val="24"/>
          <w:lang w:val="sq-AL"/>
        </w:rPr>
      </w:pPr>
    </w:p>
    <w:p w:rsidR="009C3EBF" w:rsidRPr="004F1F62" w:rsidRDefault="002E7390" w:rsidP="00251387">
      <w:pPr>
        <w:ind w:left="360"/>
        <w:jc w:val="center"/>
        <w:rPr>
          <w:b/>
          <w:bCs/>
          <w:sz w:val="24"/>
          <w:szCs w:val="24"/>
          <w:lang w:val="sq-AL"/>
        </w:rPr>
      </w:pPr>
      <w:r w:rsidRPr="004F1F62">
        <w:rPr>
          <w:b/>
          <w:bCs/>
          <w:sz w:val="24"/>
          <w:szCs w:val="24"/>
          <w:lang w:val="sq-AL"/>
        </w:rPr>
        <w:t>VENDIM</w:t>
      </w:r>
    </w:p>
    <w:p w:rsidR="009C3EBF" w:rsidRPr="004F1F62" w:rsidRDefault="009C3EBF" w:rsidP="00251387">
      <w:pPr>
        <w:ind w:left="360"/>
        <w:jc w:val="center"/>
        <w:rPr>
          <w:b/>
          <w:bCs/>
          <w:sz w:val="24"/>
          <w:szCs w:val="24"/>
          <w:lang w:val="sq-AL"/>
        </w:rPr>
      </w:pPr>
    </w:p>
    <w:p w:rsidR="009C3EBF" w:rsidRPr="004F1F62" w:rsidRDefault="009C3EBF" w:rsidP="00251387">
      <w:pPr>
        <w:ind w:left="360"/>
        <w:jc w:val="center"/>
        <w:rPr>
          <w:b/>
          <w:bCs/>
          <w:sz w:val="24"/>
          <w:szCs w:val="24"/>
          <w:lang w:val="sq-AL"/>
        </w:rPr>
      </w:pPr>
      <w:r w:rsidRPr="004F1F62">
        <w:rPr>
          <w:b/>
          <w:bCs/>
          <w:sz w:val="24"/>
          <w:szCs w:val="24"/>
          <w:lang w:val="sq-AL"/>
        </w:rPr>
        <w:t>N</w:t>
      </w:r>
      <w:r w:rsidR="00A60F5C" w:rsidRPr="004F1F62">
        <w:rPr>
          <w:b/>
          <w:bCs/>
          <w:sz w:val="24"/>
          <w:szCs w:val="24"/>
          <w:lang w:val="sq-AL"/>
        </w:rPr>
        <w:t>Ë</w:t>
      </w:r>
      <w:r w:rsidRPr="004F1F62">
        <w:rPr>
          <w:b/>
          <w:bCs/>
          <w:sz w:val="24"/>
          <w:szCs w:val="24"/>
          <w:lang w:val="sq-AL"/>
        </w:rPr>
        <w:t xml:space="preserve"> EM</w:t>
      </w:r>
      <w:r w:rsidR="00A60F5C" w:rsidRPr="004F1F62">
        <w:rPr>
          <w:b/>
          <w:bCs/>
          <w:sz w:val="24"/>
          <w:szCs w:val="24"/>
          <w:lang w:val="sq-AL"/>
        </w:rPr>
        <w:t>Ë</w:t>
      </w:r>
      <w:r w:rsidRPr="004F1F62">
        <w:rPr>
          <w:b/>
          <w:bCs/>
          <w:sz w:val="24"/>
          <w:szCs w:val="24"/>
          <w:lang w:val="sq-AL"/>
        </w:rPr>
        <w:t>R T</w:t>
      </w:r>
      <w:r w:rsidR="00A60F5C" w:rsidRPr="004F1F62">
        <w:rPr>
          <w:b/>
          <w:bCs/>
          <w:sz w:val="24"/>
          <w:szCs w:val="24"/>
          <w:lang w:val="sq-AL"/>
        </w:rPr>
        <w:t>Ë</w:t>
      </w:r>
      <w:r w:rsidRPr="004F1F62">
        <w:rPr>
          <w:b/>
          <w:bCs/>
          <w:sz w:val="24"/>
          <w:szCs w:val="24"/>
          <w:lang w:val="sq-AL"/>
        </w:rPr>
        <w:t xml:space="preserve"> REPUBLIK</w:t>
      </w:r>
      <w:r w:rsidR="00A60F5C" w:rsidRPr="004F1F62">
        <w:rPr>
          <w:b/>
          <w:bCs/>
          <w:sz w:val="24"/>
          <w:szCs w:val="24"/>
          <w:lang w:val="sq-AL"/>
        </w:rPr>
        <w:t>Ë</w:t>
      </w:r>
      <w:r w:rsidRPr="004F1F62">
        <w:rPr>
          <w:b/>
          <w:bCs/>
          <w:sz w:val="24"/>
          <w:szCs w:val="24"/>
          <w:lang w:val="sq-AL"/>
        </w:rPr>
        <w:t>S</w:t>
      </w:r>
    </w:p>
    <w:p w:rsidR="002E7390" w:rsidRPr="004F1F62" w:rsidRDefault="002E7390" w:rsidP="00251387">
      <w:pPr>
        <w:jc w:val="both"/>
        <w:rPr>
          <w:b/>
          <w:bCs/>
          <w:sz w:val="24"/>
          <w:szCs w:val="24"/>
          <w:lang w:val="sq-AL"/>
        </w:rPr>
      </w:pPr>
    </w:p>
    <w:p w:rsidR="002E7390" w:rsidRPr="004F1F62" w:rsidRDefault="002E7390" w:rsidP="00251387">
      <w:pPr>
        <w:jc w:val="both"/>
        <w:rPr>
          <w:sz w:val="24"/>
          <w:szCs w:val="24"/>
          <w:lang w:val="sq-AL"/>
        </w:rPr>
      </w:pPr>
      <w:r w:rsidRPr="004F1F62">
        <w:rPr>
          <w:sz w:val="24"/>
          <w:szCs w:val="24"/>
          <w:lang w:val="sq-AL"/>
        </w:rPr>
        <w:t>Kolegji Penal i Gjykatës së Lartë i përbërë nga gjyqtarët:</w:t>
      </w:r>
    </w:p>
    <w:p w:rsidR="002E7390" w:rsidRPr="004F1F62" w:rsidRDefault="002E7390" w:rsidP="00251387">
      <w:pPr>
        <w:jc w:val="both"/>
        <w:rPr>
          <w:sz w:val="24"/>
          <w:szCs w:val="24"/>
          <w:lang w:val="sq-AL"/>
        </w:rPr>
      </w:pPr>
    </w:p>
    <w:p w:rsidR="00FC4EBB" w:rsidRPr="004F1F62" w:rsidRDefault="00FC4EBB" w:rsidP="00251387">
      <w:pPr>
        <w:ind w:left="2880"/>
        <w:jc w:val="both"/>
        <w:rPr>
          <w:b/>
          <w:bCs/>
          <w:sz w:val="24"/>
          <w:szCs w:val="24"/>
          <w:lang w:val="sq-AL"/>
        </w:rPr>
      </w:pPr>
      <w:r w:rsidRPr="004F1F62">
        <w:rPr>
          <w:b/>
          <w:bCs/>
          <w:sz w:val="24"/>
          <w:szCs w:val="24"/>
          <w:lang w:val="sq-AL"/>
        </w:rPr>
        <w:t>Ilir PANDA</w:t>
      </w:r>
      <w:r w:rsidRPr="004F1F62">
        <w:rPr>
          <w:b/>
          <w:bCs/>
          <w:sz w:val="24"/>
          <w:szCs w:val="24"/>
          <w:lang w:val="sq-AL"/>
        </w:rPr>
        <w:tab/>
        <w:t xml:space="preserve">           Kryesues</w:t>
      </w:r>
    </w:p>
    <w:p w:rsidR="00FC4EBB" w:rsidRPr="004F1F62" w:rsidRDefault="00A00C16" w:rsidP="00251387">
      <w:pPr>
        <w:ind w:left="2880"/>
        <w:jc w:val="both"/>
        <w:rPr>
          <w:b/>
          <w:bCs/>
          <w:sz w:val="24"/>
          <w:szCs w:val="24"/>
          <w:lang w:val="sq-AL"/>
        </w:rPr>
      </w:pPr>
      <w:r w:rsidRPr="004F1F62">
        <w:rPr>
          <w:b/>
          <w:bCs/>
          <w:sz w:val="24"/>
          <w:szCs w:val="24"/>
          <w:lang w:val="sq-AL"/>
        </w:rPr>
        <w:t>Sokol BINAJ</w:t>
      </w:r>
      <w:r w:rsidR="004340E6" w:rsidRPr="004F1F62">
        <w:rPr>
          <w:b/>
          <w:bCs/>
          <w:sz w:val="24"/>
          <w:szCs w:val="24"/>
          <w:lang w:val="sq-AL"/>
        </w:rPr>
        <w:t xml:space="preserve">       </w:t>
      </w:r>
      <w:r w:rsidR="00983C1D" w:rsidRPr="004F1F62">
        <w:rPr>
          <w:b/>
          <w:bCs/>
          <w:sz w:val="24"/>
          <w:szCs w:val="24"/>
          <w:lang w:val="sq-AL"/>
        </w:rPr>
        <w:tab/>
      </w:r>
      <w:r w:rsidR="00FC4EBB" w:rsidRPr="004F1F62">
        <w:rPr>
          <w:b/>
          <w:bCs/>
          <w:sz w:val="24"/>
          <w:szCs w:val="24"/>
          <w:lang w:val="sq-AL"/>
        </w:rPr>
        <w:t>Anëtar</w:t>
      </w:r>
    </w:p>
    <w:p w:rsidR="00FC4EBB" w:rsidRPr="004F1F62" w:rsidRDefault="00A00C16" w:rsidP="00251387">
      <w:pPr>
        <w:ind w:left="2880"/>
        <w:jc w:val="both"/>
        <w:rPr>
          <w:b/>
          <w:bCs/>
          <w:sz w:val="24"/>
          <w:szCs w:val="24"/>
          <w:lang w:val="sq-AL"/>
        </w:rPr>
      </w:pPr>
      <w:r w:rsidRPr="004F1F62">
        <w:rPr>
          <w:b/>
          <w:bCs/>
          <w:sz w:val="24"/>
          <w:szCs w:val="24"/>
          <w:lang w:val="sq-AL"/>
        </w:rPr>
        <w:t xml:space="preserve">Sandër SIMONI       </w:t>
      </w:r>
      <w:r w:rsidR="0002687E" w:rsidRPr="004F1F62">
        <w:rPr>
          <w:b/>
          <w:bCs/>
          <w:sz w:val="24"/>
          <w:szCs w:val="24"/>
          <w:lang w:val="sq-AL"/>
        </w:rPr>
        <w:tab/>
      </w:r>
      <w:r w:rsidR="00FC4EBB" w:rsidRPr="004F1F62">
        <w:rPr>
          <w:b/>
          <w:bCs/>
          <w:sz w:val="24"/>
          <w:szCs w:val="24"/>
          <w:lang w:val="sq-AL"/>
        </w:rPr>
        <w:t>Anëtar</w:t>
      </w:r>
    </w:p>
    <w:p w:rsidR="00642B6E" w:rsidRPr="004F1F62" w:rsidRDefault="002E7390" w:rsidP="00251387">
      <w:pPr>
        <w:jc w:val="both"/>
        <w:rPr>
          <w:b/>
          <w:sz w:val="24"/>
          <w:szCs w:val="24"/>
          <w:lang w:val="sq-AL"/>
        </w:rPr>
      </w:pPr>
      <w:r w:rsidRPr="004F1F62">
        <w:rPr>
          <w:b/>
          <w:bCs/>
          <w:sz w:val="24"/>
          <w:szCs w:val="24"/>
          <w:lang w:val="sq-AL"/>
        </w:rPr>
        <w:tab/>
      </w:r>
      <w:r w:rsidRPr="004F1F62">
        <w:rPr>
          <w:b/>
          <w:bCs/>
          <w:sz w:val="24"/>
          <w:szCs w:val="24"/>
          <w:lang w:val="sq-AL"/>
        </w:rPr>
        <w:tab/>
      </w:r>
      <w:r w:rsidRPr="004F1F62">
        <w:rPr>
          <w:b/>
          <w:bCs/>
          <w:sz w:val="24"/>
          <w:szCs w:val="24"/>
          <w:lang w:val="sq-AL"/>
        </w:rPr>
        <w:tab/>
      </w:r>
      <w:r w:rsidRPr="004F1F62">
        <w:rPr>
          <w:b/>
          <w:sz w:val="24"/>
          <w:szCs w:val="24"/>
          <w:lang w:val="sq-AL"/>
        </w:rPr>
        <w:t xml:space="preserve"> </w:t>
      </w:r>
    </w:p>
    <w:p w:rsidR="002E7390" w:rsidRPr="004F1F62" w:rsidRDefault="00D64F7D" w:rsidP="00251387">
      <w:pPr>
        <w:jc w:val="both"/>
        <w:rPr>
          <w:sz w:val="24"/>
          <w:szCs w:val="24"/>
          <w:lang w:val="sq-AL"/>
        </w:rPr>
      </w:pPr>
      <w:r w:rsidRPr="004F1F62">
        <w:rPr>
          <w:sz w:val="24"/>
          <w:szCs w:val="24"/>
          <w:lang w:val="sq-AL"/>
        </w:rPr>
        <w:t>s</w:t>
      </w:r>
      <w:r w:rsidR="002E7390" w:rsidRPr="004F1F62">
        <w:rPr>
          <w:sz w:val="24"/>
          <w:szCs w:val="24"/>
          <w:lang w:val="sq-AL"/>
        </w:rPr>
        <w:t xml:space="preserve">ot në datë </w:t>
      </w:r>
      <w:r w:rsidR="00251387" w:rsidRPr="004F1F62">
        <w:rPr>
          <w:sz w:val="24"/>
          <w:szCs w:val="24"/>
          <w:lang w:val="sq-AL"/>
        </w:rPr>
        <w:t>14</w:t>
      </w:r>
      <w:r w:rsidR="00B23FF7" w:rsidRPr="004F1F62">
        <w:rPr>
          <w:sz w:val="24"/>
          <w:szCs w:val="24"/>
          <w:lang w:val="sq-AL"/>
        </w:rPr>
        <w:t>.04</w:t>
      </w:r>
      <w:r w:rsidR="005D7B26" w:rsidRPr="004F1F62">
        <w:rPr>
          <w:sz w:val="24"/>
          <w:szCs w:val="24"/>
          <w:lang w:val="sq-AL"/>
        </w:rPr>
        <w:t>.2026</w:t>
      </w:r>
      <w:r w:rsidR="00D478FE" w:rsidRPr="004F1F62">
        <w:rPr>
          <w:sz w:val="24"/>
          <w:szCs w:val="24"/>
          <w:lang w:val="sq-AL"/>
        </w:rPr>
        <w:t>,</w:t>
      </w:r>
      <w:r w:rsidR="002E7390" w:rsidRPr="004F1F62">
        <w:rPr>
          <w:sz w:val="24"/>
          <w:szCs w:val="24"/>
          <w:lang w:val="sq-AL"/>
        </w:rPr>
        <w:t xml:space="preserve"> mori në shqyrtim në </w:t>
      </w:r>
      <w:r w:rsidR="00251387" w:rsidRPr="004F1F62">
        <w:rPr>
          <w:sz w:val="24"/>
          <w:szCs w:val="24"/>
          <w:lang w:val="sq-AL"/>
        </w:rPr>
        <w:t>seancë gjyqësore</w:t>
      </w:r>
      <w:r w:rsidR="002E7390" w:rsidRPr="004F1F62">
        <w:rPr>
          <w:sz w:val="24"/>
          <w:szCs w:val="24"/>
          <w:lang w:val="sq-AL"/>
        </w:rPr>
        <w:t>, çështjen penale</w:t>
      </w:r>
      <w:r w:rsidR="00386E25" w:rsidRPr="004F1F62">
        <w:rPr>
          <w:sz w:val="24"/>
          <w:szCs w:val="24"/>
          <w:lang w:val="sq-AL"/>
        </w:rPr>
        <w:t xml:space="preserve"> nr</w:t>
      </w:r>
      <w:r w:rsidR="00A82B7F" w:rsidRPr="004F1F62">
        <w:rPr>
          <w:sz w:val="24"/>
          <w:szCs w:val="24"/>
          <w:lang w:val="sq-AL"/>
        </w:rPr>
        <w:t>.</w:t>
      </w:r>
      <w:r w:rsidR="00A00C16" w:rsidRPr="004F1F62">
        <w:rPr>
          <w:sz w:val="24"/>
          <w:szCs w:val="24"/>
          <w:lang w:val="sq-AL"/>
        </w:rPr>
        <w:t xml:space="preserve"> </w:t>
      </w:r>
      <w:r w:rsidR="00251387" w:rsidRPr="004F1F62">
        <w:rPr>
          <w:sz w:val="24"/>
          <w:szCs w:val="24"/>
          <w:lang w:val="sq-AL"/>
        </w:rPr>
        <w:t>70003-00066</w:t>
      </w:r>
      <w:r w:rsidR="00C75743" w:rsidRPr="004F1F62">
        <w:rPr>
          <w:sz w:val="24"/>
          <w:szCs w:val="24"/>
          <w:lang w:val="sq-AL"/>
        </w:rPr>
        <w:t>-00-202</w:t>
      </w:r>
      <w:r w:rsidR="00C1239B" w:rsidRPr="004F1F62">
        <w:rPr>
          <w:sz w:val="24"/>
          <w:szCs w:val="24"/>
          <w:lang w:val="sq-AL"/>
        </w:rPr>
        <w:t>6</w:t>
      </w:r>
      <w:r w:rsidR="002E7390" w:rsidRPr="004F1F62">
        <w:rPr>
          <w:sz w:val="24"/>
          <w:szCs w:val="24"/>
          <w:lang w:val="sq-AL"/>
        </w:rPr>
        <w:t>, që i përket:</w:t>
      </w:r>
    </w:p>
    <w:p w:rsidR="00C1239B" w:rsidRPr="004F1F62" w:rsidRDefault="00C1239B" w:rsidP="00251387">
      <w:pPr>
        <w:tabs>
          <w:tab w:val="left" w:pos="2160"/>
        </w:tabs>
        <w:jc w:val="both"/>
        <w:rPr>
          <w:b/>
          <w:sz w:val="24"/>
          <w:szCs w:val="24"/>
          <w:lang w:val="sq-AL"/>
        </w:rPr>
      </w:pPr>
    </w:p>
    <w:p w:rsidR="00251387" w:rsidRPr="004F1F62" w:rsidRDefault="00251387" w:rsidP="00251387">
      <w:pPr>
        <w:tabs>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 w:val="left" w:pos="10080"/>
        </w:tabs>
        <w:ind w:left="3600" w:hanging="3600"/>
        <w:jc w:val="both"/>
        <w:rPr>
          <w:sz w:val="24"/>
          <w:szCs w:val="24"/>
          <w:lang w:val="sq-AL"/>
        </w:rPr>
      </w:pPr>
      <w:r w:rsidRPr="004F1F62">
        <w:rPr>
          <w:b/>
          <w:sz w:val="24"/>
          <w:szCs w:val="24"/>
          <w:lang w:val="sq-AL"/>
        </w:rPr>
        <w:t>KËRKUES:</w:t>
      </w:r>
      <w:r w:rsidRPr="004F1F62">
        <w:rPr>
          <w:b/>
          <w:sz w:val="24"/>
          <w:szCs w:val="24"/>
          <w:lang w:val="sq-AL"/>
        </w:rPr>
        <w:tab/>
      </w:r>
      <w:r w:rsidRPr="004F1F62">
        <w:rPr>
          <w:b/>
          <w:sz w:val="24"/>
          <w:szCs w:val="24"/>
          <w:lang w:val="sq-AL"/>
        </w:rPr>
        <w:tab/>
      </w:r>
      <w:r w:rsidRPr="004F1F62">
        <w:rPr>
          <w:b/>
          <w:sz w:val="24"/>
          <w:szCs w:val="24"/>
          <w:lang w:val="sq-AL"/>
        </w:rPr>
        <w:tab/>
        <w:t xml:space="preserve"> </w:t>
      </w:r>
      <w:r w:rsidRPr="004F1F62">
        <w:rPr>
          <w:sz w:val="24"/>
          <w:szCs w:val="24"/>
          <w:lang w:val="sq-AL"/>
        </w:rPr>
        <w:t>Prokuroria pranë Gjykatës së Shkallës së Parë të Juridiksionit të</w:t>
      </w:r>
    </w:p>
    <w:p w:rsidR="00251387" w:rsidRPr="004F1F62" w:rsidRDefault="00251387" w:rsidP="00251387">
      <w:pPr>
        <w:tabs>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 w:val="left" w:pos="10080"/>
        </w:tabs>
        <w:ind w:left="3600" w:hanging="3600"/>
        <w:jc w:val="both"/>
        <w:rPr>
          <w:sz w:val="24"/>
          <w:szCs w:val="24"/>
          <w:lang w:val="sq-AL"/>
        </w:rPr>
      </w:pPr>
      <w:r w:rsidRPr="004F1F62">
        <w:rPr>
          <w:b/>
          <w:sz w:val="24"/>
          <w:szCs w:val="24"/>
          <w:lang w:val="sq-AL"/>
        </w:rPr>
        <w:tab/>
      </w:r>
      <w:r w:rsidRPr="004F1F62">
        <w:rPr>
          <w:b/>
          <w:sz w:val="24"/>
          <w:szCs w:val="24"/>
          <w:lang w:val="sq-AL"/>
        </w:rPr>
        <w:tab/>
      </w:r>
      <w:r w:rsidRPr="004F1F62">
        <w:rPr>
          <w:b/>
          <w:sz w:val="24"/>
          <w:szCs w:val="24"/>
          <w:lang w:val="sq-AL"/>
        </w:rPr>
        <w:tab/>
      </w:r>
      <w:r w:rsidRPr="004F1F62">
        <w:rPr>
          <w:b/>
          <w:sz w:val="24"/>
          <w:szCs w:val="24"/>
          <w:lang w:val="sq-AL"/>
        </w:rPr>
        <w:tab/>
        <w:t xml:space="preserve"> </w:t>
      </w:r>
      <w:r w:rsidRPr="004F1F62">
        <w:rPr>
          <w:sz w:val="24"/>
          <w:szCs w:val="24"/>
          <w:lang w:val="sq-AL"/>
        </w:rPr>
        <w:t>Përgjithshëm Tiranë,</w:t>
      </w:r>
    </w:p>
    <w:p w:rsidR="00251387" w:rsidRPr="004F1F62" w:rsidRDefault="00251387" w:rsidP="00251387">
      <w:pPr>
        <w:tabs>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 w:val="left" w:pos="10080"/>
        </w:tabs>
        <w:rPr>
          <w:sz w:val="24"/>
          <w:szCs w:val="24"/>
          <w:lang w:val="sq-AL"/>
        </w:rPr>
      </w:pPr>
    </w:p>
    <w:p w:rsidR="00251387" w:rsidRPr="004F1F62" w:rsidRDefault="00251387" w:rsidP="00251387">
      <w:pPr>
        <w:tabs>
          <w:tab w:val="left" w:pos="720"/>
          <w:tab w:val="left" w:pos="1440"/>
          <w:tab w:val="left" w:pos="2160"/>
          <w:tab w:val="left" w:pos="2835"/>
          <w:tab w:val="left" w:pos="3600"/>
          <w:tab w:val="left" w:pos="4320"/>
          <w:tab w:val="left" w:pos="5040"/>
          <w:tab w:val="left" w:pos="5760"/>
          <w:tab w:val="left" w:pos="6480"/>
          <w:tab w:val="left" w:pos="7200"/>
          <w:tab w:val="left" w:pos="7920"/>
          <w:tab w:val="left" w:pos="8640"/>
          <w:tab w:val="left" w:pos="9360"/>
          <w:tab w:val="left" w:pos="10080"/>
        </w:tabs>
        <w:rPr>
          <w:sz w:val="24"/>
          <w:szCs w:val="24"/>
          <w:lang w:val="sq-AL"/>
        </w:rPr>
      </w:pPr>
      <w:r w:rsidRPr="004F1F62">
        <w:rPr>
          <w:b/>
          <w:sz w:val="24"/>
          <w:szCs w:val="24"/>
          <w:lang w:val="sq-AL"/>
        </w:rPr>
        <w:t xml:space="preserve">KUNDËR:  </w:t>
      </w:r>
      <w:r w:rsidRPr="004F1F62">
        <w:rPr>
          <w:sz w:val="24"/>
          <w:szCs w:val="24"/>
          <w:lang w:val="sq-AL"/>
        </w:rPr>
        <w:tab/>
      </w:r>
      <w:r w:rsidRPr="004F1F62">
        <w:rPr>
          <w:sz w:val="24"/>
          <w:szCs w:val="24"/>
          <w:lang w:val="sq-AL"/>
        </w:rPr>
        <w:tab/>
        <w:t xml:space="preserve">      Sohel Rana Sheikh,</w:t>
      </w:r>
    </w:p>
    <w:p w:rsidR="00251387" w:rsidRPr="004F1F62" w:rsidRDefault="00251387" w:rsidP="00251387">
      <w:pPr>
        <w:tabs>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 w:val="left" w:pos="10080"/>
        </w:tabs>
        <w:rPr>
          <w:b/>
          <w:sz w:val="24"/>
          <w:szCs w:val="24"/>
          <w:lang w:val="sq-AL"/>
        </w:rPr>
      </w:pPr>
    </w:p>
    <w:p w:rsidR="00251387" w:rsidRPr="004F1F62" w:rsidRDefault="00251387" w:rsidP="00251387">
      <w:pPr>
        <w:tabs>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2520" w:hanging="2520"/>
        <w:jc w:val="both"/>
        <w:rPr>
          <w:sz w:val="24"/>
          <w:szCs w:val="24"/>
          <w:lang w:val="sq-AL"/>
        </w:rPr>
      </w:pPr>
      <w:r w:rsidRPr="004F1F62">
        <w:rPr>
          <w:b/>
          <w:sz w:val="24"/>
          <w:szCs w:val="24"/>
          <w:lang w:val="sq-AL"/>
        </w:rPr>
        <w:t xml:space="preserve">OBJEKTI: </w:t>
      </w:r>
      <w:r w:rsidRPr="004F1F62">
        <w:rPr>
          <w:sz w:val="24"/>
          <w:szCs w:val="24"/>
          <w:lang w:val="sq-AL"/>
        </w:rPr>
        <w:tab/>
      </w:r>
      <w:r w:rsidRPr="004F1F62">
        <w:rPr>
          <w:sz w:val="24"/>
          <w:szCs w:val="24"/>
          <w:lang w:val="sq-AL"/>
        </w:rPr>
        <w:tab/>
        <w:t>Ekstradimin e shtetasit Sohel Rana Sheikh, pasi në ngarkim të tij është duke u zhvilluar një proces penal nga autoritete</w:t>
      </w:r>
      <w:r w:rsidR="00E41EAD" w:rsidRPr="004F1F62">
        <w:rPr>
          <w:sz w:val="24"/>
          <w:szCs w:val="24"/>
          <w:lang w:val="sq-AL"/>
        </w:rPr>
        <w:t>t</w:t>
      </w:r>
      <w:r w:rsidRPr="004F1F62">
        <w:rPr>
          <w:sz w:val="24"/>
          <w:szCs w:val="24"/>
          <w:lang w:val="sq-AL"/>
        </w:rPr>
        <w:t xml:space="preserve"> e drejtësisë në Bangladesh.</w:t>
      </w:r>
    </w:p>
    <w:p w:rsidR="00251387" w:rsidRPr="004F1F62" w:rsidRDefault="00251387" w:rsidP="00251387">
      <w:pPr>
        <w:tabs>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2880" w:hanging="2880"/>
        <w:jc w:val="both"/>
        <w:rPr>
          <w:b/>
          <w:sz w:val="24"/>
          <w:szCs w:val="24"/>
          <w:lang w:val="sq-AL"/>
        </w:rPr>
      </w:pPr>
      <w:r w:rsidRPr="004F1F62">
        <w:rPr>
          <w:sz w:val="24"/>
          <w:szCs w:val="24"/>
          <w:lang w:val="sq-AL"/>
        </w:rPr>
        <w:tab/>
      </w:r>
      <w:r w:rsidRPr="004F1F62">
        <w:rPr>
          <w:sz w:val="24"/>
          <w:szCs w:val="24"/>
          <w:lang w:val="sq-AL"/>
        </w:rPr>
        <w:tab/>
      </w:r>
    </w:p>
    <w:p w:rsidR="00251387" w:rsidRPr="004F1F62" w:rsidRDefault="00251387" w:rsidP="00251387">
      <w:pPr>
        <w:tabs>
          <w:tab w:val="left" w:pos="720"/>
          <w:tab w:val="left" w:pos="1440"/>
          <w:tab w:val="left" w:pos="2520"/>
          <w:tab w:val="left" w:pos="3600"/>
          <w:tab w:val="left" w:pos="4320"/>
          <w:tab w:val="left" w:pos="5040"/>
          <w:tab w:val="left" w:pos="5760"/>
          <w:tab w:val="left" w:pos="6480"/>
          <w:tab w:val="left" w:pos="7200"/>
          <w:tab w:val="left" w:pos="7920"/>
          <w:tab w:val="left" w:pos="8640"/>
          <w:tab w:val="left" w:pos="9360"/>
          <w:tab w:val="left" w:pos="10080"/>
        </w:tabs>
        <w:ind w:left="2520" w:hanging="2520"/>
        <w:jc w:val="both"/>
        <w:rPr>
          <w:i/>
          <w:sz w:val="24"/>
          <w:szCs w:val="24"/>
          <w:lang w:val="sq-AL"/>
        </w:rPr>
      </w:pPr>
      <w:r w:rsidRPr="004F1F62">
        <w:rPr>
          <w:b/>
          <w:sz w:val="24"/>
          <w:szCs w:val="24"/>
          <w:lang w:val="sq-AL"/>
        </w:rPr>
        <w:t>BAZA LIGJORE:</w:t>
      </w:r>
      <w:r w:rsidRPr="004F1F62">
        <w:rPr>
          <w:sz w:val="24"/>
          <w:szCs w:val="24"/>
          <w:lang w:val="sq-AL"/>
        </w:rPr>
        <w:t xml:space="preserve"> </w:t>
      </w:r>
      <w:r w:rsidRPr="004F1F62">
        <w:rPr>
          <w:sz w:val="24"/>
          <w:szCs w:val="24"/>
          <w:lang w:val="sq-AL"/>
        </w:rPr>
        <w:tab/>
      </w:r>
      <w:r w:rsidRPr="004F1F62">
        <w:rPr>
          <w:sz w:val="24"/>
          <w:szCs w:val="24"/>
          <w:u w:color="000000"/>
          <w:lang w:val="sq-AL"/>
        </w:rPr>
        <w:t>Ligji nr.10193, datë 03.12.2009, "Për Marrëdhëniet Juridiksionale me Autoritetet e Huaja në Çështjet Penale" (i ndryshuar), si dhe 238, 244, 480, 489, 490, 492, 493 dhe 494 të Kodit të Procedurës Penale</w:t>
      </w:r>
      <w:r w:rsidRPr="004F1F62">
        <w:rPr>
          <w:sz w:val="24"/>
          <w:szCs w:val="24"/>
          <w:lang w:val="sq-AL"/>
        </w:rPr>
        <w:t>.</w:t>
      </w:r>
    </w:p>
    <w:p w:rsidR="00C1239B" w:rsidRPr="004F1F62" w:rsidRDefault="00681A13" w:rsidP="00251387">
      <w:pPr>
        <w:tabs>
          <w:tab w:val="left" w:pos="2160"/>
        </w:tabs>
        <w:jc w:val="both"/>
        <w:rPr>
          <w:b/>
          <w:sz w:val="24"/>
          <w:szCs w:val="24"/>
          <w:lang w:val="sq-AL"/>
        </w:rPr>
      </w:pPr>
      <w:r w:rsidRPr="004F1F62">
        <w:rPr>
          <w:b/>
          <w:sz w:val="24"/>
          <w:szCs w:val="24"/>
          <w:lang w:val="sq-AL"/>
        </w:rPr>
        <w:t xml:space="preserve">   </w:t>
      </w:r>
      <w:r w:rsidR="00C75743" w:rsidRPr="004F1F62">
        <w:rPr>
          <w:b/>
          <w:sz w:val="24"/>
          <w:szCs w:val="24"/>
          <w:lang w:val="sq-AL"/>
        </w:rPr>
        <w:tab/>
        <w:t xml:space="preserve"> </w:t>
      </w:r>
    </w:p>
    <w:p w:rsidR="00FC48F7" w:rsidRPr="004F1F62" w:rsidRDefault="00C1239B" w:rsidP="00251387">
      <w:pPr>
        <w:tabs>
          <w:tab w:val="left" w:pos="2160"/>
        </w:tabs>
        <w:jc w:val="both"/>
        <w:rPr>
          <w:b/>
          <w:sz w:val="24"/>
          <w:szCs w:val="24"/>
          <w:lang w:val="sq-AL"/>
        </w:rPr>
      </w:pPr>
      <w:r w:rsidRPr="004F1F62">
        <w:rPr>
          <w:b/>
          <w:sz w:val="24"/>
          <w:szCs w:val="24"/>
          <w:lang w:val="sq-AL"/>
        </w:rPr>
        <w:tab/>
      </w:r>
      <w:r w:rsidR="00FC48F7" w:rsidRPr="004F1F62">
        <w:rPr>
          <w:b/>
          <w:sz w:val="24"/>
          <w:szCs w:val="24"/>
          <w:lang w:val="sq-AL"/>
        </w:rPr>
        <w:t>KOLEGJI PENAL I GJYKATËS SË LARTË</w:t>
      </w:r>
    </w:p>
    <w:p w:rsidR="00592389" w:rsidRPr="004F1F62" w:rsidRDefault="00592389" w:rsidP="00251387">
      <w:pPr>
        <w:tabs>
          <w:tab w:val="left" w:pos="2160"/>
        </w:tabs>
        <w:jc w:val="both"/>
        <w:rPr>
          <w:sz w:val="24"/>
          <w:szCs w:val="24"/>
          <w:lang w:val="sq-AL"/>
        </w:rPr>
      </w:pPr>
    </w:p>
    <w:p w:rsidR="00251387" w:rsidRPr="004F1F62" w:rsidRDefault="00251387" w:rsidP="00251387">
      <w:pPr>
        <w:jc w:val="both"/>
        <w:rPr>
          <w:rFonts w:eastAsiaTheme="minorHAnsi"/>
          <w:sz w:val="24"/>
          <w:szCs w:val="24"/>
          <w:lang w:val="sq-AL"/>
        </w:rPr>
      </w:pPr>
      <w:r w:rsidRPr="004F1F62">
        <w:rPr>
          <w:rFonts w:eastAsiaTheme="minorHAnsi"/>
          <w:sz w:val="24"/>
          <w:szCs w:val="24"/>
          <w:lang w:val="sq-AL"/>
        </w:rPr>
        <w:t>pasi dëgjoi relatimin e gjyqtarit Sandër Simoni; prokurorin Arqilea Koça</w:t>
      </w:r>
      <w:r w:rsidR="00E41EAD" w:rsidRPr="004F1F62">
        <w:rPr>
          <w:rFonts w:eastAsiaTheme="minorHAnsi"/>
          <w:sz w:val="24"/>
          <w:szCs w:val="24"/>
          <w:lang w:val="sq-AL"/>
        </w:rPr>
        <w:t>, i cili kërkoi: L</w:t>
      </w:r>
      <w:r w:rsidRPr="004F1F62">
        <w:rPr>
          <w:rFonts w:eastAsiaTheme="minorHAnsi"/>
          <w:sz w:val="24"/>
          <w:szCs w:val="24"/>
          <w:lang w:val="sq-AL"/>
        </w:rPr>
        <w:t>ënien në fuqi të vendimit nr</w:t>
      </w:r>
      <w:r w:rsidR="00E41EAD" w:rsidRPr="004F1F62">
        <w:rPr>
          <w:rFonts w:eastAsiaTheme="minorHAnsi"/>
          <w:sz w:val="24"/>
          <w:szCs w:val="24"/>
          <w:lang w:val="sq-AL"/>
        </w:rPr>
        <w:t xml:space="preserve">. </w:t>
      </w:r>
      <w:r w:rsidRPr="004F1F62">
        <w:rPr>
          <w:rFonts w:eastAsiaTheme="minorHAnsi"/>
          <w:sz w:val="24"/>
          <w:szCs w:val="24"/>
          <w:lang w:val="sq-AL"/>
        </w:rPr>
        <w:t>2239</w:t>
      </w:r>
      <w:r w:rsidR="00E41EAD" w:rsidRPr="004F1F62">
        <w:rPr>
          <w:rFonts w:eastAsiaTheme="minorHAnsi"/>
          <w:sz w:val="24"/>
          <w:szCs w:val="24"/>
          <w:lang w:val="sq-AL"/>
        </w:rPr>
        <w:t xml:space="preserve"> </w:t>
      </w:r>
      <w:r w:rsidRPr="004F1F62">
        <w:rPr>
          <w:rFonts w:eastAsiaTheme="minorHAnsi"/>
          <w:sz w:val="24"/>
          <w:szCs w:val="24"/>
          <w:lang w:val="sq-AL"/>
        </w:rPr>
        <w:t>(30-2025-8205), datë</w:t>
      </w:r>
      <w:r w:rsidR="00E41EAD" w:rsidRPr="004F1F62">
        <w:rPr>
          <w:rFonts w:eastAsiaTheme="minorHAnsi"/>
          <w:sz w:val="24"/>
          <w:szCs w:val="24"/>
          <w:lang w:val="sq-AL"/>
        </w:rPr>
        <w:t xml:space="preserve"> </w:t>
      </w:r>
      <w:r w:rsidRPr="004F1F62">
        <w:rPr>
          <w:rFonts w:eastAsiaTheme="minorHAnsi"/>
          <w:sz w:val="24"/>
          <w:szCs w:val="24"/>
          <w:lang w:val="sq-AL"/>
        </w:rPr>
        <w:t xml:space="preserve">15.10.2025 të Gjykatës së Apelit të Juridiksionit të Përgjithshëm; mbrojtësin i zgjedhur av. Ilir Gerdupi dhe Redon Meksi, të shtetasit </w:t>
      </w:r>
      <w:r w:rsidRPr="004F1F62">
        <w:rPr>
          <w:sz w:val="24"/>
          <w:szCs w:val="24"/>
          <w:lang w:val="sq-AL"/>
        </w:rPr>
        <w:t>Sohel Rana Sheikh</w:t>
      </w:r>
      <w:r w:rsidRPr="004F1F62">
        <w:rPr>
          <w:rFonts w:eastAsiaTheme="minorHAnsi"/>
          <w:sz w:val="24"/>
          <w:szCs w:val="24"/>
          <w:lang w:val="sq-AL"/>
        </w:rPr>
        <w:t>, të cilët kërkuan ndryshimet e vendimeve dhe rrëzimin e kërkesës dhe si analizoi çështjen në tërësi,</w:t>
      </w:r>
    </w:p>
    <w:p w:rsidR="0001599F" w:rsidRPr="004F1F62" w:rsidRDefault="0001599F" w:rsidP="002513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b/>
          <w:sz w:val="24"/>
          <w:szCs w:val="24"/>
          <w:lang w:val="sq-AL"/>
        </w:rPr>
      </w:pPr>
    </w:p>
    <w:p w:rsidR="00BE5D08" w:rsidRPr="004F1F62" w:rsidRDefault="00BE5D08" w:rsidP="002513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b/>
          <w:sz w:val="24"/>
          <w:szCs w:val="24"/>
          <w:lang w:val="sq-AL"/>
        </w:rPr>
      </w:pPr>
      <w:r w:rsidRPr="004F1F62">
        <w:rPr>
          <w:b/>
          <w:sz w:val="24"/>
          <w:szCs w:val="24"/>
          <w:lang w:val="sq-AL"/>
        </w:rPr>
        <w:t>V</w:t>
      </w:r>
      <w:r w:rsidR="001A20D6" w:rsidRPr="004F1F62">
        <w:rPr>
          <w:b/>
          <w:sz w:val="24"/>
          <w:szCs w:val="24"/>
          <w:lang w:val="sq-AL"/>
        </w:rPr>
        <w:t>Ë</w:t>
      </w:r>
      <w:r w:rsidRPr="004F1F62">
        <w:rPr>
          <w:b/>
          <w:sz w:val="24"/>
          <w:szCs w:val="24"/>
          <w:lang w:val="sq-AL"/>
        </w:rPr>
        <w:t>REN SE:</w:t>
      </w:r>
    </w:p>
    <w:p w:rsidR="002E2899" w:rsidRPr="004F1F62" w:rsidRDefault="002E2899" w:rsidP="002513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b/>
          <w:sz w:val="24"/>
          <w:szCs w:val="24"/>
          <w:lang w:val="sq-AL"/>
        </w:rPr>
      </w:pPr>
    </w:p>
    <w:p w:rsidR="00251387" w:rsidRPr="004F1F62" w:rsidRDefault="00251387" w:rsidP="00C13D88">
      <w:pPr>
        <w:pStyle w:val="ListParagraph"/>
        <w:numPr>
          <w:ilvl w:val="0"/>
          <w:numId w:val="3"/>
        </w:numPr>
        <w:tabs>
          <w:tab w:val="left" w:pos="63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0" w:firstLine="360"/>
        <w:jc w:val="both"/>
        <w:rPr>
          <w:sz w:val="24"/>
          <w:szCs w:val="24"/>
          <w:lang w:val="sq-AL"/>
        </w:rPr>
      </w:pPr>
      <w:r w:rsidRPr="004F1F62">
        <w:rPr>
          <w:sz w:val="24"/>
          <w:szCs w:val="24"/>
          <w:lang w:val="sq-AL"/>
        </w:rPr>
        <w:t xml:space="preserve">Prokuroria pranë Gjykatës së Shkallës së Parë të Juridiksionit të Përgjithshëm Tiranë ka paraqitur për shqyrtim, para asaj gjykate, kërkesën me objekt: </w:t>
      </w:r>
      <w:r w:rsidRPr="004F1F62">
        <w:rPr>
          <w:sz w:val="24"/>
          <w:szCs w:val="24"/>
          <w:u w:color="000000"/>
          <w:lang w:val="sq-AL"/>
        </w:rPr>
        <w:t xml:space="preserve">Lejimin e ekstradimit nga Republika e Shqipërisë për në Republikën e </w:t>
      </w:r>
      <w:r w:rsidRPr="004F1F62">
        <w:rPr>
          <w:sz w:val="24"/>
          <w:szCs w:val="24"/>
          <w:lang w:val="sq-AL"/>
        </w:rPr>
        <w:t>Bangladesh</w:t>
      </w:r>
      <w:r w:rsidRPr="004F1F62">
        <w:rPr>
          <w:sz w:val="24"/>
          <w:szCs w:val="24"/>
          <w:u w:color="000000"/>
          <w:lang w:val="sq-AL"/>
        </w:rPr>
        <w:t xml:space="preserve"> të shtetasit Sohel Rana Sheikh</w:t>
      </w:r>
      <w:r w:rsidRPr="004F1F62">
        <w:rPr>
          <w:sz w:val="24"/>
          <w:szCs w:val="24"/>
          <w:lang w:val="sq-AL"/>
        </w:rPr>
        <w:t>.</w:t>
      </w:r>
    </w:p>
    <w:p w:rsidR="00251387" w:rsidRPr="004F1F62" w:rsidRDefault="00251387" w:rsidP="00C13D88">
      <w:pPr>
        <w:pStyle w:val="ListParagraph"/>
        <w:numPr>
          <w:ilvl w:val="0"/>
          <w:numId w:val="3"/>
        </w:numPr>
        <w:tabs>
          <w:tab w:val="left" w:pos="63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0" w:firstLine="360"/>
        <w:jc w:val="both"/>
        <w:rPr>
          <w:sz w:val="24"/>
          <w:szCs w:val="24"/>
          <w:lang w:val="sq-AL"/>
        </w:rPr>
      </w:pPr>
      <w:r w:rsidRPr="004F1F62">
        <w:rPr>
          <w:rFonts w:eastAsia="Arial"/>
          <w:sz w:val="24"/>
          <w:szCs w:val="24"/>
          <w:lang w:val="sq-AL"/>
        </w:rPr>
        <w:t>Nga aktet e administruara nga gjykatat e faktit rezulton se m</w:t>
      </w:r>
      <w:r w:rsidRPr="004F1F62">
        <w:rPr>
          <w:sz w:val="24"/>
          <w:szCs w:val="24"/>
          <w:lang w:val="sq-AL" w:eastAsia="sq-AL"/>
        </w:rPr>
        <w:t xml:space="preserve">e shkresën nr.4152 K1. Prot./DKB, datë 03.02.2025, Drejtoria e Interpolit pranë Ministrisë së Brendshme, i është drejtuar Prokurorisë së Përgjithshme dhe Ministrisë së Drejtësisë duke i njoftuar se më datë 02.02.2025 ishte kryer arrestimi i përkohshëm i shtetasit Sohel Rana Sheikh, i biri i Sheikh </w:t>
      </w:r>
      <w:r w:rsidRPr="004F1F62">
        <w:rPr>
          <w:sz w:val="24"/>
          <w:szCs w:val="24"/>
          <w:lang w:val="sq-AL" w:eastAsia="sq-AL"/>
        </w:rPr>
        <w:lastRenderedPageBreak/>
        <w:t>Abdus Salam dhe Nazma Begum, i datëlindjes  03.02.1975, lindur në Gopalgonj të Bangladeshit, shtetas i Bangladeshit, me numër identifikimi1476434640. Ky arrestim ishte bërë në bazë të urdhrit të arrestit ndërkombëtar nr. 662/2022 datë 16.02.2022 nga Interpol Dhaka/Bangladesh, pasi i arrestuari ishte person i shpallur në kërkim ndërkombëtar, sepse Gjykata e Bangladeshit kishte caktuar për të masën e sigurimit personal "Arrest në burg" për veprat penale të "Mashtrim dhe përvetësim nga biznesi online E-Orange", parashikuar nga nenet 402 dhe 406 të parashikuar nga ligji penal të Bangladeshit. Konkretisht, shtetasi i Bangladeshit Sohel Rana Sheikh po ndiqej penalisht në këtë shtet duke iu caktuar edhe masa e sigurimit personal "Arrest në burg".</w:t>
      </w:r>
    </w:p>
    <w:p w:rsidR="00251387" w:rsidRPr="004F1F62" w:rsidRDefault="00251387" w:rsidP="00C13D88">
      <w:pPr>
        <w:pStyle w:val="ListParagraph"/>
        <w:numPr>
          <w:ilvl w:val="0"/>
          <w:numId w:val="3"/>
        </w:numPr>
        <w:ind w:left="0" w:firstLine="360"/>
        <w:jc w:val="both"/>
        <w:rPr>
          <w:sz w:val="24"/>
          <w:szCs w:val="24"/>
          <w:lang w:val="sq-AL" w:eastAsia="sq-AL"/>
        </w:rPr>
      </w:pPr>
      <w:r w:rsidRPr="004F1F62">
        <w:rPr>
          <w:sz w:val="24"/>
          <w:szCs w:val="24"/>
          <w:lang w:val="sq-AL" w:eastAsia="sq-AL"/>
        </w:rPr>
        <w:t>Arrestimi provizor është bërë me qëllim ekstradimi drejt Bangladeshit të shtetasit Sohel Rana Sheikh, pasi rezultonte i shpallur si person në kërkim ndërkombëtar sipas kërkesës nga zyra Interpol Dhaka/Bangladesh, për veprën penale të “Mashtrim komercial” të parashikuar  nga Kodi Penal i Bangladeshit, arrestim i dokumentuar në “Procesverbalin për arrestimin provizor për qëllime ekstradimi” dt. 02.02.2025 ora 10.30.</w:t>
      </w:r>
    </w:p>
    <w:p w:rsidR="00251387" w:rsidRPr="004F1F62" w:rsidRDefault="00251387" w:rsidP="00C13D88">
      <w:pPr>
        <w:pStyle w:val="ListParagraph"/>
        <w:numPr>
          <w:ilvl w:val="0"/>
          <w:numId w:val="3"/>
        </w:numPr>
        <w:ind w:left="0" w:firstLine="360"/>
        <w:jc w:val="both"/>
        <w:rPr>
          <w:sz w:val="24"/>
          <w:szCs w:val="24"/>
          <w:lang w:val="sq-AL" w:eastAsia="sq-AL"/>
        </w:rPr>
      </w:pPr>
      <w:r w:rsidRPr="004F1F62">
        <w:rPr>
          <w:sz w:val="24"/>
          <w:szCs w:val="24"/>
          <w:lang w:val="sq-AL" w:eastAsia="sq-AL"/>
        </w:rPr>
        <w:t>Me shkresën nr.199/18 Prot., datë 28.02.2025, Prokuroria e Përgjithshme i ka referuar Prokurorisë pranë Gjykatës së Shkallës së Parë të Juridiksionit të Përgjithshëm Tiranë, se me shkresën nr.419/6 Prot., datë 27.02.2025, Ministri i Drejtësisë ka transmetuar kërkesën për ekstradimin e shtetasit Sohel Rana Sheikh nga Shqipëria drejt Bangladeshit. Bashkëlidhur shkresës, Ministri i Drejtësisë i ka komunikuar Prokurorisë së Përgjithshme përveç kërkesës së autoriteteve të drejtësisë shtetit të Bangladeshit të datës 18.02.2025, dhe materialet lidhur me çështjen 41/22G.R, të datës 15.02.2022 që lidhen me formularin nr.22 të procesit penal të Gjykatës së Lartë. Pjesë e materialit është urdhërimi për arrestimin e shtetasit Sohel Rana Sheik</w:t>
      </w:r>
      <w:r w:rsidR="00E41EAD" w:rsidRPr="004F1F62">
        <w:rPr>
          <w:sz w:val="24"/>
          <w:szCs w:val="24"/>
          <w:lang w:val="sq-AL" w:eastAsia="sq-AL"/>
        </w:rPr>
        <w:t>h</w:t>
      </w:r>
      <w:r w:rsidRPr="004F1F62">
        <w:rPr>
          <w:sz w:val="24"/>
          <w:szCs w:val="24"/>
          <w:lang w:val="sq-AL" w:eastAsia="sq-AL"/>
        </w:rPr>
        <w:t xml:space="preserve"> i lëshuar nga magjistrati Md Abu Bakar Siddique (Magjistrati Metropolitan Shtesë Gjykata nr.2, Dhaka).</w:t>
      </w:r>
    </w:p>
    <w:p w:rsidR="00251387" w:rsidRPr="004F1F62" w:rsidRDefault="00251387" w:rsidP="00C13D88">
      <w:pPr>
        <w:pStyle w:val="ListParagraph"/>
        <w:numPr>
          <w:ilvl w:val="0"/>
          <w:numId w:val="3"/>
        </w:numPr>
        <w:ind w:left="0" w:firstLine="360"/>
        <w:jc w:val="both"/>
        <w:rPr>
          <w:sz w:val="24"/>
          <w:szCs w:val="24"/>
          <w:lang w:val="sq-AL" w:eastAsia="sq-AL"/>
        </w:rPr>
      </w:pPr>
      <w:r w:rsidRPr="004F1F62">
        <w:rPr>
          <w:sz w:val="24"/>
          <w:szCs w:val="24"/>
          <w:lang w:val="sq-AL" w:eastAsia="sq-AL"/>
        </w:rPr>
        <w:t>Përveç urdhrit për arrestim nga autoritetet e drejtësisë së Bangladeshit janë dërguar edhe materiale prej të cilave rezultojnë faktet për të cilat dyshohet shtetasi Sohel</w:t>
      </w:r>
      <w:r w:rsidR="00E41EAD" w:rsidRPr="004F1F62">
        <w:rPr>
          <w:sz w:val="24"/>
          <w:szCs w:val="24"/>
          <w:lang w:val="sq-AL" w:eastAsia="sq-AL"/>
        </w:rPr>
        <w:t xml:space="preserve"> </w:t>
      </w:r>
      <w:r w:rsidRPr="004F1F62">
        <w:rPr>
          <w:sz w:val="24"/>
          <w:szCs w:val="24"/>
          <w:lang w:val="sq-AL" w:eastAsia="sq-AL"/>
        </w:rPr>
        <w:t>Rana Sheik</w:t>
      </w:r>
      <w:r w:rsidR="00E41EAD" w:rsidRPr="004F1F62">
        <w:rPr>
          <w:sz w:val="24"/>
          <w:szCs w:val="24"/>
          <w:lang w:val="sq-AL" w:eastAsia="sq-AL"/>
        </w:rPr>
        <w:t>h</w:t>
      </w:r>
      <w:r w:rsidRPr="004F1F62">
        <w:rPr>
          <w:sz w:val="24"/>
          <w:szCs w:val="24"/>
          <w:lang w:val="sq-AL" w:eastAsia="sq-AL"/>
        </w:rPr>
        <w:t>. Nga materiali i dërguar rezulton se proceduralisht kallëzuesit fillimisht ishin paraqitur më datë 20.08.2021 në Komisariatin përkatës për të kërkuar ndjekje penale. Për shkak të refuzimit, kallëzuesi ka shkuar në gjykatë, e cila ka vendosur që çështja të kalojë në hetim tek policia gjyqësore me qëllim dokumentimin e fakteve penale të pretenduara. Ky kalim është bërë në datë 13.09.2021 dhe objekti i hetimit lidhet me veprat penale të parashikuara nga nenet 420 dhe 406 të ligjit penal të Bangladeshit. Vendi ku kanë ndodhur faktet e pretenduara janë zyrat e E-Orange në Qarkun e Dhakas, shtëpia nr.5/A, rruga nr.136/137, Gulshan-I, Thana-Gulshan. Koha kur kanë ndodhur faktet pretenduara janë nga data 02.05.2021 deri më datë 17.08.2021. Më pas, kanë rezultuar edhe raste të tjera të mashtrimit të pretenduara kundrejt shoqërisë në fjalë. Nga materiali rezulton se shtetasi Sohel Rana Sheik</w:t>
      </w:r>
      <w:r w:rsidR="00E41EAD" w:rsidRPr="004F1F62">
        <w:rPr>
          <w:sz w:val="24"/>
          <w:szCs w:val="24"/>
          <w:lang w:val="sq-AL" w:eastAsia="sq-AL"/>
        </w:rPr>
        <w:t>h</w:t>
      </w:r>
      <w:r w:rsidRPr="004F1F62">
        <w:rPr>
          <w:sz w:val="24"/>
          <w:szCs w:val="24"/>
          <w:lang w:val="sq-AL" w:eastAsia="sq-AL"/>
        </w:rPr>
        <w:t xml:space="preserve"> është lokalizuar fillimisht në Indi dhe për këtë shkak ndaj tij është nxjerrë urdhri i arrestimit nga gjykata më datë 15.02.2022, mbi bazën e të cilit është bërë shpallja në kërkim</w:t>
      </w:r>
      <w:r w:rsidRPr="004F1F62">
        <w:rPr>
          <w:sz w:val="24"/>
          <w:szCs w:val="24"/>
          <w:u w:val="single"/>
          <w:lang w:val="sq-AL" w:eastAsia="sq-AL"/>
        </w:rPr>
        <w:t xml:space="preserve"> </w:t>
      </w:r>
      <w:r w:rsidRPr="004F1F62">
        <w:rPr>
          <w:sz w:val="24"/>
          <w:szCs w:val="24"/>
          <w:lang w:val="sq-AL" w:eastAsia="sq-AL"/>
        </w:rPr>
        <w:t>ndërkombëtar, me urdhrin nr. 662/2022 dt. 16.02.2022.</w:t>
      </w:r>
    </w:p>
    <w:p w:rsidR="00251387" w:rsidRPr="004F1F62" w:rsidRDefault="00251387" w:rsidP="00C13D88">
      <w:pPr>
        <w:pStyle w:val="ListParagraph"/>
        <w:numPr>
          <w:ilvl w:val="0"/>
          <w:numId w:val="3"/>
        </w:numPr>
        <w:ind w:left="0" w:firstLine="360"/>
        <w:jc w:val="both"/>
        <w:rPr>
          <w:sz w:val="24"/>
          <w:szCs w:val="24"/>
          <w:lang w:val="sq-AL" w:eastAsia="sq-AL"/>
        </w:rPr>
      </w:pPr>
      <w:r w:rsidRPr="004F1F62">
        <w:rPr>
          <w:sz w:val="24"/>
          <w:szCs w:val="24"/>
          <w:lang w:val="sq-AL" w:eastAsia="sq-AL"/>
        </w:rPr>
        <w:t>Konkretisht, nga materiali i referuar ndër të tjera ka rezultuar se faktet për të cilat është duke u ndjekur penalisht shtetasit Sohel Rana Sheik</w:t>
      </w:r>
      <w:r w:rsidR="00E41EAD" w:rsidRPr="004F1F62">
        <w:rPr>
          <w:sz w:val="24"/>
          <w:szCs w:val="24"/>
          <w:lang w:val="sq-AL" w:eastAsia="sq-AL"/>
        </w:rPr>
        <w:t>h</w:t>
      </w:r>
      <w:r w:rsidRPr="004F1F62">
        <w:rPr>
          <w:sz w:val="24"/>
          <w:szCs w:val="24"/>
          <w:lang w:val="sq-AL" w:eastAsia="sq-AL"/>
        </w:rPr>
        <w:t xml:space="preserve"> në shtetin e Bangladeshit, në mënyrë të përmbledhur janë referuar si vijon: Shtetasi Sultan Mahamood ka ngritur një çështje penale kundër Sheikh Sohel Rana, i biri i Sheikh Abdus Salam, me adresë Districti Gopalganj Bangladesh. I akuzuari Sheikh Sohel Rana pretendohet të ketë lidhje me “E-Orange”, e cila furnizonte dhe shiste lloje të ndryshme produktesh duke mashtruar. Paditësi Sultan Mahamood ka depozituar paratë e tij në E-Orange dhe ka marrë kupona, duke paguar me para në dorë/kartë krediti/kartë debiti/llogari bankare në raste të ndryshme, por ai asnjëherë nuk ka marrë produktet për të cilat ka kryer pagesën. Atyre ju thuhej do t'u dërgoheshin produktet brenda disa ditëve kur kontaktoheshin nga kjo organizatë. Shtetasi Sultan Mahamood më vonë ka ardhur në dijeni se “E-Orange” ka ndryshuar pronar dhe se pronari i mëvonshëm refuzonte të jepte produktet dhe informacion mbi pronarin e mëparshëm apo adresën e tyre. Faktet e sipërcituara kanë ndodhur nga data 06.08.2021 deri më datë 16.02.2022. Gjatë kohës që janë kryer faktet penale të pretenduara, shtetasi Sohel Rana Sheikh kishte pozicionin e inspektorit </w:t>
      </w:r>
      <w:r w:rsidRPr="004F1F62">
        <w:rPr>
          <w:sz w:val="24"/>
          <w:szCs w:val="24"/>
          <w:lang w:val="sq-AL" w:eastAsia="sq-AL"/>
        </w:rPr>
        <w:lastRenderedPageBreak/>
        <w:t>(hetimi) në Stacionin e Policisë Banani (Policia Metropolitane të Daka). Pretendohet se shtetasi Sohel Rana Sheikh ka qenë de facto shefi ekzekutiv i kompanisë E-Orange pasi pozicioni i tij zyrtar nuk e lejonte të mbante këtë pozicion edhe de juro. Pretendohet se përmes mashtrimit shoqëria E-Orange ka përfituar rreth 3'000'000 (tre milion) dollarë amerikanë, të cilët kanë kaluar në llogari të ndryshme bankare dhe janë nxjerrë jashtë vendit. Aktualisht, pretendohet se ka rreth 10 çështje penale në Bangladesh.</w:t>
      </w:r>
    </w:p>
    <w:p w:rsidR="00251387" w:rsidRPr="004F1F62" w:rsidRDefault="00251387" w:rsidP="00C13D88">
      <w:pPr>
        <w:pStyle w:val="ListParagraph"/>
        <w:numPr>
          <w:ilvl w:val="0"/>
          <w:numId w:val="3"/>
        </w:numPr>
        <w:ind w:left="0" w:firstLine="360"/>
        <w:jc w:val="both"/>
        <w:rPr>
          <w:sz w:val="24"/>
          <w:szCs w:val="24"/>
          <w:lang w:val="sq-AL" w:eastAsia="sq-AL"/>
        </w:rPr>
      </w:pPr>
      <w:r w:rsidRPr="004F1F62">
        <w:rPr>
          <w:sz w:val="24"/>
          <w:szCs w:val="24"/>
          <w:lang w:val="sq-AL" w:eastAsia="sq-AL"/>
        </w:rPr>
        <w:t>Nga sa më sipër rezulton se autoriteti gjyqësor i Bangladeshit ka vendosur masën e sigurimit personal “Arrest në burg” dhe se është dërguar pranë autoriteteve shqiptare kërkesa formale për ekstradim bashkëlidhur dokumentacionit ligjor. Në vijim të informacioneve shtesë në lidhje me procedurën e ekzekutimit me referencën OP</w:t>
      </w:r>
      <w:r w:rsidR="00E41EAD" w:rsidRPr="004F1F62">
        <w:rPr>
          <w:sz w:val="24"/>
          <w:szCs w:val="24"/>
          <w:lang w:val="sq-AL" w:eastAsia="sq-AL"/>
        </w:rPr>
        <w:t>W</w:t>
      </w:r>
      <w:r w:rsidRPr="004F1F62">
        <w:rPr>
          <w:sz w:val="24"/>
          <w:szCs w:val="24"/>
          <w:lang w:val="sq-AL" w:eastAsia="sq-AL"/>
        </w:rPr>
        <w:t>/CID/2025-02,</w:t>
      </w:r>
      <w:r w:rsidR="00E41EAD" w:rsidRPr="004F1F62">
        <w:rPr>
          <w:sz w:val="24"/>
          <w:szCs w:val="24"/>
          <w:lang w:val="sq-AL" w:eastAsia="sq-AL"/>
        </w:rPr>
        <w:t xml:space="preserve"> </w:t>
      </w:r>
      <w:r w:rsidRPr="004F1F62">
        <w:rPr>
          <w:sz w:val="24"/>
          <w:szCs w:val="24"/>
          <w:lang w:val="sq-AL" w:eastAsia="sq-AL"/>
        </w:rPr>
        <w:t>datë 23.03.2025, është përcjellë një opinion ligjor mbi transmetimin e informacionit në përputhje me ligjin për ekstradimin të vitit 1974 dhe dispozitat përkatëse ligjore që rregullojnë veprat penale sipas neneve 406, 420 dhe 34 të Kodit Penal të vitit 1860, në çështjen e Sheikh Sohel Rana. Sipas këtij informacioni Kryegjyqtari Metropolitan, në lidhje me çështjen Gulshan Thana Nr.15 (09) të vitit 2021, që i përket GR Nr. 262/21, ka lëshuar një urdhër arresti ndaj Sheikh Sohel Rana në datën 15 shkurt 2022. Akuzat ndaj tij janë ngritur në bazë të neneve 406, 420 dhe 34 të Kodit Penal të vitit 1860.</w:t>
      </w:r>
      <w:r w:rsidR="00E41EAD" w:rsidRPr="004F1F62">
        <w:rPr>
          <w:sz w:val="24"/>
          <w:szCs w:val="24"/>
          <w:lang w:val="sq-AL" w:eastAsia="sq-AL"/>
        </w:rPr>
        <w:t xml:space="preserve"> </w:t>
      </w:r>
      <w:r w:rsidRPr="004F1F62">
        <w:rPr>
          <w:sz w:val="24"/>
          <w:szCs w:val="24"/>
          <w:lang w:val="sq-AL" w:eastAsia="sq-AL"/>
        </w:rPr>
        <w:t>Në vijim, Sheikh Sohel Rana është ndaluar në Shqipëri, ku kishte hyrë ilegalisht. Pas arrestimit të tij, Policia e Bangladeshit ka paraqitur një kërkesë zyrtare për ekstradim, në bazë të nenit 4</w:t>
      </w:r>
      <w:r w:rsidR="00E41EAD" w:rsidRPr="004F1F62">
        <w:rPr>
          <w:sz w:val="24"/>
          <w:szCs w:val="24"/>
          <w:lang w:val="sq-AL" w:eastAsia="sq-AL"/>
        </w:rPr>
        <w:t xml:space="preserve"> </w:t>
      </w:r>
      <w:r w:rsidRPr="004F1F62">
        <w:rPr>
          <w:sz w:val="24"/>
          <w:szCs w:val="24"/>
          <w:lang w:val="sq-AL" w:eastAsia="sq-AL"/>
        </w:rPr>
        <w:t>(1) të Ligjit për Ekstradimin të vitit 1974. Në çështjen Gulshan Thana Nr. 15 (09) të vitit 2021, që i përket GR Nr. 262/21, është ngritur akuzë penale, ndër të tjerë, edhe ndaj Sheikh Sohel Rana. Pas një hetimi të hollësishëm, Fletë-Akuza është dorëzuar në mënyrë të rregullt më 21 gusht 2022 (Kallëzimi nr. 249), në përputhje me dispozitat e neneve 406, 420 dhe 34 të Kodit Penal të vitit 1860.</w:t>
      </w:r>
      <w:r w:rsidR="00E41EAD" w:rsidRPr="004F1F62">
        <w:rPr>
          <w:sz w:val="24"/>
          <w:szCs w:val="24"/>
          <w:lang w:val="sq-AL" w:eastAsia="sq-AL"/>
        </w:rPr>
        <w:t xml:space="preserve"> </w:t>
      </w:r>
      <w:r w:rsidRPr="004F1F62">
        <w:rPr>
          <w:sz w:val="24"/>
          <w:szCs w:val="24"/>
          <w:lang w:val="sq-AL" w:eastAsia="sq-AL"/>
        </w:rPr>
        <w:t>Së pari, akuza është ngritur në përputhje me nenin 406 të Kodit Penal të vitit</w:t>
      </w:r>
      <w:r w:rsidR="00E41EAD" w:rsidRPr="004F1F62">
        <w:rPr>
          <w:sz w:val="24"/>
          <w:szCs w:val="24"/>
          <w:lang w:val="sq-AL" w:eastAsia="sq-AL"/>
        </w:rPr>
        <w:t xml:space="preserve"> </w:t>
      </w:r>
      <w:r w:rsidRPr="004F1F62">
        <w:rPr>
          <w:sz w:val="24"/>
          <w:szCs w:val="24"/>
          <w:lang w:val="sq-AL" w:eastAsia="sq-AL"/>
        </w:rPr>
        <w:t>1860, i cili parashikon dënimin për shkelje penale të besimit. Dispozita përcakton si vijon: “Neni 406: Dënimi për shkelje penale të besimit: “</w:t>
      </w:r>
      <w:r w:rsidRPr="004F1F62">
        <w:rPr>
          <w:i/>
          <w:iCs/>
          <w:sz w:val="24"/>
          <w:szCs w:val="24"/>
          <w:lang w:val="sq-AL" w:eastAsia="sq-AL"/>
        </w:rPr>
        <w:t>Kushdo që kryen shkelje penale të besimit dënohet me burgim të çdo lloji për një periudhë që mund të shkojë deri në tre vjet, ose me gjobë, ose me të dyja</w:t>
      </w:r>
      <w:r w:rsidRPr="004F1F62">
        <w:rPr>
          <w:sz w:val="24"/>
          <w:szCs w:val="24"/>
          <w:lang w:val="sq-AL" w:eastAsia="sq-AL"/>
        </w:rPr>
        <w:t>.” Neni 406 i Kodit Penal të vitit 1860 përcakton dënimin që zbatohet për veprën penale të shkeljes së besimit, siç përkufizohet në nenin 405 të Kodit Penal. Në vijim të sa më lart, neni 405 parashikon si më poshtë: “Neni 405. Shkelja penale e besimit: “</w:t>
      </w:r>
      <w:r w:rsidRPr="004F1F62">
        <w:rPr>
          <w:i/>
          <w:iCs/>
          <w:sz w:val="24"/>
          <w:szCs w:val="24"/>
          <w:lang w:val="sq-AL" w:eastAsia="sq-AL"/>
        </w:rPr>
        <w:t>Kushdo që, në cilëndo mënyrë, i është besuar pasuri, apo ka kontroll mbi një pasuri, dhe në mënyrë të pandershme e përvetëson apo e përdor për përfitimin e vet atë pasuri, ose e përdor apo e shpërndan në kundërshtim me një urdhër ligjor që përcakton mënyrën e administrimit të besimit, apo në kundërshtim me një kontratë ligjore, të shprehur ose të nënkuptuar, që ka lidhje me administrimin e këtij besimi, as e lejon me qëllim që një person tjetër të veprojë në këtë mënyrë, kryen “shkelje penale te besimit</w:t>
      </w:r>
      <w:r w:rsidRPr="004F1F62">
        <w:rPr>
          <w:sz w:val="24"/>
          <w:szCs w:val="24"/>
          <w:lang w:val="sq-AL" w:eastAsia="sq-AL"/>
        </w:rPr>
        <w:t>”. Interpretimi është shoqëruar dhe me ilustrimet përkatëse.</w:t>
      </w:r>
    </w:p>
    <w:p w:rsidR="00251387" w:rsidRPr="004F1F62" w:rsidRDefault="00251387" w:rsidP="00C13D88">
      <w:pPr>
        <w:pStyle w:val="ListParagraph"/>
        <w:numPr>
          <w:ilvl w:val="0"/>
          <w:numId w:val="3"/>
        </w:numPr>
        <w:ind w:left="0" w:firstLine="360"/>
        <w:jc w:val="both"/>
        <w:rPr>
          <w:sz w:val="24"/>
          <w:szCs w:val="24"/>
          <w:lang w:val="sq-AL" w:eastAsia="sq-AL"/>
        </w:rPr>
      </w:pPr>
      <w:r w:rsidRPr="004F1F62">
        <w:rPr>
          <w:sz w:val="24"/>
          <w:szCs w:val="24"/>
          <w:lang w:val="sq-AL" w:eastAsia="sq-AL"/>
        </w:rPr>
        <w:t>Akuza ndaj shtetasit Sohel Rana Sheikh është ngritur në përputhje me nenin 420 të Kodit Penal të vitit 1860 të shtetit të Bangladeshit, i cili trajton veprën penale të “Mashtrimit” dhe “Nxitjes së pandershme për dorëzimin e pasurisë”. Kjo dispozitë është kyçe për të vërtetuar sjelljen mashtruese në fjalë. Ajo përcakton si vijon: Neni 420: Mashtrimi dhe nxitja e pandershme për dorëzimin e pasurisë, parashikon: “</w:t>
      </w:r>
      <w:r w:rsidRPr="004F1F62">
        <w:rPr>
          <w:i/>
          <w:iCs/>
          <w:sz w:val="24"/>
          <w:szCs w:val="24"/>
          <w:lang w:val="sq-AL" w:eastAsia="sq-AL"/>
        </w:rPr>
        <w:t>Kushdo që mashtron dhe nëpërmjet këtij mashtrimi nxit në mënyrë të pandershme personin e mashtruar që të dorëzojë çfarëdolloj pasuri te cilido person, apo që të hartojë, ndryshojë apo shkatërrojë tërësisht apo pjesërisht një dokument letre me vlerë, ose gjithçka që është e nënshkruar apo e vulosur dhe që mund të shndërrohet në dokument letre me vlerë, do të dënohet me burgim të çdo lloji për një periudhë që mund të shkojë deri në shtatë vjet dhe do të dënohet gjithashtu me gjobë.”</w:t>
      </w:r>
      <w:r w:rsidRPr="004F1F62">
        <w:rPr>
          <w:sz w:val="24"/>
          <w:szCs w:val="24"/>
          <w:lang w:val="sq-AL" w:eastAsia="sq-AL"/>
        </w:rPr>
        <w:t xml:space="preserve"> Akuza është ngritur në përputhje me nenin 34 të Kodit Penal të vitit 1860, i cili përcakton se kur një vepër penale kryhet nga disa persona për përmbushjen e një qëllimi të përbashkët, secili prej tyre konsiderohet njësoj përgjegjës (Instituti i bashkëpunimit). Kjo dispozitë është veçanërisht e rëndësishme në këtë çështje, pasi ka të bëjë me përfshirjen e Sheikh Sohel Rana, së bashku me persona të tjerë, në veprime të dyshimta që i atribuohen organizatës E-Orange. Neni 34 përcakton nën titullin Veprimet e kryera nga disa persona për përmbushjen e një qëllimi të përbashkët: “Kur një vepër penale kryhet nga disa persona, për realizimin e një qëllimi të </w:t>
      </w:r>
      <w:r w:rsidRPr="004F1F62">
        <w:rPr>
          <w:sz w:val="24"/>
          <w:szCs w:val="24"/>
          <w:lang w:val="sq-AL" w:eastAsia="sq-AL"/>
        </w:rPr>
        <w:lastRenderedPageBreak/>
        <w:t>përbashkët të të gjithëve, secili prej tyre është përgjegjës për atë vepër në të njëjtën mënyrë sikur ta kishte kryer vetëm ai.”</w:t>
      </w:r>
    </w:p>
    <w:p w:rsidR="00251387" w:rsidRPr="004F1F62" w:rsidRDefault="00251387" w:rsidP="00C13D88">
      <w:pPr>
        <w:pStyle w:val="ListParagraph"/>
        <w:numPr>
          <w:ilvl w:val="0"/>
          <w:numId w:val="3"/>
        </w:numPr>
        <w:ind w:left="0" w:firstLine="360"/>
        <w:jc w:val="both"/>
        <w:rPr>
          <w:sz w:val="24"/>
          <w:szCs w:val="24"/>
          <w:lang w:val="sq-AL" w:eastAsia="sq-AL"/>
        </w:rPr>
      </w:pPr>
      <w:r w:rsidRPr="004F1F62">
        <w:rPr>
          <w:sz w:val="24"/>
          <w:szCs w:val="24"/>
          <w:lang w:val="sq-AL" w:eastAsia="sq-AL"/>
        </w:rPr>
        <w:t>Më tej sqarohet se për veprat penale të ngritura në përputhje me nenet 406, 420 dhe 34 të Kodit Penal të shtetit të Bangladeshit të vitit 1860, nuk ka ndonjë afat parashkrimi të përcaktuar në Kodin Penal për fillimin e ndjekjes penale. Për më tepër, Kodi i Procedurës Penale i vitit 1898, përcakton mënyrën dhe rastet se si gjykatat marrin në shqyrtim një vepër penale (nenet 190-193), por nuk vendos ndonjë kufizim të përgjithshëm kohor brenda të cilit duhet të depozitohet një çështje. Në thelb, kjo mungesë e kufizimit nënkupton që ndjekja penale mund të fillojë në çdo kohë, me kusht që provat të jenë të vlefshme dhe të respektohen parime të drejtësisë së natyrshme.</w:t>
      </w:r>
    </w:p>
    <w:p w:rsidR="00251387" w:rsidRPr="004F1F62" w:rsidRDefault="00251387" w:rsidP="00C13D88">
      <w:pPr>
        <w:pStyle w:val="ListParagraph"/>
        <w:numPr>
          <w:ilvl w:val="0"/>
          <w:numId w:val="3"/>
        </w:numPr>
        <w:ind w:left="0" w:firstLine="360"/>
        <w:jc w:val="both"/>
        <w:rPr>
          <w:sz w:val="24"/>
          <w:szCs w:val="24"/>
          <w:lang w:val="sq-AL" w:eastAsia="sq-AL"/>
        </w:rPr>
      </w:pPr>
      <w:r w:rsidRPr="004F1F62">
        <w:rPr>
          <w:sz w:val="24"/>
          <w:szCs w:val="24"/>
          <w:lang w:val="sq-AL" w:eastAsia="sq-AL"/>
        </w:rPr>
        <w:t>Në opinionin ligjor të paraqitur nga organet e drejtësisë së Bangladeshit janë pasqyruar fazat e hetimit, fillimin e procedimeve, rolin e gjyqtarit, të drejtat e të akuzuarit gjatë hetimit si mbrojtja kundër vetë inkriminimit, e drejta për avokat, prezumimi i pafajësisë, e drejta për mbikëqyrje të menjëhershme gjyqësore. Po kështu, kur ekziston informacion i mjaftueshëm që lidh një person me një vepër penale, policia mund të procedojë me arrestimin e të dyshuarit. Arrestimet mund të kryhen me urdhër-arresti (të lëshuar nga gjykata) ose pa urdhër në rastin e veprave penale të parashikuara nga ligji. Kodi i Procedurës Penale përcakton mënyrën e arrestimit dhe paraburgimit të mëtejshëm, ndërsa Kushtetuta e Bangladeshit ofron garanci të rëndësishme për të parandaluar abuzimin me kompetencat e arrestimit. Më tej sqarohet procedura e arrestimit, garancitë kushtetuese pas arrestimit, mbikëqyrja gjyqësore (paraburgimi) si dhe të drejtat e të akuzuarit gjatë arrestimit dhe paraburgimit (e drejta për tu informuar për akuzat/arsyet e arrestimit, e drejta për përfaqësim ligjor, mbrojtja nga paraburgimi i paligjshëm, parandalimi i torturës dhe abuzimit dhe njoftimi i menjëhershëm për familjen dhe aksesi). Sipas opinionit pas përfundimit të hetimit, nëse policia gjen prova të mjaftueshme, ajo paraqet një raport (akt-akuzë) në Gjykatë. Çështja kalon më pas në fazën e formulimit të akuzave, ku gjykata formalisht ngre akuzat kundër të pandehurit. Kjo fazë është thelbësore, pasi përcakton saktësisht akuzat me të cilat i pandehuri duhet të përballet dhe të mbrohet. Kodi i Procedurës Penale i Bangladeshit përcakton procedurat për formulimin e akuzave, si në rastet kur gjykimi do të zhvillohet përpara një Gjyqtari, ashtu edhe kur zhvillohet përpara Gjykate të një shkalle më të lartë, dhe siguron që i pandehuri të informohet plotësisht për akuzat dhe t'i jepet mundësia t'i kundërshtojë ato nëse janë të pabaza. Gjykimi është thelbi i procesit penal, gjatë të cilit paraqiten provat në gjykatë, dëshmitarët merren në pyetje dhe gjyqtari vendos për fajësinë ose pafajësinë e të pandehurit (në Bangladesh nuk ka sistem jurie). Procedura e gjykimit në Bangladesh, e rregulluar nga Kodi i Procedurës Penale dhe Ligji për Provat, është me natyrë kundërshtimore (ka kontradiktoritet) dhe bazohet në parimet e drejtësisë së natyrshme dhe të procesit të rregullt ligjor. I pandehuri ka të drejtë për një gjykim të drejtë, publik dhe të paanshëm (sipas përcaktimit kushtetues në nenin</w:t>
      </w:r>
      <w:r w:rsidR="003B6B96" w:rsidRPr="004F1F62">
        <w:rPr>
          <w:sz w:val="24"/>
          <w:szCs w:val="24"/>
          <w:lang w:val="sq-AL" w:eastAsia="sq-AL"/>
        </w:rPr>
        <w:t xml:space="preserve"> </w:t>
      </w:r>
      <w:r w:rsidRPr="004F1F62">
        <w:rPr>
          <w:sz w:val="24"/>
          <w:szCs w:val="24"/>
          <w:lang w:val="sq-AL" w:eastAsia="sq-AL"/>
        </w:rPr>
        <w:t>35(3)). I pandehuri gëzon një sërë garancish për të siguruar një proces të drejtë si e drejta për një gjykim publik, e drejta për përfaqësim ligjor dhe për të paraqitur mbrojtje, prezumimi i pafajësisë dhe barra e provës i pandehuri prezumohet i pafajshëm derisa të provohet fajësia e tij, mbrojtja nga gjykimi i dyfishtë për të njëjtën vepër. Sipas opinionit gjatë gjithë gjykimit, të drejtat e të pandehurit mbrohen në mënyrë aktive nga gjyqtari kryesues dhe korniza ligjore. Në një rast ekstradimi, kjo do të thotë se personi i dorëzuar në Bangladesh do të përballet me një gjykim që përmbush standardet ndërkombëtare të procesit të rregullt ligjor: gjykim në seancë të hapur, mbrojtje ligjore me përfaqësim, mundësi për të kundërshtuar prokurorinë, gjyqtar i paanshëm dhe një vendim i bazuar vetëm në prova të pranueshme ligjërisht në një procedurë ku i pandehuri ka pasur mundësi të plotë për t'i kundërshtuar ato.</w:t>
      </w:r>
    </w:p>
    <w:p w:rsidR="00251387" w:rsidRPr="004F1F62" w:rsidRDefault="00251387" w:rsidP="00C13D88">
      <w:pPr>
        <w:pStyle w:val="ListParagraph"/>
        <w:numPr>
          <w:ilvl w:val="0"/>
          <w:numId w:val="3"/>
        </w:numPr>
        <w:ind w:left="0" w:firstLine="360"/>
        <w:jc w:val="both"/>
        <w:rPr>
          <w:sz w:val="24"/>
          <w:szCs w:val="24"/>
          <w:lang w:val="sq-AL" w:eastAsia="sq-AL"/>
        </w:rPr>
      </w:pPr>
      <w:r w:rsidRPr="004F1F62">
        <w:rPr>
          <w:sz w:val="24"/>
          <w:szCs w:val="24"/>
          <w:lang w:val="sq-AL" w:eastAsia="sq-AL"/>
        </w:rPr>
        <w:t xml:space="preserve">Nëse një i pandehur shpallet fajtor gjatë gjykimit (pra, dënohet për një ose më shumë akuza),Gjykata më pas vendos një dënim të përshtatshëm sipas ligjit. Dënimi në Bangladesh </w:t>
      </w:r>
      <w:r w:rsidRPr="004F1F62">
        <w:rPr>
          <w:sz w:val="24"/>
          <w:szCs w:val="24"/>
          <w:lang w:val="sq-AL" w:eastAsia="sq-AL"/>
        </w:rPr>
        <w:lastRenderedPageBreak/>
        <w:t>rregullohet nga Kodi Penal i vitit 1860 (ose ligje të tjera që përkufizojnë veprën penale) për gamën e ndëshkimeve, dhe nga Kodi i Procedurës Penale për aspektet procedurale. Qëllimi është që ndëshkimi të jetë i përshtatshëm me veprën penale dhe rrethanat e autorit të saj, ndërsa të drejtat dhe garancitë ligjore vijojnë të zbatohen edhe në këtë fazë. Opsionet e dënimit: Në varësi të veprës penale, dënimet mund të përfshijnë: gjoba, dënim me kusht, burgim me afate të ndryshme, deri te dënimi me vdekje për krimet më të rënda si vrasja apo tradhtia (që vazhdon të ekzistojë në legjislacionin e Bangladeshit). Kodi Penal i vitit 1860 përshkruan dënimet për secilën vepër penale. Kodi i Procedurës Penale përmban dispozita për mënyrën e ekzekutimit të dënimeve dhe për rrethanat e dënimeve të njëkohshme ose të njëpasnjëshme nëse i pandehuri dënohet për më shumë se një vepër penale (nenet35 dhe 397 të KPP, etj.). Gjykatat në përgjithësi gëzojnë diskrecion brenda kufijve ligjorë dhe udhëhiqen nga precedentët e mëparshëm gjyqësorë dhe parimi i proporcionalitetit. Të drejtat e të akuzuarit gjatë fazës së dënimit janë e drejta kundër dënimeve mizore dhe çnjerëzore, e drejta për të kërkuar mëshirë (Pas shpalljes së dënimit, i akuzuari (tani i dënuar) ka disa mundësi për të kërkuar falje. Neni 49 i Kushtetutës i jep Presidentit të Bangladeshit të drejtën për të dhënë falje, shtyrje apo zbutje të dënimeve. Veçanërisht në rastet e dënimit me vdekje, është praktikë që i dëmtuari të ketë të drejtë të paraqesë një kërkesë për falje te Presidenti, si mjet i fundit, pasi të jenë shteruar të gjitha mjetet gjyqësore. I akuzuari nuk mund të dënohet dy herë për të njëjtën vepër penale (neni 35</w:t>
      </w:r>
      <w:r w:rsidR="003B6B96" w:rsidRPr="004F1F62">
        <w:rPr>
          <w:sz w:val="24"/>
          <w:szCs w:val="24"/>
          <w:lang w:val="sq-AL" w:eastAsia="sq-AL"/>
        </w:rPr>
        <w:t xml:space="preserve"> </w:t>
      </w:r>
      <w:r w:rsidRPr="004F1F62">
        <w:rPr>
          <w:sz w:val="24"/>
          <w:szCs w:val="24"/>
          <w:lang w:val="sq-AL" w:eastAsia="sq-AL"/>
        </w:rPr>
        <w:t>(2) i Kushtetutës).</w:t>
      </w:r>
    </w:p>
    <w:p w:rsidR="00251387" w:rsidRPr="004F1F62" w:rsidRDefault="00251387" w:rsidP="00C13D88">
      <w:pPr>
        <w:pStyle w:val="ListParagraph"/>
        <w:numPr>
          <w:ilvl w:val="0"/>
          <w:numId w:val="3"/>
        </w:numPr>
        <w:ind w:left="0" w:firstLine="360"/>
        <w:jc w:val="both"/>
        <w:rPr>
          <w:sz w:val="24"/>
          <w:szCs w:val="24"/>
          <w:lang w:val="sq-AL" w:eastAsia="sq-AL"/>
        </w:rPr>
      </w:pPr>
      <w:r w:rsidRPr="004F1F62">
        <w:rPr>
          <w:sz w:val="24"/>
          <w:szCs w:val="24"/>
          <w:lang w:val="sq-AL" w:eastAsia="sq-AL"/>
        </w:rPr>
        <w:t>Sistemi ligjor i Bangladeshit parashikon disa nivele apeli dhe rishikimi për të siguruar që dënimet dhe vendimet penale të jenë të sakta, të ligjshme dhe të drejta. Një i pandehur që dënohet nga Gjykata e shkallës së parë ka të drejtë të apelojë vendimin në një gjykatë më të lartë dhe, edhe pas apelit, gjykatat më të larta kanë fuqi për rishikim apo korrigjim në interes të drejtësisë. Këto mjete apelimi janë të drejta thelbësore, pasi lejojnë korrigjimin e gabimeve të bëra gjatë gjykimit dhe mbrojnë kundër dënimeve të padrejta. Nëse një person dënohet nga një Gjykatë e shkallës së parë (Magistrates Court), ai zakonisht ka të drejtë të apelojë vendimin në Gjykatën e Seancave (Sessions Court), përveç rasteve shumë të lehta (p.sh. në rastin e gjobave të vogla) ose rasteve kur ka pranuar fajësinë (me disa përjashtime të vogla). Neni 408 i K.Pr. Penale (siç është ndryshuar në Bangladesh) parashikon se çdo person i dënuar nga një Gjyqtar ose një Gjyqtar Metropolitan i klasit të parë mund të apelojë vendimin në Gjykatën e një shkalle më të lartë (Gjykata e Seancave) të rrethit. Ka dispozita që sigurojnë që dënimet më të rënda të dhëna nga gjyqtarët (mbi kufijtë caktuar) të shkojnë direkt në apel në Kolegjin e Lartë, por në përgjithësi, një nivel apelimi është i garantuar. Nëse një person dënohet nga Gjykata e Seancave (për shembull, pas një gjykimi për një vepër të rëndë penale), ai ka të drejtë ligjore të apelojë në Kolegjin e Lartë të Gjykatës së Lartë. Neni 410 i KPP përcakton që: “</w:t>
      </w:r>
      <w:r w:rsidRPr="004F1F62">
        <w:rPr>
          <w:i/>
          <w:iCs/>
          <w:sz w:val="24"/>
          <w:szCs w:val="24"/>
          <w:lang w:val="sq-AL" w:eastAsia="sq-AL"/>
        </w:rPr>
        <w:t>Çdo person i dënuar në një gjykim të mbajtur nga një Gjyqtar i Seancave, ose një Gjyqtar i Seancave Shtesë, mund të apelojë vendimin në Kolegjin e Lartë</w:t>
      </w:r>
      <w:r w:rsidRPr="004F1F62">
        <w:rPr>
          <w:sz w:val="24"/>
          <w:szCs w:val="24"/>
          <w:lang w:val="sq-AL" w:eastAsia="sq-AL"/>
        </w:rPr>
        <w:t xml:space="preserve">”. Kjo do të thotë se për të gjitha veprat penale të rënda të gjykuara nga Gjyqtari i Seancave (që përfshijnë shumicën e veprave të dënueshme me mbi 7 vite burg, burgim të përjetshëm ose dënim me vdekje), apeli i parë do të dëgjohet nga një trupë gjyqësore e Kolegjit të Lartë. Kolegji i Lartë, gjatë apelimit, shqyrton argumentet ligjore dhe mund të shfuqizojë dënimin ose shpalljen e pafajësisë, të ndryshojë dënimin, ose të urdhërojë rigjykim, etj. (në përputhje me kompetencat e tij sipas nenit 423 të KPP). Pas vendimit të Kolegjit të Lartë mbi një apelim, një apel i mëtejshëm në Kolegjin e Apelit të Gjykatës së Lartë (gjykata më e lartë) është i mundur në rrethana të caktuara. Kjo zakonisht kërkon ose një vërtetim nga Kolegji i Lartë që rasti përfshin një çështje të rëndësishme ligjore me rëndësi të përgjithshme, ose miratimin për apel nga Kolegji i Apelit sipas nenit 103 të Kushtetutës. Në praktikë, rastet serioze (veçanërisht kur Kolegji i Lartë ka lënë në fuqi një dënim me vdekje ose burgim të përjetshëm) shpesh arrijnë në Kolegjin e Apelit. Edhe pse jo çdo çështje mund të apelohet automatikisht në Kolegjin e Apelit, ekzistenca e kësaj shkalle më të lartë shqyrtimi është një veçori e rëndësishme e sistemit, pasi ajo mund të adresojë çdo ankesë, të mund të lërë në fuqi vendimin e Kolegjit të Lartë ose rrëzojë atë, dhe gjykimi i tij është përfundimtar. Përveç </w:t>
      </w:r>
      <w:r w:rsidRPr="004F1F62">
        <w:rPr>
          <w:sz w:val="24"/>
          <w:szCs w:val="24"/>
          <w:lang w:val="sq-AL" w:eastAsia="sq-AL"/>
        </w:rPr>
        <w:lastRenderedPageBreak/>
        <w:t>apelimeve, gjykatat më të larta kanë edhe kompetenca rishikimi për të korrigjuar padrejtësitë gjyqësore.</w:t>
      </w:r>
    </w:p>
    <w:p w:rsidR="00251387" w:rsidRPr="004F1F62" w:rsidRDefault="00251387" w:rsidP="00C13D88">
      <w:pPr>
        <w:pStyle w:val="ListParagraph"/>
        <w:numPr>
          <w:ilvl w:val="0"/>
          <w:numId w:val="3"/>
        </w:numPr>
        <w:ind w:left="0" w:firstLine="360"/>
        <w:jc w:val="both"/>
        <w:rPr>
          <w:sz w:val="24"/>
          <w:szCs w:val="24"/>
          <w:lang w:val="sq-AL" w:eastAsia="sq-AL"/>
        </w:rPr>
      </w:pPr>
      <w:r w:rsidRPr="004F1F62">
        <w:rPr>
          <w:sz w:val="24"/>
          <w:szCs w:val="24"/>
          <w:lang w:val="sq-AL" w:eastAsia="sq-AL"/>
        </w:rPr>
        <w:t>Gjatë gjykimit në shkallë të parë, nga ana e mbrojtjes së shtetasit Sohel Rana Sheikh, është pretenduar se krahas çështjes së regjistruar në regjistrin e Interpolit, ndaj këtij shtetasi, kishte edhe një tjetër urdhër arresti me numër R60/20 për veprën penale të “Vrasje” e kryer ne bashkëpunim, e parashikuar nga Kodi Penal i Bangladeshit në nenin 302, për të cilën parashikohej dënimi me vdekje (një pretendim i tillë ishte ngritur edhe në apel me rastin e shqyrtimit të ankimeve ndaj masave të sigurimit). Sipas mbrojtjes në Korrik të vitit 2024, në Bangladesh kishte filluar një valë protestash të studenteve që më vonë morën emrin “Revolucioni i Korrikut”. Këto protesta ishin të drejtuara kundër partisë në pushtet “Lidhja A</w:t>
      </w:r>
      <w:r w:rsidR="002E5220" w:rsidRPr="004F1F62">
        <w:rPr>
          <w:sz w:val="24"/>
          <w:szCs w:val="24"/>
          <w:lang w:val="sq-AL" w:eastAsia="sq-AL"/>
        </w:rPr>
        <w:t>w</w:t>
      </w:r>
      <w:r w:rsidRPr="004F1F62">
        <w:rPr>
          <w:sz w:val="24"/>
          <w:szCs w:val="24"/>
          <w:lang w:val="sq-AL" w:eastAsia="sq-AL"/>
        </w:rPr>
        <w:t>ami”, dhe shpejt morën mbështetjen e partive opozitare si Partia Nacionaliste Bengoli, dhe u kthyen në të dhunshme duke sjellë sipas raportimeve ndërkombëtare më shumë se 1000 viktima. Me rritjen e dhunës, kryeministria e kohës Hassina Sheikh dha dorëheqjen dhe u largua nga vendi, duke sjellë në pushtet një qeveri të përkohshme të kontrolluar nga partitë që deri në atë moment ishin kundërshtare. Qeveria e re, filloi represionin ndaj oficerëve të policisë dhe mbështetësve të Lidhjes A</w:t>
      </w:r>
      <w:r w:rsidR="002E5220" w:rsidRPr="004F1F62">
        <w:rPr>
          <w:sz w:val="24"/>
          <w:szCs w:val="24"/>
          <w:lang w:val="sq-AL" w:eastAsia="sq-AL"/>
        </w:rPr>
        <w:t>w</w:t>
      </w:r>
      <w:r w:rsidRPr="004F1F62">
        <w:rPr>
          <w:sz w:val="24"/>
          <w:szCs w:val="24"/>
          <w:lang w:val="sq-AL" w:eastAsia="sq-AL"/>
        </w:rPr>
        <w:t>ami duke i fajësuar për</w:t>
      </w:r>
      <w:r w:rsidR="002E5220" w:rsidRPr="004F1F62">
        <w:rPr>
          <w:sz w:val="24"/>
          <w:szCs w:val="24"/>
          <w:lang w:val="sq-AL" w:eastAsia="sq-AL"/>
        </w:rPr>
        <w:t xml:space="preserve"> </w:t>
      </w:r>
      <w:r w:rsidRPr="004F1F62">
        <w:rPr>
          <w:sz w:val="24"/>
          <w:szCs w:val="24"/>
          <w:lang w:val="sq-AL" w:eastAsia="sq-AL"/>
        </w:rPr>
        <w:t>dhunën dhe vrasjet. Ndër këto ngjarje janë raportuar në media: “</w:t>
      </w:r>
      <w:r w:rsidRPr="004F1F62">
        <w:rPr>
          <w:i/>
          <w:iCs/>
          <w:sz w:val="24"/>
          <w:szCs w:val="24"/>
          <w:lang w:val="sq-AL" w:eastAsia="sq-AL"/>
        </w:rPr>
        <w:t>Nayek Glas Uddin, oficer policie, u rrah për vdekje dhe trupi i tij u var nga këmbët nga një ure në qytetin e Jatrabari (19Korrik 2024); Anisur Rahman Mollah, oficer policie, se bashku me 14 kolegë tëtij u vranë brenda në komisariatin e policisë se Enayetpur ndërsa ishin të paarmatosur (4 Gusht 2024); Sontosh Das Choëdhury, oficer policie, pasi u kap nga protestuesit, u vra dhe trupi i tij u var përpara stacionit te policisë së Baniachong (5 Gusht 2025); Yunus Ali, oficer policie, u vra nga protestuesit ne Rangpur (6 Gusht 2024)</w:t>
      </w:r>
      <w:r w:rsidRPr="004F1F62">
        <w:rPr>
          <w:sz w:val="24"/>
          <w:szCs w:val="24"/>
          <w:lang w:val="sq-AL" w:eastAsia="sq-AL"/>
        </w:rPr>
        <w:t>”. Këta ishin vetëm disa shembuj nga disa dhjetëra policë të vrarë për arsyen e vetme se ishin zyrtar</w:t>
      </w:r>
      <w:r w:rsidR="002E5220" w:rsidRPr="004F1F62">
        <w:rPr>
          <w:sz w:val="24"/>
          <w:szCs w:val="24"/>
          <w:lang w:val="sq-AL" w:eastAsia="sq-AL"/>
        </w:rPr>
        <w:t>ë</w:t>
      </w:r>
      <w:r w:rsidRPr="004F1F62">
        <w:rPr>
          <w:sz w:val="24"/>
          <w:szCs w:val="24"/>
          <w:lang w:val="sq-AL" w:eastAsia="sq-AL"/>
        </w:rPr>
        <w:t xml:space="preserve"> policie nën një regjim të caktuar. Për asnjë nga këto sulme nuk ka patur persona të hetuar, procedime të filluara ose përpjekje për zbardhjen e ngjarjes. Saidur Rahman, një nga zyrtaret e lartë të Partisë Nacionaliste të Bangladeshit është shprehur se “</w:t>
      </w:r>
      <w:r w:rsidRPr="004F1F62">
        <w:rPr>
          <w:i/>
          <w:iCs/>
          <w:sz w:val="24"/>
          <w:szCs w:val="24"/>
          <w:lang w:val="sq-AL" w:eastAsia="sq-AL"/>
        </w:rPr>
        <w:t>sulmet ndaj stacioneve të policisë ishin të nevojshme për të rrëzuar qeverinë dhe thyer shtyllën mbajtëse të Policisë së Bangladeshit</w:t>
      </w:r>
      <w:r w:rsidRPr="004F1F62">
        <w:rPr>
          <w:sz w:val="24"/>
          <w:szCs w:val="24"/>
          <w:lang w:val="sq-AL" w:eastAsia="sq-AL"/>
        </w:rPr>
        <w:t>”. Ky ishte një ndër zyrtarët që përfaqësonin qeverinë dhe ushtronin tashmë pushtetin në Bangladesh.</w:t>
      </w:r>
    </w:p>
    <w:p w:rsidR="00251387" w:rsidRPr="004F1F62" w:rsidRDefault="00251387" w:rsidP="00C13D88">
      <w:pPr>
        <w:pStyle w:val="ListParagraph"/>
        <w:numPr>
          <w:ilvl w:val="0"/>
          <w:numId w:val="3"/>
        </w:numPr>
        <w:ind w:left="0" w:firstLine="360"/>
        <w:jc w:val="both"/>
        <w:rPr>
          <w:sz w:val="24"/>
          <w:szCs w:val="24"/>
          <w:lang w:val="sq-AL" w:eastAsia="sq-AL"/>
        </w:rPr>
      </w:pPr>
      <w:r w:rsidRPr="004F1F62">
        <w:rPr>
          <w:sz w:val="24"/>
          <w:szCs w:val="24"/>
          <w:lang w:val="sq-AL" w:eastAsia="sq-AL"/>
        </w:rPr>
        <w:t>Sipas pretendimeve të mbrojtjes në shkallë të parë, raportimet në media ndërkombëtare tregonin qartë se disa fraksione politike në Bangladesh, tani dominuese pas rënies se kryeministres Sheikh Hasina, po marrin hakmarrje kundër armiqve të tyre politik</w:t>
      </w:r>
      <w:r w:rsidR="002E5220" w:rsidRPr="004F1F62">
        <w:rPr>
          <w:sz w:val="24"/>
          <w:szCs w:val="24"/>
          <w:lang w:val="sq-AL" w:eastAsia="sq-AL"/>
        </w:rPr>
        <w:t>ë</w:t>
      </w:r>
      <w:r w:rsidRPr="004F1F62">
        <w:rPr>
          <w:sz w:val="24"/>
          <w:szCs w:val="24"/>
          <w:lang w:val="sq-AL" w:eastAsia="sq-AL"/>
        </w:rPr>
        <w:t xml:space="preserve"> duke përdorur procese “në dukje” legjitime të vënies para përgjegjësisë të atyre që janë përgjegjës për vrasjet dhe të shtënat me armë ndaj protestuesve midis 16 korrikut dhe 5 gushtit 2024 - https://</w:t>
      </w:r>
      <w:r w:rsidR="002E5220" w:rsidRPr="004F1F62">
        <w:rPr>
          <w:sz w:val="24"/>
          <w:szCs w:val="24"/>
          <w:lang w:val="sq-AL" w:eastAsia="sq-AL"/>
        </w:rPr>
        <w:t>www</w:t>
      </w:r>
      <w:r w:rsidRPr="004F1F62">
        <w:rPr>
          <w:sz w:val="24"/>
          <w:szCs w:val="24"/>
          <w:lang w:val="sq-AL" w:eastAsia="sq-AL"/>
        </w:rPr>
        <w:t>.justiceinfo.net/en/144479-bangladesh-justice-vs-justice.htm)</w:t>
      </w:r>
      <w:r w:rsidR="002E5220" w:rsidRPr="004F1F62">
        <w:rPr>
          <w:sz w:val="24"/>
          <w:szCs w:val="24"/>
          <w:lang w:val="sq-AL" w:eastAsia="sq-AL"/>
        </w:rPr>
        <w:t xml:space="preserve">. </w:t>
      </w:r>
      <w:r w:rsidRPr="004F1F62">
        <w:rPr>
          <w:sz w:val="24"/>
          <w:szCs w:val="24"/>
          <w:lang w:val="sq-AL" w:eastAsia="sq-AL"/>
        </w:rPr>
        <w:t>Për me tepër, Shqipëria nuk kishte asnjë mjet ligjor për imponimin e tyre në</w:t>
      </w:r>
      <w:r w:rsidR="002E5220" w:rsidRPr="004F1F62">
        <w:rPr>
          <w:sz w:val="24"/>
          <w:szCs w:val="24"/>
          <w:lang w:val="sq-AL" w:eastAsia="sq-AL"/>
        </w:rPr>
        <w:t xml:space="preserve"> </w:t>
      </w:r>
      <w:r w:rsidRPr="004F1F62">
        <w:rPr>
          <w:sz w:val="24"/>
          <w:szCs w:val="24"/>
          <w:lang w:val="sq-AL" w:eastAsia="sq-AL"/>
        </w:rPr>
        <w:t>rast së këto garanci do të shkelen nga ana e autoriteteve t</w:t>
      </w:r>
      <w:r w:rsidR="002E5220" w:rsidRPr="004F1F62">
        <w:rPr>
          <w:sz w:val="24"/>
          <w:szCs w:val="24"/>
          <w:lang w:val="sq-AL" w:eastAsia="sq-AL"/>
        </w:rPr>
        <w:t>ë</w:t>
      </w:r>
      <w:r w:rsidRPr="004F1F62">
        <w:rPr>
          <w:sz w:val="24"/>
          <w:szCs w:val="24"/>
          <w:lang w:val="sq-AL" w:eastAsia="sq-AL"/>
        </w:rPr>
        <w:t xml:space="preserve"> Bangladeshit. Ekstradimi i Z. Sheikh në një vend ku ai mund të përballej me dënimin me vdekje do te përbente një shkelje të drejtpërdrejtë artikujve 2 dhe 3 të Konventës Evropiane të të Drejtave të Njeriut. Sipas të gjitha raporteve ndërkombëtare mbi te drejtat e njeriut, por në veçanti të Departamentit Amerikan të Shtetit, kishte pasur dëshmi të qarta për torturën dhe keqtrajtimin e të arrestuarve dhe ndaluarve nga forcat e sigurisë. Dëshmitë përfshinin përdorimin e forcës fizike, kërcënimeve, dhe dhunës psikologjike për të nxjerrë informacion nga të arrestuarit, ose ndëshkimin e tyre për mbështetjen e një partie politike kundërshtare. Gjithashtu, raporti dokumenton se ka një rritje të vrasjeve dhe ekzekutimeve jashtëgjyqësore, kryesisht nga agjencitë e sigurisë. Këto akte janë shpesh të pa raportuara dhe nuk ndiqen penalisht, duke shkaktuar një klimë frike. Kjo mund te evidentohet lehtësisht në raportet ndërkombëtare si:1. Ref:Human Rights </w:t>
      </w:r>
      <w:r w:rsidR="002E5220" w:rsidRPr="004F1F62">
        <w:rPr>
          <w:sz w:val="24"/>
          <w:szCs w:val="24"/>
          <w:lang w:val="sq-AL" w:eastAsia="sq-AL"/>
        </w:rPr>
        <w:t>W</w:t>
      </w:r>
      <w:r w:rsidRPr="004F1F62">
        <w:rPr>
          <w:sz w:val="24"/>
          <w:szCs w:val="24"/>
          <w:lang w:val="sq-AL" w:eastAsia="sq-AL"/>
        </w:rPr>
        <w:t>atch</w:t>
      </w:r>
      <w:r w:rsidR="002E5220" w:rsidRPr="004F1F62">
        <w:rPr>
          <w:sz w:val="24"/>
          <w:szCs w:val="24"/>
          <w:lang w:val="sq-AL" w:eastAsia="sq-AL"/>
        </w:rPr>
        <w:t>. (2025).</w:t>
      </w:r>
      <w:r w:rsidRPr="004F1F62">
        <w:rPr>
          <w:sz w:val="24"/>
          <w:szCs w:val="24"/>
          <w:lang w:val="sq-AL" w:eastAsia="sq-AL"/>
        </w:rPr>
        <w:t>Ra</w:t>
      </w:r>
      <w:r w:rsidR="002E5220" w:rsidRPr="004F1F62">
        <w:rPr>
          <w:sz w:val="24"/>
          <w:szCs w:val="24"/>
          <w:lang w:val="sq-AL" w:eastAsia="sq-AL"/>
        </w:rPr>
        <w:t xml:space="preserve">porti Botëror 2025:Bangladesh. Marrë </w:t>
      </w:r>
      <w:r w:rsidRPr="004F1F62">
        <w:rPr>
          <w:sz w:val="24"/>
          <w:szCs w:val="24"/>
          <w:lang w:val="sq-AL" w:eastAsia="sq-AL"/>
        </w:rPr>
        <w:t>nga:https://</w:t>
      </w:r>
      <w:r w:rsidR="002E5220" w:rsidRPr="004F1F62">
        <w:rPr>
          <w:sz w:val="24"/>
          <w:szCs w:val="24"/>
          <w:lang w:val="sq-AL" w:eastAsia="sq-AL"/>
        </w:rPr>
        <w:t>www</w:t>
      </w:r>
      <w:r w:rsidRPr="004F1F62">
        <w:rPr>
          <w:sz w:val="24"/>
          <w:szCs w:val="24"/>
          <w:lang w:val="sq-AL" w:eastAsia="sq-AL"/>
        </w:rPr>
        <w:t>.hr</w:t>
      </w:r>
      <w:r w:rsidR="002E5220" w:rsidRPr="004F1F62">
        <w:rPr>
          <w:sz w:val="24"/>
          <w:szCs w:val="24"/>
          <w:lang w:val="sq-AL" w:eastAsia="sq-AL"/>
        </w:rPr>
        <w:t>w</w:t>
      </w:r>
      <w:r w:rsidRPr="004F1F62">
        <w:rPr>
          <w:sz w:val="24"/>
          <w:szCs w:val="24"/>
          <w:lang w:val="sq-AL" w:eastAsia="sq-AL"/>
        </w:rPr>
        <w:t>.org/</w:t>
      </w:r>
      <w:r w:rsidR="002E5220" w:rsidRPr="004F1F62">
        <w:rPr>
          <w:sz w:val="24"/>
          <w:szCs w:val="24"/>
          <w:lang w:val="sq-AL" w:eastAsia="sq-AL"/>
        </w:rPr>
        <w:t>w</w:t>
      </w:r>
      <w:r w:rsidRPr="004F1F62">
        <w:rPr>
          <w:sz w:val="24"/>
          <w:szCs w:val="24"/>
          <w:lang w:val="sq-AL" w:eastAsia="sq-AL"/>
        </w:rPr>
        <w:t>orld-report/2025/country-chapters/bangladesh. 2. Ref:Departamenti i Shtetit i SHBA-së. (2024). Raportet e Vendit 2023 mbi Praktikate të Drejtave të Njeriut: Bangladesh. Shihni këtu: https://</w:t>
      </w:r>
      <w:r w:rsidR="002E5220" w:rsidRPr="004F1F62">
        <w:rPr>
          <w:sz w:val="24"/>
          <w:szCs w:val="24"/>
          <w:lang w:val="sq-AL" w:eastAsia="sq-AL"/>
        </w:rPr>
        <w:t>www</w:t>
      </w:r>
      <w:r w:rsidRPr="004F1F62">
        <w:rPr>
          <w:sz w:val="24"/>
          <w:szCs w:val="24"/>
          <w:lang w:val="sq-AL" w:eastAsia="sq-AL"/>
        </w:rPr>
        <w:t>.state.gov/reports/2023-country-reports-on-human-rights-practices/bangladesh.3. Ref: Amnesty International. (2022). Raporti i Amnesty International2021/2022: Gjendja e të drejtave të njeriut në botë (faqja 87). Londër: AmnestyInternational.</w:t>
      </w:r>
    </w:p>
    <w:p w:rsidR="00251387" w:rsidRPr="004F1F62" w:rsidRDefault="00251387" w:rsidP="00C13D88">
      <w:pPr>
        <w:pStyle w:val="ListParagraph"/>
        <w:numPr>
          <w:ilvl w:val="0"/>
          <w:numId w:val="3"/>
        </w:numPr>
        <w:ind w:left="0" w:firstLine="360"/>
        <w:jc w:val="both"/>
        <w:rPr>
          <w:sz w:val="24"/>
          <w:szCs w:val="24"/>
          <w:lang w:val="sq-AL" w:eastAsia="sq-AL"/>
        </w:rPr>
      </w:pPr>
      <w:r w:rsidRPr="004F1F62">
        <w:rPr>
          <w:sz w:val="24"/>
          <w:szCs w:val="24"/>
          <w:lang w:val="sq-AL" w:eastAsia="sq-AL"/>
        </w:rPr>
        <w:lastRenderedPageBreak/>
        <w:t>Bazuar në pretendimet e mbrojtjes, që nëse provoheshin përbënin kusht pengues për ekstradimin, nga ana e organit të Prokurorisë me shkresën nr.484/1Prot., datë24.04.2025 i është kërkuar informacion shtesë në lidhje me zhvillimin e procedurës së ekstradimit, përcjellë nga Ministri i Drejtësisë së R.Shqipërisë, Autoriteteve të Drejtësisë së Republikës Popullore të Bangladeshit. Me shkresën me nr.1268/11Prot., datë 02.05.2025, Ministri i Drejtësisë ka kërkuar nga autoritetet e Bangladeshit që në zbatim të Konventës për Mbrojtjen e të Drejtave të Njeriut dhe Lirive Themelore dhe legjislacionit penal shqiptar, vënien në dispozicion të garancive se ndaj shtetasit Sohel Rana Sheikh nuk do të aplikohet dënimi me vdekje. Bashkëlidhur i është dërguar dokumentacioni me shkresën Nr. 199/35 Prot./R.P, datë 28.04.2025, të Prokurorisë së Përgjithshme.</w:t>
      </w:r>
    </w:p>
    <w:p w:rsidR="00251387" w:rsidRPr="004F1F62" w:rsidRDefault="00251387" w:rsidP="00C13D88">
      <w:pPr>
        <w:pStyle w:val="ListParagraph"/>
        <w:numPr>
          <w:ilvl w:val="0"/>
          <w:numId w:val="3"/>
        </w:numPr>
        <w:ind w:left="0" w:firstLine="360"/>
        <w:jc w:val="both"/>
        <w:rPr>
          <w:sz w:val="24"/>
          <w:szCs w:val="24"/>
          <w:lang w:val="sq-AL" w:eastAsia="sq-AL"/>
        </w:rPr>
      </w:pPr>
      <w:r w:rsidRPr="004F1F62">
        <w:rPr>
          <w:sz w:val="24"/>
          <w:szCs w:val="24"/>
          <w:lang w:val="sq-AL" w:eastAsia="sq-AL"/>
        </w:rPr>
        <w:t>Me shkresën nr</w:t>
      </w:r>
      <w:r w:rsidR="002E5220" w:rsidRPr="004F1F62">
        <w:rPr>
          <w:sz w:val="24"/>
          <w:szCs w:val="24"/>
          <w:lang w:val="sq-AL" w:eastAsia="sq-AL"/>
        </w:rPr>
        <w:t>.</w:t>
      </w:r>
      <w:r w:rsidRPr="004F1F62">
        <w:rPr>
          <w:sz w:val="24"/>
          <w:szCs w:val="24"/>
          <w:lang w:val="sq-AL" w:eastAsia="sq-AL"/>
        </w:rPr>
        <w:t>199/40Prot.,datë 30.05.2025, Drejtoria e Marrëdhënieve Juridiksionale me Jashtë ka referuar shkresën nr.1939/3Prot., datë 29.05.2025, të Ministrit të Drejtësisë dhe materialin bashkëlidhur. Sipas përgjigjes referohet se shtetasi Sohel Rana Sheikh  po përpiqej të pengonte ekstradimin e tij duke paraqitur dokumente të falsifikuara në procedurat ligjore. Në mënyrë konkrete, deklarohet se ai ka mashtruar hapur se është i pandehur i çështjes</w:t>
      </w:r>
      <w:r w:rsidR="002E5220" w:rsidRPr="004F1F62">
        <w:rPr>
          <w:sz w:val="24"/>
          <w:szCs w:val="24"/>
          <w:lang w:val="sq-AL" w:eastAsia="sq-AL"/>
        </w:rPr>
        <w:t xml:space="preserve"> </w:t>
      </w:r>
      <w:r w:rsidRPr="004F1F62">
        <w:rPr>
          <w:sz w:val="24"/>
          <w:szCs w:val="24"/>
          <w:lang w:val="sq-AL" w:eastAsia="sq-AL"/>
        </w:rPr>
        <w:t>nr.20, datë 27.09.2024, i Policisë Metropolitane të Dhakës (DMP), duke pretenduar se çështja ka të bëjë me një vepër penale të dënim me vdekje. Në të vërtetë shtetasi Sheikh ka ndërhyrë në mënyrë të paligjshme në dokumentet zyrtare dhe ka futur emrin e tij në çështjet e kësaj dosje. Bashkëlidhur është dërguar dhe lista faktike të personave të pandehur në këtë çështje. Në këto rrethana, theksohet se shtetasi Sheikh nuk do të përballet me dënimin me vdekje pas ekstradimit në Bangladesh. Çështja për të cilën ai akuzohet ligjërisht nuk përmban dispozita për dënim me vdekje. Qëllimi i ekstradimit të tij është vetëm për ta nxjerrë atë përpara drejtësisë në përputhje me ligjet e Bangladeshit dhe parimet e procesit të rregullt ligjor.</w:t>
      </w:r>
    </w:p>
    <w:p w:rsidR="00251387" w:rsidRPr="004F1F62" w:rsidRDefault="00251387" w:rsidP="00C13D88">
      <w:pPr>
        <w:pStyle w:val="ListParagraph"/>
        <w:numPr>
          <w:ilvl w:val="0"/>
          <w:numId w:val="3"/>
        </w:numPr>
        <w:ind w:left="0" w:firstLine="360"/>
        <w:jc w:val="both"/>
        <w:rPr>
          <w:sz w:val="24"/>
          <w:szCs w:val="24"/>
          <w:lang w:val="sq-AL" w:eastAsia="sq-AL"/>
        </w:rPr>
      </w:pPr>
      <w:r w:rsidRPr="004F1F62">
        <w:rPr>
          <w:sz w:val="24"/>
          <w:szCs w:val="24"/>
          <w:lang w:val="sq-AL" w:eastAsia="sq-AL"/>
        </w:rPr>
        <w:t>Sipas prokurorit në shkallë të parë, nga përgjigja e dërguar nga autoritetet e Bangladeshit rezulton se aktet e paraqitura nga shtetasi Sohel Rana Sheik</w:t>
      </w:r>
      <w:r w:rsidR="002E5220" w:rsidRPr="004F1F62">
        <w:rPr>
          <w:sz w:val="24"/>
          <w:szCs w:val="24"/>
          <w:lang w:val="sq-AL" w:eastAsia="sq-AL"/>
        </w:rPr>
        <w:t>h</w:t>
      </w:r>
      <w:r w:rsidRPr="004F1F62">
        <w:rPr>
          <w:sz w:val="24"/>
          <w:szCs w:val="24"/>
          <w:lang w:val="sq-AL" w:eastAsia="sq-AL"/>
        </w:rPr>
        <w:t xml:space="preserve"> (jo në formën ligjore të kërkuar në Republikën e Shqipërisë) nuk përmbushnin standar</w:t>
      </w:r>
      <w:r w:rsidR="002E5220" w:rsidRPr="004F1F62">
        <w:rPr>
          <w:sz w:val="24"/>
          <w:szCs w:val="24"/>
          <w:lang w:val="sq-AL" w:eastAsia="sq-AL"/>
        </w:rPr>
        <w:t>d</w:t>
      </w:r>
      <w:r w:rsidRPr="004F1F62">
        <w:rPr>
          <w:sz w:val="24"/>
          <w:szCs w:val="24"/>
          <w:lang w:val="sq-AL" w:eastAsia="sq-AL"/>
        </w:rPr>
        <w:t>et për pranimin e pretendimit të paraqitur pasi nuk përbënin akt zyrtar të saktë, referuar aktit të vërtetë të lëshuar nga autoritete</w:t>
      </w:r>
      <w:r w:rsidR="002E5220" w:rsidRPr="004F1F62">
        <w:rPr>
          <w:sz w:val="24"/>
          <w:szCs w:val="24"/>
          <w:lang w:val="sq-AL" w:eastAsia="sq-AL"/>
        </w:rPr>
        <w:t xml:space="preserve">t e drejtësisë së Bangladeshit. </w:t>
      </w:r>
      <w:r w:rsidRPr="004F1F62">
        <w:rPr>
          <w:sz w:val="24"/>
          <w:szCs w:val="24"/>
          <w:lang w:val="sq-AL" w:eastAsia="sq-AL"/>
        </w:rPr>
        <w:t>Po kështu, sipas autoriteteve të Bangladeshit, shtetasi Sohel Rana Sheikh nuk përballet me mundësinë e dënimit me vdekje në shtetin e Bangladeshit. Kërkesa për ekstradimin e shtetasit Sohel Rana Sheik duhet pranuar pasi rezultojnë të plotësuar të gjitha kushtet për të kryer ekstradimin e shtetasit Sohel Rana Sheikh nga Shqipëria në Bangladesh dhe rezulton i pabazuar pretendimi i shtetasit Sohel Rana Sheik</w:t>
      </w:r>
      <w:r w:rsidR="002E5220" w:rsidRPr="004F1F62">
        <w:rPr>
          <w:sz w:val="24"/>
          <w:szCs w:val="24"/>
          <w:lang w:val="sq-AL" w:eastAsia="sq-AL"/>
        </w:rPr>
        <w:t>h</w:t>
      </w:r>
      <w:r w:rsidRPr="004F1F62">
        <w:rPr>
          <w:sz w:val="24"/>
          <w:szCs w:val="24"/>
          <w:lang w:val="sq-AL" w:eastAsia="sq-AL"/>
        </w:rPr>
        <w:t xml:space="preserve"> se në shtetin e Bangladeshit rrezikon të dënohet me vdekje. Prokuroria pranë Gjykatës së Shkallës së Parë i ka kërkuar gjykatës, që në arsyetimin e vendimit të saj të shprehet edhe për faktin se ekstradimi kryhet vetëm për faktet penale të referuara në kërkesën për ekstradim.</w:t>
      </w:r>
    </w:p>
    <w:p w:rsidR="00251387" w:rsidRPr="004F1F62" w:rsidRDefault="00251387" w:rsidP="00C13D88">
      <w:pPr>
        <w:pStyle w:val="ListParagraph"/>
        <w:numPr>
          <w:ilvl w:val="0"/>
          <w:numId w:val="3"/>
        </w:numPr>
        <w:tabs>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0" w:firstLine="360"/>
        <w:jc w:val="both"/>
        <w:rPr>
          <w:sz w:val="24"/>
          <w:szCs w:val="24"/>
          <w:lang w:val="sq-AL"/>
        </w:rPr>
      </w:pPr>
      <w:r w:rsidRPr="004F1F62">
        <w:rPr>
          <w:b/>
          <w:sz w:val="24"/>
          <w:szCs w:val="24"/>
          <w:lang w:val="sq-AL" w:eastAsia="sq-AL" w:bidi="sq-AL"/>
        </w:rPr>
        <w:t>Gjykata e Shkallës së Parë e Juridiksionit të Përgjithshëm Tiranë,</w:t>
      </w:r>
      <w:r w:rsidRPr="004F1F62">
        <w:rPr>
          <w:sz w:val="24"/>
          <w:szCs w:val="24"/>
          <w:lang w:val="sq-AL" w:eastAsia="sq-AL" w:bidi="sq-AL"/>
        </w:rPr>
        <w:t xml:space="preserve"> me vendimin Nr.634 Regj.Them, datë 05.06.2025 ka vendosur:</w:t>
      </w:r>
    </w:p>
    <w:p w:rsidR="00251387" w:rsidRPr="004F1F62" w:rsidRDefault="00251387" w:rsidP="00C13D88">
      <w:pPr>
        <w:pStyle w:val="ListParagraph"/>
        <w:numPr>
          <w:ilvl w:val="0"/>
          <w:numId w:val="4"/>
        </w:numPr>
        <w:jc w:val="both"/>
        <w:rPr>
          <w:sz w:val="24"/>
          <w:szCs w:val="24"/>
          <w:lang w:val="sq-AL" w:eastAsia="sq-AL"/>
        </w:rPr>
      </w:pPr>
      <w:r w:rsidRPr="004F1F62">
        <w:rPr>
          <w:sz w:val="24"/>
          <w:szCs w:val="24"/>
          <w:lang w:val="sq-AL" w:eastAsia="sq-AL"/>
        </w:rPr>
        <w:t>Pranimin e kërkesës.</w:t>
      </w:r>
    </w:p>
    <w:p w:rsidR="00251387" w:rsidRPr="004F1F62" w:rsidRDefault="00251387" w:rsidP="00C13D88">
      <w:pPr>
        <w:pStyle w:val="ListParagraph"/>
        <w:numPr>
          <w:ilvl w:val="0"/>
          <w:numId w:val="4"/>
        </w:numPr>
        <w:jc w:val="both"/>
        <w:rPr>
          <w:sz w:val="24"/>
          <w:szCs w:val="24"/>
          <w:lang w:val="sq-AL" w:eastAsia="sq-AL"/>
        </w:rPr>
      </w:pPr>
      <w:r w:rsidRPr="004F1F62">
        <w:rPr>
          <w:sz w:val="24"/>
          <w:szCs w:val="24"/>
          <w:lang w:val="sq-AL" w:eastAsia="sq-AL"/>
        </w:rPr>
        <w:t>Lejimin e ekstradimit nga Republika e Shqipërisë drejt Republikës së Bangladeshit të shtetasit Sohel Rana Sheikh, bazuar në kërkesën për ekstradim të autoriteteve të Bangladeshit.</w:t>
      </w:r>
    </w:p>
    <w:p w:rsidR="00251387" w:rsidRPr="004F1F62" w:rsidRDefault="00251387" w:rsidP="00C13D88">
      <w:pPr>
        <w:pStyle w:val="ListParagraph"/>
        <w:numPr>
          <w:ilvl w:val="0"/>
          <w:numId w:val="4"/>
        </w:numPr>
        <w:jc w:val="both"/>
        <w:rPr>
          <w:sz w:val="24"/>
          <w:szCs w:val="24"/>
          <w:lang w:val="sq-AL" w:eastAsia="sq-AL"/>
        </w:rPr>
      </w:pPr>
      <w:r w:rsidRPr="004F1F62">
        <w:rPr>
          <w:sz w:val="24"/>
          <w:szCs w:val="24"/>
          <w:lang w:val="sq-AL" w:eastAsia="sq-AL"/>
        </w:rPr>
        <w:t>Një kopje këtij vendimi t'i njoftohet Prokurorisë pranë Gjykatës së Shkallës së Parë të Juridiksionit të Përgjithshëm Tiranë dhe Ministrisë së Drejtësisë, për ekzekutimin e mëtejshëm të këtij vendimi.</w:t>
      </w:r>
    </w:p>
    <w:p w:rsidR="00251387" w:rsidRPr="004F1F62" w:rsidRDefault="00251387" w:rsidP="00C13D88">
      <w:pPr>
        <w:pStyle w:val="ListParagraph"/>
        <w:numPr>
          <w:ilvl w:val="0"/>
          <w:numId w:val="4"/>
        </w:numPr>
        <w:jc w:val="both"/>
        <w:rPr>
          <w:sz w:val="24"/>
          <w:szCs w:val="24"/>
          <w:lang w:val="sq-AL" w:eastAsia="sq-AL"/>
        </w:rPr>
      </w:pPr>
      <w:r w:rsidRPr="004F1F62">
        <w:rPr>
          <w:sz w:val="24"/>
          <w:szCs w:val="24"/>
          <w:lang w:val="sq-AL" w:eastAsia="sq-AL"/>
        </w:rPr>
        <w:t>Shpenzimet gjyqësore sikurse janë kryer.</w:t>
      </w:r>
    </w:p>
    <w:p w:rsidR="00251387" w:rsidRPr="004F1F62" w:rsidRDefault="00251387" w:rsidP="00C13D88">
      <w:pPr>
        <w:pStyle w:val="ListParagraph"/>
        <w:numPr>
          <w:ilvl w:val="0"/>
          <w:numId w:val="4"/>
        </w:numPr>
        <w:jc w:val="both"/>
        <w:rPr>
          <w:sz w:val="24"/>
          <w:szCs w:val="24"/>
          <w:lang w:val="sq-AL" w:eastAsia="sq-AL"/>
        </w:rPr>
      </w:pPr>
      <w:r w:rsidRPr="004F1F62">
        <w:rPr>
          <w:sz w:val="24"/>
          <w:szCs w:val="24"/>
          <w:lang w:val="sq-AL" w:eastAsia="sq-AL"/>
        </w:rPr>
        <w:t>Kundër këtij vendimi mund të bëhet ankim në Gjykatën e Apelit të Juridiksionit të Përgjithshëm, brenda 10 (dhjetë) ditëve, duke filluar ky afat nga e nesërmja e njoftimit të këtij vendimi.</w:t>
      </w:r>
    </w:p>
    <w:p w:rsidR="00251387" w:rsidRPr="004F1F62" w:rsidRDefault="00251387" w:rsidP="00C13D88">
      <w:pPr>
        <w:pStyle w:val="ListParagraph"/>
        <w:numPr>
          <w:ilvl w:val="1"/>
          <w:numId w:val="3"/>
        </w:numPr>
        <w:tabs>
          <w:tab w:val="left" w:pos="900"/>
          <w:tab w:val="left" w:pos="5040"/>
          <w:tab w:val="left" w:pos="5760"/>
          <w:tab w:val="left" w:pos="6480"/>
          <w:tab w:val="left" w:pos="7200"/>
          <w:tab w:val="left" w:pos="7920"/>
          <w:tab w:val="left" w:pos="8640"/>
          <w:tab w:val="left" w:pos="9360"/>
          <w:tab w:val="left" w:pos="10080"/>
          <w:tab w:val="left" w:pos="10800"/>
          <w:tab w:val="left" w:pos="11520"/>
          <w:tab w:val="left" w:pos="12240"/>
        </w:tabs>
        <w:ind w:left="0" w:firstLine="360"/>
        <w:jc w:val="both"/>
        <w:rPr>
          <w:sz w:val="24"/>
          <w:szCs w:val="24"/>
          <w:lang w:val="sq-AL" w:eastAsia="sq-AL"/>
        </w:rPr>
      </w:pPr>
      <w:r w:rsidRPr="004F1F62">
        <w:rPr>
          <w:noProof/>
          <w:sz w:val="24"/>
          <w:szCs w:val="24"/>
          <w:lang w:val="sq-AL"/>
        </w:rPr>
        <w:t xml:space="preserve">Gjykata ka arsyetuar se: </w:t>
      </w:r>
      <w:r w:rsidRPr="004F1F62">
        <w:rPr>
          <w:i/>
          <w:noProof/>
          <w:sz w:val="24"/>
          <w:szCs w:val="24"/>
          <w:lang w:val="sq-AL"/>
        </w:rPr>
        <w:t>(...)</w:t>
      </w:r>
      <w:r w:rsidRPr="004F1F62">
        <w:rPr>
          <w:b/>
          <w:bCs/>
          <w:i/>
          <w:iCs/>
          <w:sz w:val="24"/>
          <w:szCs w:val="24"/>
          <w:lang w:val="sq-AL" w:eastAsia="sq-AL"/>
        </w:rPr>
        <w:t> </w:t>
      </w:r>
      <w:r w:rsidRPr="004F1F62">
        <w:rPr>
          <w:b/>
          <w:bCs/>
          <w:sz w:val="24"/>
          <w:szCs w:val="24"/>
          <w:lang w:val="sq-AL" w:eastAsia="sq-AL"/>
        </w:rPr>
        <w:t>“</w:t>
      </w:r>
      <w:r w:rsidRPr="004F1F62">
        <w:rPr>
          <w:sz w:val="24"/>
          <w:szCs w:val="24"/>
          <w:lang w:val="sq-AL" w:eastAsia="sq-AL"/>
        </w:rPr>
        <w:t xml:space="preserve">Gjykata arrin në përfundimin se, referuar rrethanave të faktit dhe të gjithë kuadrit ligjor kombëtar dhe ndërkombëtar, i cili normon elementët formalë të paraqitjes së një kërkese për ekstradim, kërkesa për ekstradimin e shtetasit Sohel </w:t>
      </w:r>
      <w:r w:rsidRPr="004F1F62">
        <w:rPr>
          <w:sz w:val="24"/>
          <w:szCs w:val="24"/>
          <w:lang w:val="sq-AL" w:eastAsia="sq-AL"/>
        </w:rPr>
        <w:lastRenderedPageBreak/>
        <w:t>Rana Sheikh, i paraqitur nga shteti kërkues, është i plotë dhe në përputhje me përcaktimet normative si më lart cituar.</w:t>
      </w:r>
    </w:p>
    <w:p w:rsidR="00251387" w:rsidRPr="004F1F62" w:rsidRDefault="00251387" w:rsidP="00251387">
      <w:pPr>
        <w:jc w:val="both"/>
        <w:rPr>
          <w:bCs/>
          <w:sz w:val="24"/>
          <w:szCs w:val="24"/>
          <w:lang w:val="sq-AL" w:eastAsia="sq-AL"/>
        </w:rPr>
      </w:pPr>
      <w:r w:rsidRPr="004F1F62">
        <w:rPr>
          <w:b/>
          <w:bCs/>
          <w:sz w:val="24"/>
          <w:szCs w:val="24"/>
          <w:lang w:val="sq-AL" w:eastAsia="sq-AL"/>
        </w:rPr>
        <w:t> </w:t>
      </w:r>
      <w:r w:rsidRPr="004F1F62">
        <w:rPr>
          <w:bCs/>
          <w:sz w:val="24"/>
          <w:szCs w:val="24"/>
          <w:lang w:val="sq-AL" w:eastAsia="sq-AL"/>
        </w:rPr>
        <w:t>B. Lidhur me plotësimin e kushteve për lejimin e ekstradimit të shtetasit Sohel Rana Sheikh.</w:t>
      </w:r>
    </w:p>
    <w:p w:rsidR="00251387" w:rsidRPr="004F1F62" w:rsidRDefault="00251387" w:rsidP="00251387">
      <w:pPr>
        <w:jc w:val="both"/>
        <w:rPr>
          <w:sz w:val="24"/>
          <w:szCs w:val="24"/>
          <w:lang w:val="sq-AL" w:eastAsia="sq-AL"/>
        </w:rPr>
      </w:pPr>
      <w:r w:rsidRPr="004F1F62">
        <w:rPr>
          <w:sz w:val="24"/>
          <w:szCs w:val="24"/>
          <w:lang w:val="sq-AL" w:eastAsia="sq-AL"/>
        </w:rPr>
        <w:t xml:space="preserve">       18.2. Gjykata pasi konkludoi se kërkesa për ekstradimin e shtetasit Sohel Rana Sheikh, ka bashkëlidhur dokumentacionin e nevojshëm, urdhrin e arrestit të autoriteteve gjyqësore të huaja, qëllimin për të cilin është kërkuar ekstradimi i të arrestuarit (për t’iu nënshtruar procedimit penal të filluar në ngarkim të tij), llojin dhe masën e dënimit për veprat penale për të cilat është në procedim penal i arrestuari si dhe të dhënat e sakta mbi identitetin e tij, vlerëson gjithashtu se kërkesa është në respektim dhe plotëson të gjitha kushtet e kriteret e vendosura në nenet 488 e vijues te Kodit të Procedurës Penale, dispozitat e Konventës evropiane “Për Ekstradimin”, dhe Protokollet e saj shtesë, si dhe nenet 31 - 47 te Ligjit Nr.10193, datë 03.12.2009 “Për marrëdhëniet juridiksionale me autoritetet e huaja në çështjet penale.”</w:t>
      </w:r>
    </w:p>
    <w:p w:rsidR="00251387" w:rsidRPr="004F1F62" w:rsidRDefault="00251387" w:rsidP="00251387">
      <w:pPr>
        <w:jc w:val="both"/>
        <w:rPr>
          <w:sz w:val="24"/>
          <w:szCs w:val="24"/>
          <w:lang w:val="sq-AL" w:eastAsia="sq-AL"/>
        </w:rPr>
      </w:pPr>
      <w:r w:rsidRPr="004F1F62">
        <w:rPr>
          <w:sz w:val="24"/>
          <w:szCs w:val="24"/>
          <w:lang w:val="sq-AL" w:eastAsia="sq-AL"/>
        </w:rPr>
        <w:t xml:space="preserve">       18.3. Në nenin 11, pika 2, 3 të Kodit Penal dhe në nenin 491 të Kodit të Procedurës Penale janë përcaktuar shprehimisht rastet ndaluese për lejimin e ekstradimit, të tilla janë sanksionuar edhe ne nenet 7, 8, 9, 10,11 të Konventës evropiane “Për Ekstradimin”, e në dispozitat e Protokollit shtesë të saj, ndërsa në nenin 32 të Ligjit Nr.10193 datë 03.12.2009 “Për marrëdhëniet juridiksionale me autoritetet e huaja në çështjet penale”, janë përcaktuar edhe kushtet ligjore plotësuese që duhet të verifikohen se ekzistojnë për të lejuar ekstradimin e një personi në drejtim të një shtetit të</w:t>
      </w:r>
      <w:r w:rsidR="00136AF3" w:rsidRPr="004F1F62">
        <w:rPr>
          <w:sz w:val="24"/>
          <w:szCs w:val="24"/>
          <w:lang w:val="sq-AL" w:eastAsia="sq-AL"/>
        </w:rPr>
        <w:t xml:space="preserve"> </w:t>
      </w:r>
      <w:r w:rsidRPr="004F1F62">
        <w:rPr>
          <w:sz w:val="24"/>
          <w:szCs w:val="24"/>
          <w:lang w:val="sq-AL" w:eastAsia="sq-AL"/>
        </w:rPr>
        <w:t>huaj.</w:t>
      </w:r>
    </w:p>
    <w:p w:rsidR="00251387" w:rsidRPr="004F1F62" w:rsidRDefault="00251387" w:rsidP="00251387">
      <w:pPr>
        <w:jc w:val="both"/>
        <w:rPr>
          <w:sz w:val="24"/>
          <w:szCs w:val="24"/>
          <w:lang w:val="sq-AL" w:eastAsia="sq-AL"/>
        </w:rPr>
      </w:pPr>
      <w:r w:rsidRPr="004F1F62">
        <w:rPr>
          <w:sz w:val="24"/>
          <w:szCs w:val="24"/>
          <w:lang w:val="sq-AL" w:eastAsia="sq-AL"/>
        </w:rPr>
        <w:t>24. Sipas përmbajtjes së procedimit penal të huaj, relacionit së fakteve objekt procedimi, të përkthyera në gjuhën shqipe, si dhe opinionit ligjor rezulton se ky shtetas në kuadër të çështjes penale Gulshan Thana Nr. 15 (09) të vitit 2021, që i përket GR Nr. 262/21, është ngritur akuzë penale, ndër të tjerë, edhe ndaj Sheikh Sohel Rana. Pas një hetimi të hollësishëm, akuzat penale janë në përputhje me dispozitat e neneve 406, 420 dhe 34 të Kodit Penal të vitit 1860 të Bangladeshit.</w:t>
      </w:r>
    </w:p>
    <w:p w:rsidR="00251387" w:rsidRPr="004F1F62" w:rsidRDefault="00251387" w:rsidP="00251387">
      <w:pPr>
        <w:jc w:val="both"/>
        <w:rPr>
          <w:sz w:val="24"/>
          <w:szCs w:val="24"/>
          <w:lang w:val="sq-AL" w:eastAsia="sq-AL"/>
        </w:rPr>
      </w:pPr>
      <w:r w:rsidRPr="004F1F62">
        <w:rPr>
          <w:sz w:val="24"/>
          <w:szCs w:val="24"/>
          <w:lang w:val="sq-AL" w:eastAsia="sq-AL"/>
        </w:rPr>
        <w:t xml:space="preserve">          18.4. Për shkak të rrezikshmërisë së fakteve penale dhe vetë të dyshuarit në bazë të vendimit gjyqësor të autoriteteve të huaja, ndaj shtetasit Sohel Rana Sheikh është caktuar masa e sigurimit personal “arrest në burg”. Në rastin konkret urdhri ndërkombëtar i arrestimit, sipas të dhënave të pasqyruara në aktet e administruara në gjykim plotëson kushtet e parashikuara nga neni i sipërcituar pasi në urdhrin ndërkombëtar të arrestit përcaktohen të dhënat e sakta për gjene</w:t>
      </w:r>
      <w:r w:rsidR="00136AF3" w:rsidRPr="004F1F62">
        <w:rPr>
          <w:sz w:val="24"/>
          <w:szCs w:val="24"/>
          <w:lang w:val="sq-AL" w:eastAsia="sq-AL"/>
        </w:rPr>
        <w:t>r</w:t>
      </w:r>
      <w:r w:rsidRPr="004F1F62">
        <w:rPr>
          <w:sz w:val="24"/>
          <w:szCs w:val="24"/>
          <w:lang w:val="sq-AL" w:eastAsia="sq-AL"/>
        </w:rPr>
        <w:t>alitetet e kërkuesit që rezultuan të njëjta me ato të deklaruara nga i arrestuari në seancë gjyqësore.</w:t>
      </w:r>
    </w:p>
    <w:p w:rsidR="00251387" w:rsidRPr="004F1F62" w:rsidRDefault="00251387" w:rsidP="00251387">
      <w:pPr>
        <w:jc w:val="both"/>
        <w:rPr>
          <w:sz w:val="24"/>
          <w:szCs w:val="24"/>
          <w:lang w:val="sq-AL" w:eastAsia="sq-AL"/>
        </w:rPr>
      </w:pPr>
      <w:r w:rsidRPr="004F1F62">
        <w:rPr>
          <w:sz w:val="24"/>
          <w:szCs w:val="24"/>
          <w:lang w:val="sq-AL" w:eastAsia="sq-AL"/>
        </w:rPr>
        <w:t xml:space="preserve">           18.5 Në rastin objekt shqyrtimi Gjykata konstaton se masa shtrënguese e “arrestit në burg” e caktuar ndaj shtetasit Sohel Rana Sheikh në funksion të këtij gjykimi është disponuar nga kjo Gjykatë në respektim të kërkesave të neneve 493/2 e 494 të Kodit të Procedurës Penale, jo vetëm në kuadër të zbatimit të një urdhri arresti ndërkombëtar të lëshuar ndaj tij, por edhe për të garantuar që ky shtetas për të cilin është kërkuar ekstradimi të mos i shmanget dorëzimit, për shkak të rrezikut të ikjes së tij dhe për të mundësuar vijimin e procedimit penal të filluar në ngarkim të tij.</w:t>
      </w:r>
    </w:p>
    <w:p w:rsidR="00251387" w:rsidRPr="004F1F62" w:rsidRDefault="00251387" w:rsidP="00251387">
      <w:pPr>
        <w:jc w:val="both"/>
        <w:rPr>
          <w:sz w:val="24"/>
          <w:szCs w:val="24"/>
          <w:lang w:val="sq-AL" w:eastAsia="sq-AL"/>
        </w:rPr>
      </w:pPr>
      <w:r w:rsidRPr="004F1F62">
        <w:rPr>
          <w:sz w:val="24"/>
          <w:szCs w:val="24"/>
          <w:lang w:val="sq-AL" w:eastAsia="sq-AL"/>
        </w:rPr>
        <w:t xml:space="preserve">          18.6. Faktet penale për të cilat është ngritur akuzë ndaj Sohel Rana Sheikh dhe që përbëjnë objektin e kërkesës për ekstradim, janë parashikuar si </w:t>
      </w:r>
      <w:r w:rsidR="00136AF3" w:rsidRPr="004F1F62">
        <w:rPr>
          <w:sz w:val="24"/>
          <w:szCs w:val="24"/>
          <w:lang w:val="sq-AL" w:eastAsia="sq-AL"/>
        </w:rPr>
        <w:t xml:space="preserve">të </w:t>
      </w:r>
      <w:r w:rsidRPr="004F1F62">
        <w:rPr>
          <w:sz w:val="24"/>
          <w:szCs w:val="24"/>
          <w:lang w:val="sq-AL" w:eastAsia="sq-AL"/>
        </w:rPr>
        <w:t xml:space="preserve">tilla, njëkohësisht si nga ligji shqiptar dhe ai i Bangladeshit (parimi i kriminalitetit të dyfishtë). Nuk ka arsye për të dyshuar që personi i kërkuar për ekstradim do t’i nënshtrohet persekutimeve ose diskriminimeve për shkak të racës, fesë, seksit, shtetësisë, gjuhës, bindjeve politike, gjendjes personale a shoqërore, ose dënimeve apo trajtimeve të egra, çnjerëzore a poshtëruese ose veprimeve që përbejnë shkelje të një të drejte themelore të njeriut. Gjithashtu, nuk rezultoi që shtetasi Sohel Rana Sheikh të jetë gjykuar dhe dënuar në Republikën e Shqipërisë për veprat penale që janë bërë shkas për kërkesën e ekstradimit. Po kështu, nuk rezulton që ekstradimi të kërkohet për një vepër penale në lidhje me të cilën është dhënë një amnisti në shtetin e kërkuar dhe të cilin shteti kishte kompetencë ta gjykonte sipas së drejtës së tij penale. (Neni 4 i protokollit të dytë shtesë të Konventës).Ekstradimi nuk akordohet nëse parashkrimi i aktit ose i dënimit hyn në fuqi qoftë falë legjislacionit të Palës që kërkon, qoftë nga ai i Palës së </w:t>
      </w:r>
      <w:r w:rsidRPr="004F1F62">
        <w:rPr>
          <w:sz w:val="24"/>
          <w:szCs w:val="24"/>
          <w:lang w:val="sq-AL" w:eastAsia="sq-AL"/>
        </w:rPr>
        <w:lastRenderedPageBreak/>
        <w:t>kërkuar</w:t>
      </w:r>
      <w:r w:rsidR="00136AF3" w:rsidRPr="004F1F62">
        <w:rPr>
          <w:sz w:val="24"/>
          <w:szCs w:val="24"/>
          <w:lang w:val="sq-AL" w:eastAsia="sq-AL"/>
        </w:rPr>
        <w:t xml:space="preserve"> </w:t>
      </w:r>
      <w:r w:rsidRPr="004F1F62">
        <w:rPr>
          <w:sz w:val="24"/>
          <w:szCs w:val="24"/>
          <w:lang w:val="sq-AL" w:eastAsia="sq-AL"/>
        </w:rPr>
        <w:t>(</w:t>
      </w:r>
      <w:r w:rsidR="00136AF3" w:rsidRPr="004F1F62">
        <w:rPr>
          <w:sz w:val="24"/>
          <w:szCs w:val="24"/>
          <w:lang w:val="sq-AL" w:eastAsia="sq-AL"/>
        </w:rPr>
        <w:t>n</w:t>
      </w:r>
      <w:r w:rsidRPr="004F1F62">
        <w:rPr>
          <w:sz w:val="24"/>
          <w:szCs w:val="24"/>
          <w:lang w:val="sq-AL" w:eastAsia="sq-AL"/>
        </w:rPr>
        <w:t>eni 10 i Konventës). I arrestuari nuk procedohet për një vepër penale me karakter politik, sepse veprat penale për të cilat është në procedim penal shtetasi Sohel Rana Sheikh, njihen si të tilla edhe nga legjislacioni ynë penal shqiptar.</w:t>
      </w:r>
    </w:p>
    <w:p w:rsidR="00251387" w:rsidRPr="004F1F62" w:rsidRDefault="00251387" w:rsidP="00251387">
      <w:pPr>
        <w:jc w:val="both"/>
        <w:rPr>
          <w:sz w:val="24"/>
          <w:szCs w:val="24"/>
          <w:lang w:val="sq-AL" w:eastAsia="sq-AL"/>
        </w:rPr>
      </w:pPr>
      <w:r w:rsidRPr="004F1F62">
        <w:rPr>
          <w:sz w:val="24"/>
          <w:szCs w:val="24"/>
          <w:lang w:val="sq-AL" w:eastAsia="sq-AL"/>
        </w:rPr>
        <w:t xml:space="preserve">          18.7 Përfundimisht, në sintezë të rrethanave faktike dhe të arsyetimit të mësipërm, Gjykata vlerësoi dhe arriti në përfundimin për pranimin e kërkesës objekt shqyrtimi, duke çmuar se në rastin konkret përmbushen kushtet ligjore për lejimin e ekstradimit nga Republika e Shqipërisë drejt Republikës Popullore të Bangladeshit të shtetasit Sohel Rana Sheikh, për të cilin ka të dhëna të rëndësishme fajësie dhe ekziston një urdhër arresti ndërkombëtar që i kufizon lirinë në funksion po të një procedimi penal në ngarkim të tij.</w:t>
      </w:r>
    </w:p>
    <w:p w:rsidR="00251387" w:rsidRPr="004F1F62" w:rsidRDefault="00251387" w:rsidP="00251387">
      <w:pPr>
        <w:jc w:val="both"/>
        <w:rPr>
          <w:sz w:val="24"/>
          <w:szCs w:val="24"/>
          <w:lang w:val="sq-AL" w:eastAsia="sq-AL"/>
        </w:rPr>
      </w:pPr>
      <w:r w:rsidRPr="004F1F62">
        <w:rPr>
          <w:sz w:val="24"/>
          <w:szCs w:val="24"/>
          <w:lang w:val="sq-AL" w:eastAsia="sq-AL"/>
        </w:rPr>
        <w:t xml:space="preserve">        18.8 Në lidhje me pretendimet e mbrojtjes, Gjykata nuk gjen arsye për të dyshuar e menduar që personi i kërkuar për ekstradim Sohel Rana Sheikh, do t’i nënshtrohet persekutimeve ose diskriminimeve për shkak të racës, fesë, seksit, shtetësisë, gjuhës, bindjeve politike, gjendjes personale a shoqërore, ose dënimeve apo trajtimeve të egra, çnjerëzore a poshtëruese ose veprimeve që përbejnë shkelje të një të drejte themelore të njeriut. Nga ana tjetër, Gjykata vlerëson se në procedurat e ekstradimit gjen zbatim parimi i specialitetit. Në këtë dispozitë ligjore parashikohet shprehimisht se: “</w:t>
      </w:r>
      <w:r w:rsidRPr="004F1F62">
        <w:rPr>
          <w:i/>
          <w:iCs/>
          <w:sz w:val="24"/>
          <w:szCs w:val="24"/>
          <w:lang w:val="sq-AL" w:eastAsia="sq-AL"/>
        </w:rPr>
        <w:t>Individi që dorëzohet nuk duhet të ndiqet, as të gjykohet dhe</w:t>
      </w:r>
      <w:r w:rsidR="00136AF3" w:rsidRPr="004F1F62">
        <w:rPr>
          <w:i/>
          <w:iCs/>
          <w:sz w:val="24"/>
          <w:szCs w:val="24"/>
          <w:lang w:val="sq-AL" w:eastAsia="sq-AL"/>
        </w:rPr>
        <w:t xml:space="preserve"> </w:t>
      </w:r>
      <w:r w:rsidRPr="004F1F62">
        <w:rPr>
          <w:i/>
          <w:iCs/>
          <w:sz w:val="24"/>
          <w:szCs w:val="24"/>
          <w:lang w:val="sq-AL" w:eastAsia="sq-AL"/>
        </w:rPr>
        <w:t>as të burgoset për vuajtjen e një dënimi ose të një mase sigurimi, as duhet t’i nënshtrohet ndonjë kufizimi tjetër të lirisë personale, për çfarëdo veprimi që është kryer para dorëzimit dhe që nuk hyn në motivet e ekstradimit</w:t>
      </w:r>
      <w:r w:rsidRPr="004F1F62">
        <w:rPr>
          <w:sz w:val="24"/>
          <w:szCs w:val="24"/>
          <w:lang w:val="sq-AL" w:eastAsia="sq-AL"/>
        </w:rPr>
        <w:t>”. Pra, rezulton se referuar kërkesës për ekstradim, Gjykata vlerëson se në rastin konkret, lejimi i ekstradimit të shtetasit Sohel Rana Sheikh, bazohet në kërkesën për ekstradim të paraqitur nga autoritetet e Bangladeshit të Drejtësisë, vetëm për efekt të ekzekutimit të urdhër-arrestit, i lëshuar në kuadër të procedimit penal ku ky shtetas është si i dyshuar për kryerjen e veprës penale të “Mashtrimit”, 406, 420 dhe 34 të Kodit Penal të vitit 1860 të Bangladeshi. Autoritetet përkatëse kanë përcaktuar qartë veprën penale për të cilën dyshohet shtetasi Sohel Rana Sheikh, të specifikuar sipas opinionit ligjor. Gjykata nuk mund të bazojë dyshimet e saj mbi pretendimet e palës kërkuese,</w:t>
      </w:r>
      <w:r w:rsidRPr="004F1F62">
        <w:rPr>
          <w:sz w:val="24"/>
          <w:szCs w:val="24"/>
          <w:u w:val="single"/>
          <w:lang w:val="sq-AL" w:eastAsia="sq-AL"/>
        </w:rPr>
        <w:t xml:space="preserve"> </w:t>
      </w:r>
      <w:r w:rsidRPr="004F1F62">
        <w:rPr>
          <w:sz w:val="24"/>
          <w:szCs w:val="24"/>
          <w:lang w:val="sq-AL" w:eastAsia="sq-AL"/>
        </w:rPr>
        <w:t>të cilat rezultuan të pabazuara në prova. Autoritetet e drejtësisë së Bangladeshit nëpërmjet komunikimit zyrtar deklaruan se nuk qëndrojnë pretendimet e palës kërkuese për ekzistencën e një procedimi tjetër penal në ngarkim të shtetasit Sohel Rana Sheikh, në kuadër të çështjes penale nr.20, datë 27.09.2024. Ata konfirmojnë se ky shtetas ka ndërhyrë në mënyrë të paligjshme në dokumentet zyrtare dhe ka futur emrin e tij në çështjet e kësaj dosje. Bashkëlidhur është dërguar dhe lista faktike të personave të pandehur në këtë çështje, ku nuk përfshihet emri i këtij shtetasi. Nga autoritetet theksohet se shtetasi Sohel Rana Sheikh nuk do të përballet me dënimin me vdekje pas ekstradimit në Bangladesh. Parashikimi i dënimit me vdekje në legjislacionin e vendit kërkues nuk mund të përbëjë apriori pengesë për aplikimin e çdo ekstradimi në drejtim të këtij shteti, pavarësisht nga vepra penale për të cilën ai procedohet.</w:t>
      </w:r>
    </w:p>
    <w:p w:rsidR="00251387" w:rsidRPr="004F1F62" w:rsidRDefault="00251387" w:rsidP="00251387">
      <w:pPr>
        <w:jc w:val="both"/>
        <w:rPr>
          <w:sz w:val="24"/>
          <w:szCs w:val="24"/>
          <w:lang w:val="sq-AL" w:eastAsia="sq-AL"/>
        </w:rPr>
      </w:pPr>
      <w:r w:rsidRPr="004F1F62">
        <w:rPr>
          <w:sz w:val="24"/>
          <w:szCs w:val="24"/>
          <w:lang w:val="sq-AL" w:eastAsia="sq-AL"/>
        </w:rPr>
        <w:t xml:space="preserve">        18.9. Në lidhje me pretendimet e tjera, se disa fraksione politike në Bangladesh, tani dominuese pas rënies se kryeministres Sheikh Hasina, po marrin hakmarrje kundër armiqve të tyre politike duke përdorur procese “në dukje” legjitime, ku përfshihet dhe shtetasi Sohel Rana</w:t>
      </w:r>
      <w:r w:rsidR="00136AF3" w:rsidRPr="004F1F62">
        <w:rPr>
          <w:sz w:val="24"/>
          <w:szCs w:val="24"/>
          <w:lang w:val="sq-AL" w:eastAsia="sq-AL"/>
        </w:rPr>
        <w:t xml:space="preserve"> </w:t>
      </w:r>
      <w:r w:rsidRPr="004F1F62">
        <w:rPr>
          <w:sz w:val="24"/>
          <w:szCs w:val="24"/>
          <w:lang w:val="sq-AL" w:eastAsia="sq-AL"/>
        </w:rPr>
        <w:t>Sheikh, Gjykata vlerëson se pretendimet bazohen në të dhëna hipotetike dhe të përgjithshme, të cilat janë të pamjaftueshme për arritjen e konkuzioneve të bazuara në prova. Barra e paraqitjes së të dhënave, elementeve të karakterit objektiv, të besueshëm, të saktë dhe te përditësuara lidhur me gjendjen dhe kushtet e sistemit gjyqësor në shtetin kërkues të përshtatshme për të mbështetur perceptimin e rrezikut dhe frikës së ekstradimi i paraprin një trajtimi të papajtueshëm me të drejtat themelore të personit i takon personit për të cilin kërkohet ekstradimi. Për aq sa u depozitua nga palët një pretendimi tillë nuk u provua në mënyrë konkrete dhe të qartë nga shtetasit Sohel Rana Sheikh.</w:t>
      </w:r>
    </w:p>
    <w:p w:rsidR="00251387" w:rsidRPr="004F1F62" w:rsidRDefault="00251387" w:rsidP="00251387">
      <w:pPr>
        <w:jc w:val="both"/>
        <w:rPr>
          <w:sz w:val="24"/>
          <w:szCs w:val="24"/>
          <w:lang w:val="sq-AL" w:eastAsia="sq-AL"/>
        </w:rPr>
      </w:pPr>
      <w:r w:rsidRPr="004F1F62">
        <w:rPr>
          <w:sz w:val="24"/>
          <w:szCs w:val="24"/>
          <w:lang w:val="sq-AL" w:eastAsia="sq-AL"/>
        </w:rPr>
        <w:t xml:space="preserve">35. Përfundimisht, në sintezë të rrethanave faktike dhe të arsyetimit të mësipërm, Gjykata vlerësoi dhe arriti në përfundimin për pranimin e kërkesës objekt shqyrtimi, duke çmuar se ajo është e bazuar dhe se në rastin konkret përmbushen kushtet dhe kriteret ligjore për lejimin e ekstradimit nga Republika e Shqipërisë drejt Republikës Popullore të Bangladeshit të </w:t>
      </w:r>
      <w:r w:rsidRPr="004F1F62">
        <w:rPr>
          <w:sz w:val="24"/>
          <w:szCs w:val="24"/>
          <w:lang w:val="sq-AL" w:eastAsia="sq-AL"/>
        </w:rPr>
        <w:lastRenderedPageBreak/>
        <w:t>shtetasit Sohel Rana Sheikh, bazuar në kërkesën për ekstradim të autoriteteve të drejtësisë përkatëse.”.</w:t>
      </w:r>
    </w:p>
    <w:p w:rsidR="00251387" w:rsidRPr="004F1F62" w:rsidRDefault="00251387" w:rsidP="00C13D88">
      <w:pPr>
        <w:pStyle w:val="ListParagraph"/>
        <w:numPr>
          <w:ilvl w:val="0"/>
          <w:numId w:val="3"/>
        </w:numPr>
        <w:tabs>
          <w:tab w:val="left" w:pos="85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0" w:firstLine="360"/>
        <w:jc w:val="both"/>
        <w:rPr>
          <w:sz w:val="24"/>
          <w:szCs w:val="24"/>
          <w:lang w:val="sq-AL"/>
        </w:rPr>
      </w:pPr>
      <w:r w:rsidRPr="004F1F62">
        <w:rPr>
          <w:sz w:val="24"/>
          <w:szCs w:val="24"/>
          <w:lang w:val="sq-AL"/>
        </w:rPr>
        <w:t>Ndaj vendimit të Gjykatës së Shkallës së Parë ka ushtruar ankim shtetasi Sohel Rana Sheikh i cili kërkon: “</w:t>
      </w:r>
      <w:r w:rsidRPr="004F1F62">
        <w:rPr>
          <w:i/>
          <w:iCs/>
          <w:sz w:val="24"/>
          <w:szCs w:val="24"/>
          <w:lang w:val="sq-AL"/>
        </w:rPr>
        <w:t>Prishjen e vendimit nr. 634, datë 05.06.2025 të Gjykatës së Juridiksionit të Përgjithshëm Tiranë; Ndalimin e ekstradimit të shtetasit Sohel Rana Sheikh; Lirimin e menjëhershëm të Sohel Rana Sheikh nëse nuk mbahet i ndaluar për arsye të tjera.”</w:t>
      </w:r>
    </w:p>
    <w:p w:rsidR="00251387" w:rsidRPr="004F1F62" w:rsidRDefault="00251387" w:rsidP="00C13D88">
      <w:pPr>
        <w:pStyle w:val="ListParagraph"/>
        <w:numPr>
          <w:ilvl w:val="0"/>
          <w:numId w:val="3"/>
        </w:numPr>
        <w:tabs>
          <w:tab w:val="left" w:pos="85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0" w:firstLine="360"/>
        <w:jc w:val="both"/>
        <w:rPr>
          <w:sz w:val="24"/>
          <w:szCs w:val="24"/>
          <w:lang w:val="sq-AL" w:eastAsia="sq-AL" w:bidi="sq-AL"/>
        </w:rPr>
      </w:pPr>
      <w:bookmarkStart w:id="1" w:name="_Hlk224635135"/>
      <w:r w:rsidRPr="004F1F62">
        <w:rPr>
          <w:b/>
          <w:sz w:val="24"/>
          <w:szCs w:val="24"/>
          <w:lang w:val="sq-AL"/>
        </w:rPr>
        <w:t xml:space="preserve">Gjykata e Apelit të Juridiksionit të Përgjithshëm, </w:t>
      </w:r>
      <w:r w:rsidRPr="004F1F62">
        <w:rPr>
          <w:sz w:val="24"/>
          <w:szCs w:val="24"/>
          <w:lang w:val="sq-AL"/>
        </w:rPr>
        <w:t>me vendimin nr. 2239</w:t>
      </w:r>
      <w:r w:rsidR="00136AF3" w:rsidRPr="004F1F62">
        <w:rPr>
          <w:sz w:val="24"/>
          <w:szCs w:val="24"/>
          <w:lang w:val="sq-AL"/>
        </w:rPr>
        <w:t xml:space="preserve"> </w:t>
      </w:r>
      <w:r w:rsidRPr="004F1F62">
        <w:rPr>
          <w:sz w:val="24"/>
          <w:szCs w:val="24"/>
          <w:lang w:val="sq-AL"/>
        </w:rPr>
        <w:t>(30-2025-8205), datë 15.10.2025, ka vendosur:</w:t>
      </w:r>
    </w:p>
    <w:p w:rsidR="00251387" w:rsidRPr="004F1F62" w:rsidRDefault="00251387" w:rsidP="00C13D88">
      <w:pPr>
        <w:pStyle w:val="ListParagraph"/>
        <w:numPr>
          <w:ilvl w:val="0"/>
          <w:numId w:val="4"/>
        </w:numPr>
        <w:rPr>
          <w:sz w:val="24"/>
          <w:szCs w:val="24"/>
          <w:lang w:val="sq-AL"/>
        </w:rPr>
      </w:pPr>
      <w:r w:rsidRPr="004F1F62">
        <w:rPr>
          <w:sz w:val="24"/>
          <w:szCs w:val="24"/>
          <w:lang w:val="sq-AL"/>
        </w:rPr>
        <w:t>Lënien në fuqi të vendimit nr. - (s'ka) datë 05.06.2025 të Gjykatës së Shkallës së Parë të Juridiksionit të Përgjithshëm Tiranë.</w:t>
      </w:r>
    </w:p>
    <w:p w:rsidR="00251387" w:rsidRPr="004F1F62" w:rsidRDefault="00251387" w:rsidP="00C13D88">
      <w:pPr>
        <w:pStyle w:val="ListParagraph"/>
        <w:numPr>
          <w:ilvl w:val="0"/>
          <w:numId w:val="4"/>
        </w:numPr>
        <w:rPr>
          <w:sz w:val="24"/>
          <w:szCs w:val="24"/>
          <w:lang w:val="sq-AL"/>
        </w:rPr>
      </w:pPr>
      <w:r w:rsidRPr="004F1F62">
        <w:rPr>
          <w:sz w:val="24"/>
          <w:szCs w:val="24"/>
          <w:lang w:val="sq-AL"/>
        </w:rPr>
        <w:t>Ndaj këtij vendimi lejohet rekurs sipas ligjit në Gjykatën e Lartë.</w:t>
      </w:r>
    </w:p>
    <w:bookmarkEnd w:id="1"/>
    <w:p w:rsidR="00251387" w:rsidRPr="004F1F62" w:rsidRDefault="00251387" w:rsidP="00C13D88">
      <w:pPr>
        <w:pStyle w:val="ListParagraph"/>
        <w:numPr>
          <w:ilvl w:val="1"/>
          <w:numId w:val="3"/>
        </w:numPr>
        <w:tabs>
          <w:tab w:val="left" w:pos="900"/>
        </w:tabs>
        <w:ind w:left="0" w:firstLine="360"/>
        <w:jc w:val="both"/>
        <w:rPr>
          <w:sz w:val="24"/>
          <w:szCs w:val="24"/>
          <w:lang w:val="sq-AL" w:eastAsia="sq-AL"/>
        </w:rPr>
      </w:pPr>
      <w:r w:rsidRPr="004F1F62">
        <w:rPr>
          <w:sz w:val="24"/>
          <w:szCs w:val="24"/>
          <w:lang w:val="sq-AL" w:eastAsia="it-IT" w:bidi="it-IT"/>
        </w:rPr>
        <w:t>Për lënien në fuqi të vendimit, Gjykata e Apelit ka arsyetuar ndërmjet të tjerash:</w:t>
      </w:r>
      <w:r w:rsidRPr="004F1F62">
        <w:rPr>
          <w:sz w:val="24"/>
          <w:szCs w:val="24"/>
          <w:lang w:val="sq-AL"/>
        </w:rPr>
        <w:t xml:space="preserve"> </w:t>
      </w:r>
      <w:r w:rsidRPr="004F1F62">
        <w:rPr>
          <w:i/>
          <w:iCs/>
          <w:sz w:val="24"/>
          <w:szCs w:val="24"/>
          <w:lang w:val="sq-AL"/>
        </w:rPr>
        <w:t>...</w:t>
      </w:r>
      <w:r w:rsidRPr="004F1F62">
        <w:rPr>
          <w:sz w:val="24"/>
          <w:szCs w:val="24"/>
          <w:lang w:val="sq-AL" w:eastAsia="sq-AL"/>
        </w:rPr>
        <w:t>Gjykata e Apelit të Juridiksionit të Përgjithshëm investohet në rastin konkret mbi ankimin e shtetasi të huaj Sohel Rana Sheikh, për të cilin Gjykata e Shkallës së Parë ka lejuar ekstradimin nga R.Shqipërisë në shtetin e Bangladeshit. Neni 425 i KPP që parashikon kufijtë e shqyrtimit të çështjes në apel, detyron Gjykatën e Apelit të shqyrtojë çështjen brenda shkaqeve të ngritura në ankim, që në rastin konkret mund të përmblidhen në shqyrtimin në apel të ekzistencës ose jo, të tre kushteve ndaluese për ekstradim, si më poshtë: 1) Në ekzistencën ose jo të provave mbi të cilat të konkludohet se shtetasi Sohel Rana Sheikh kërkohet për qëllime politike (neni 491 pika a e KPP); 2)  Në ekzistencën ose jo të arsyeve për të menduar se ai do t’i nënshtrohet persekutimeve ose diskriminimeve për shkak të bindjeve politike si dhe dënimeve e trajtimeve të egra ç’njerëzore e poshtëruese ose veprimeve që përbëjnë shkelje të një të drejte themelore të njeriut, duke përfshirë këtu dënimin me vdekje (neni 419 pika b) e KPP; 3)  Në ekzistencën e dyshimeve ose jo se shtetasi Sohel Rana Sheikh në thelb nëpërmjet ekstradimit kërkohet nga autoritetet e shtetit të Bangladeshit për qëllime të ndjekjes penale për një vepër tjetër penale, atë të “Vrasjes” e cila e ekspozon atë drejt dënimit me vdekje dhe në këtë aspekt garancitë e shtetit të Bangladeshit në drejtim të parimit të specialitetit parashikuar nga neni 490 i KPP, nuk janë të besueshme (neni 490 i KPP).</w:t>
      </w:r>
    </w:p>
    <w:p w:rsidR="00251387" w:rsidRPr="004F1F62" w:rsidRDefault="00251387" w:rsidP="00C13D88">
      <w:pPr>
        <w:pStyle w:val="ListParagraph"/>
        <w:numPr>
          <w:ilvl w:val="1"/>
          <w:numId w:val="3"/>
        </w:numPr>
        <w:tabs>
          <w:tab w:val="left" w:pos="900"/>
        </w:tabs>
        <w:ind w:left="0" w:firstLine="360"/>
        <w:jc w:val="both"/>
        <w:rPr>
          <w:sz w:val="24"/>
          <w:szCs w:val="24"/>
          <w:lang w:val="sq-AL" w:eastAsia="sq-AL"/>
        </w:rPr>
      </w:pPr>
      <w:r w:rsidRPr="004F1F62">
        <w:rPr>
          <w:sz w:val="24"/>
          <w:szCs w:val="24"/>
          <w:lang w:val="sq-AL" w:eastAsia="sq-AL"/>
        </w:rPr>
        <w:t>Në lidhje me tre shkaqet e mësipërme të ngritura në ankim nga shtetasi i huaj Sohel Rana Sheikh për të cilin kërkohet ekstradimi, Gjykata e Apelit vlerëson se në rastin konkret me qëllim shqyrtimin e garancive të mësipërme, Gjykata e Apelit vlerëson se vepra penale për të cilën kërkohet ekstradimi për jashtë shtetit që sipas legjislacionit të shtetit kërkues parashikohet si “Mashtrim” dhe “Shkelje e besimit” në vlera monetare që arrijnë në 3 000 000 (tre milion) dollarë amerikanë, e parashikuar nga nenet 406, 420</w:t>
      </w:r>
      <w:r w:rsidR="00136AF3" w:rsidRPr="004F1F62">
        <w:rPr>
          <w:sz w:val="24"/>
          <w:szCs w:val="24"/>
          <w:lang w:val="sq-AL" w:eastAsia="sq-AL"/>
        </w:rPr>
        <w:t xml:space="preserve"> </w:t>
      </w:r>
      <w:r w:rsidRPr="004F1F62">
        <w:rPr>
          <w:sz w:val="24"/>
          <w:szCs w:val="24"/>
          <w:lang w:val="sq-AL" w:eastAsia="sq-AL"/>
        </w:rPr>
        <w:t xml:space="preserve">dhe 34 të K.Penal të vitit 1860 në shtetin e Bangladeshit, për të cilën po procedohet në Bangladesh shtetasi Sohel Rana Sheikh dhe për llogari të së cilës është caktuar masa e sigurimit “arrest në burg”, ka përputhshmëri me përmbajtjen e nenit 143 pika 3 e K.Penal, e cila parashikon si masë dënimi nga pesë deri në dhjetë vjet, pra dënim më të lartë se 1 (një) vit burgim (kusht i shkronjës a) të pikës 1 të nenit 32 të Ligjit nr.10193, datë 03.12.2009 “Për marrëdhëniet juridiksionale me autoritetet e huaja në çështjet penale” i ndryshuar). </w:t>
      </w:r>
      <w:r w:rsidR="00136AF3" w:rsidRPr="004F1F62">
        <w:rPr>
          <w:sz w:val="24"/>
          <w:szCs w:val="24"/>
          <w:lang w:val="sq-AL" w:eastAsia="sq-AL"/>
        </w:rPr>
        <w:t xml:space="preserve"> </w:t>
      </w:r>
      <w:r w:rsidRPr="004F1F62">
        <w:rPr>
          <w:sz w:val="24"/>
          <w:szCs w:val="24"/>
          <w:lang w:val="sq-AL" w:eastAsia="sq-AL"/>
        </w:rPr>
        <w:t>Kjo vepër penale referuar fakteve të vëna në dispozicion nga shteti kërkues nuk është vepër e karakterit politik apo ushtarak, por ka karakter të mirëfilltë të përfitimit pasuror, madje referuar fakteve, dyshohet se shumat monetare të përfituara prej tij gjatë kryerjes së aktivitetit E-Orange ndërkohë që ishte dhe inspektor policie, i ka transferuar në llogari bankare jashtë shtetit. Nga ana tjetër, Gjykata e Apelit e vlerëson të drejtë arsyetimin e Gjykatës së Shkallës së Parëse në rastin konkret nuk ka arsye për të dyshuar se ky shtetas do të procedohet apo po procedohet për një vepër tjetër penale siç është ajo e “Vrasjes” në kuadër të një çështjeje tjetër penale të regjistruar në shtetin e Bangladeshit, çështja nr. 20, datë 27.09.2024.</w:t>
      </w:r>
    </w:p>
    <w:p w:rsidR="00251387" w:rsidRPr="004F1F62" w:rsidRDefault="00251387" w:rsidP="00C13D88">
      <w:pPr>
        <w:pStyle w:val="ListParagraph"/>
        <w:numPr>
          <w:ilvl w:val="1"/>
          <w:numId w:val="3"/>
        </w:numPr>
        <w:tabs>
          <w:tab w:val="left" w:pos="900"/>
        </w:tabs>
        <w:ind w:left="0" w:firstLine="360"/>
        <w:jc w:val="both"/>
        <w:rPr>
          <w:sz w:val="24"/>
          <w:szCs w:val="24"/>
          <w:lang w:val="sq-AL" w:eastAsia="sq-AL"/>
        </w:rPr>
      </w:pPr>
      <w:r w:rsidRPr="004F1F62">
        <w:rPr>
          <w:sz w:val="24"/>
          <w:szCs w:val="24"/>
          <w:lang w:val="sq-AL" w:eastAsia="sq-AL"/>
        </w:rPr>
        <w:t>Gjykata e Apelit arrin në konkluzionin e mësipërm, duke shqyrtuar të gjithë dokumentacionin zyrtar që shteti kërkues ka vënë në dispozicion, bashkë me kërkesën për ekstradim, nga ka rezultuar se Sohel Rana</w:t>
      </w:r>
      <w:r w:rsidR="004F1F62">
        <w:rPr>
          <w:sz w:val="24"/>
          <w:szCs w:val="24"/>
          <w:lang w:val="sq-AL" w:eastAsia="sq-AL"/>
        </w:rPr>
        <w:t xml:space="preserve"> </w:t>
      </w:r>
      <w:r w:rsidRPr="004F1F62">
        <w:rPr>
          <w:sz w:val="24"/>
          <w:szCs w:val="24"/>
          <w:lang w:val="sq-AL" w:eastAsia="sq-AL"/>
        </w:rPr>
        <w:t xml:space="preserve">Sheikh nuk është pjesë e listës prej 42 personash që po procedohen në Bangladesh në kuadër të çështjes tjetër penale, duke vënë në dispozicion </w:t>
      </w:r>
      <w:r w:rsidRPr="004F1F62">
        <w:rPr>
          <w:sz w:val="24"/>
          <w:szCs w:val="24"/>
          <w:lang w:val="sq-AL" w:eastAsia="sq-AL"/>
        </w:rPr>
        <w:lastRenderedPageBreak/>
        <w:t>dokumentacionin zyrtar në lidhje me të dhënat dhe emrat e personave që procedohen në kuadër të veprës penale të “Vrasjes” së dt. 27.09.2024. Në rastin konkret hetimi gjyqësor në shkallë të parë dhe ai plotësues në apel, janë ezaurues në drejtim jo vetëm të verifikimit të kushteve ndaluese të ekstradimit por edhe në marrjen e garancive (neni 490 i KPP) nga shteti kërkues se shtetasi Sohel Rana Sheikh nuk do të procedohet për vepër tjetër penale të ndodhur para kërkesës për ekstradim, dhe se për të nuk ka masë tjetër sigurimi apo procedim tjetër të filluar në shtetin e Bangaldeshit (parimi i specialitetit).</w:t>
      </w:r>
    </w:p>
    <w:p w:rsidR="00251387" w:rsidRPr="004F1F62" w:rsidRDefault="00251387" w:rsidP="00C13D88">
      <w:pPr>
        <w:pStyle w:val="ListParagraph"/>
        <w:numPr>
          <w:ilvl w:val="1"/>
          <w:numId w:val="3"/>
        </w:numPr>
        <w:tabs>
          <w:tab w:val="left" w:pos="900"/>
        </w:tabs>
        <w:ind w:left="0" w:firstLine="360"/>
        <w:jc w:val="both"/>
        <w:rPr>
          <w:sz w:val="24"/>
          <w:szCs w:val="24"/>
          <w:lang w:val="sq-AL" w:eastAsia="sq-AL"/>
        </w:rPr>
      </w:pPr>
      <w:r w:rsidRPr="004F1F62">
        <w:rPr>
          <w:sz w:val="24"/>
          <w:szCs w:val="24"/>
          <w:lang w:val="sq-AL" w:eastAsia="sq-AL"/>
        </w:rPr>
        <w:t>Nga mbrojtja e shtetasit Sohel Rana Sheikh u ngritën pretendime në lidhje me besueshmërinë e deklarimeve dhe informacioneve të vëna në dispozicion të autoriteteve shqiptare nga autoritetet e drejtësisë së Bangladeshit. Ndryshe nga sa pretendohet në ankim, nga informacionet e dërguara në rrugë diplomatike, nga autoritetet e shtetit të Bangladeshit, jo vetëm janë vënë në dispozicion dokumentat e kërkuara, por edhe shpjegime të hollësishme në lidhje me veprat penale për të cilat ky shtetas po procedohet në Bangladesh, si dhe për të gjithë garancitë dhe ecurinë e procesit penal që zhvillohet në Bangladesh, duke filluar me të drejtën e mbrojtjes, të drejtën për zhvillimin e një procesi kontradiktor gjatë gjykimit të akuzave, të drejtën për tu dëgjuar, për të ankimuar vendimin, madje edhe për të hapur një proces rishikimi nëse është e nevojshme, të gjitha këto garanci që përputhen me ato të parashikuara nga neni 6 i KEDNJ-së. Pretendimi i mbrojtjes se data lëshimit të pasaportës në Dhaka për shtetasin Sohel Rana Sheikh (dt. 04.11.2022) tregon që ai ka qenë në Bangladesh në këtë kohë dhe jo sik</w:t>
      </w:r>
      <w:r w:rsidR="004F1F62">
        <w:rPr>
          <w:sz w:val="24"/>
          <w:szCs w:val="24"/>
          <w:lang w:val="sq-AL" w:eastAsia="sq-AL"/>
        </w:rPr>
        <w:t>undër paraqitej në informacionin</w:t>
      </w:r>
      <w:r w:rsidRPr="004F1F62">
        <w:rPr>
          <w:sz w:val="24"/>
          <w:szCs w:val="24"/>
          <w:lang w:val="sq-AL" w:eastAsia="sq-AL"/>
        </w:rPr>
        <w:t xml:space="preserve"> zyrtar se ishte larguar nga ky shtet që në vitin 2021, prandaj nuk kishte si të ishte prezent në dt. 27.09.2024 në Bangladesh kur ka ndodhur ngjarja tjetër për shkak të së cilës ishte regjistruar çështja penale nr. 20 për “Vrasje”, nuk e zbeh aspak besueshmërinë e informacioneve zyrtare të dërguara nga shteti kërkues. Vetë Sohel Rana Sheikh e pranoi se ai ishte larguar nga Bangladeshi në vitin 2021 sikundër evidentohet edhe në informacionin zyrtar, ku pasqyrohet se ai ishte arrestuar në Indi në shtator të vitit 2021. Edhe nëse do të pranohej se ai ka qenë në Bangladesh në vitin 2022 kur është pajisur me pasaportë, ndërkohë që masa e sigurimit ishte caktuar në 15.02.2022 me efekte nga dt. 16.02.2022, kjo nuk e bën të pabesueshëm informacionin zyrtar të dërguar, pasi aty evidentohet që nuk ishte i pranishëm në dt. 19.07.2024 kur kishte ndodhur “Vrasja”, pasi ishte i larguar jashtë Bangladeshit dhe nuk ishte i pranishëm në vend për vite me radhë, pa  dhënë të dhëna specifike për hyrje – daljet e këtij shtetasi nga shteti i Bangladeshit.</w:t>
      </w:r>
    </w:p>
    <w:p w:rsidR="00251387" w:rsidRPr="004F1F62" w:rsidRDefault="00251387" w:rsidP="00C13D88">
      <w:pPr>
        <w:pStyle w:val="ListParagraph"/>
        <w:numPr>
          <w:ilvl w:val="1"/>
          <w:numId w:val="3"/>
        </w:numPr>
        <w:tabs>
          <w:tab w:val="left" w:pos="900"/>
        </w:tabs>
        <w:ind w:left="0" w:firstLine="360"/>
        <w:jc w:val="both"/>
        <w:rPr>
          <w:sz w:val="24"/>
          <w:szCs w:val="24"/>
          <w:lang w:val="sq-AL" w:eastAsia="sq-AL"/>
        </w:rPr>
      </w:pPr>
      <w:r w:rsidRPr="004F1F62">
        <w:rPr>
          <w:sz w:val="24"/>
          <w:szCs w:val="24"/>
          <w:lang w:val="sq-AL" w:eastAsia="sq-AL"/>
        </w:rPr>
        <w:t>Në gjykimin e kërkesave për ekstradim, autoritetet gjyqësore nuk mund të venë në diskutim vërtetësinë dhe besueshmërinë e një informacioni zyrtar të përcjellë nga autoritetet e shtetit kërkues. Ky informacion analizohet në drejtim të verifikimit të kushteve penguese për ekstradim, por jo në drejtim të verifikimit të vërtetësisë së tij. Në kushtet kur kërkesa për ekstradim dhe i gjithë dokumentacioni shoqërues i saj si dhe ai i përcjellë zyrtarisht në kuadër të bashkëpunimit ndërshtetëror, është dokumentacioni i vetëm burim prove në lidhje me veprën penale që ky shtetas ndiqet, tekstin e dispozitave ligjore që parashikojnë veprën penale dhe mungesën e parashkrimit të ndjekjes penale nga shteti i Bangladeshit, masën e dënimit që në rastin konkret nuk mund të kalojë 7/vjet, pra është më e ulët se ajo që parashikon neni 143/3 i K.Penal Shqiptar, dhënien e garancive që ndaj këtij shtetasi nuk mund të zbatohet “dënimi me vdekje”,  Gjykata e Apelit e vlerëson të drejtë konkluzionin e Gjykatës së Shkallës së Parë se vepra penale për të cilin kërkohet ekstradimi jo vetëm që nuk ka karakter politik, por as e ekspozon shtetasin e huaj drejt dënimit me vdekje. Nga ana tjetër prej shtetit kërkues konfirmohet se shtetasi Sohel Rana Sheikh nuk ndiqet penalisht në shtetin e Bangladeshit për asnjë vepër penale dhe nuk është as në listën e personave që po procedohen në kuadër të çështjes penale nr. 20 të dt.27.09.2024.</w:t>
      </w:r>
    </w:p>
    <w:p w:rsidR="00251387" w:rsidRPr="004F1F62" w:rsidRDefault="00251387" w:rsidP="00C13D88">
      <w:pPr>
        <w:pStyle w:val="ListParagraph"/>
        <w:numPr>
          <w:ilvl w:val="1"/>
          <w:numId w:val="3"/>
        </w:numPr>
        <w:tabs>
          <w:tab w:val="left" w:pos="900"/>
        </w:tabs>
        <w:ind w:left="0" w:firstLine="360"/>
        <w:jc w:val="both"/>
        <w:rPr>
          <w:sz w:val="24"/>
          <w:szCs w:val="24"/>
          <w:lang w:val="sq-AL" w:eastAsia="sq-AL"/>
        </w:rPr>
      </w:pPr>
      <w:r w:rsidRPr="004F1F62">
        <w:rPr>
          <w:sz w:val="24"/>
          <w:szCs w:val="24"/>
          <w:lang w:val="sq-AL" w:eastAsia="sq-AL"/>
        </w:rPr>
        <w:t xml:space="preserve">Gjykata e Apelit vlerëson të pabazuar edhe pretendimin tjetër të ngritur në ankim, se pas kërkesës për ekstradim në fakt fshihet vullneti i autoriteteve të shtetit të Bangladeshit për ndjekjen e tij për shkak të bindjeve politike dhe lidhjeve të tij me ish/Kryeministren e vendit Sheikh Hasina, pretendim që jo vetëm nuk mbështetet në akte provuese, por në bindjen e Gjykatës së Apelit nuk përputhet as me materialet që i bashkëngjiten kërkesës për ekstradim, nga rezulton se urdhri i arrestit ndërkombëtar për shtetasin Sohel Rana Sheikh ka dalë në </w:t>
      </w:r>
      <w:r w:rsidRPr="004F1F62">
        <w:rPr>
          <w:sz w:val="24"/>
          <w:szCs w:val="24"/>
          <w:lang w:val="sq-AL" w:eastAsia="sq-AL"/>
        </w:rPr>
        <w:lastRenderedPageBreak/>
        <w:t>muajin shkurt të vitit 2022, ndërkohë që qeveria e Kryeministres Sheikh Hasina ishte në pushtet, ndërsa protestat studentore në Bangladesh kundër partisë në pushtet “Lidhja A</w:t>
      </w:r>
      <w:r w:rsidR="004F1F62">
        <w:rPr>
          <w:sz w:val="24"/>
          <w:szCs w:val="24"/>
          <w:lang w:val="sq-AL" w:eastAsia="sq-AL"/>
        </w:rPr>
        <w:t>w</w:t>
      </w:r>
      <w:r w:rsidRPr="004F1F62">
        <w:rPr>
          <w:sz w:val="24"/>
          <w:szCs w:val="24"/>
          <w:lang w:val="sq-AL" w:eastAsia="sq-AL"/>
        </w:rPr>
        <w:t>ami” kanë  filluar 2/vite më vonë në korrik të vitit 2024. Pavarësisht se urdhri për arrestin ndërkombëtar ka arritur të zbatohet në Shqipëri në fillim të vitit 2025, pas protestave e rrëzimit të qeverisë në shtetin e Bangladeshit, ai figuronte i shpallur në Interpol që në dt. 16.02.2022 për shkak të një mase sigurimi “arrest në burg” të caktuar për efekt të çështjes për të cilën kërkohet ekstradimi, për veprën penale “Mashtrimi dhe përvetësimi nga biznesi online E-Orange”.</w:t>
      </w:r>
    </w:p>
    <w:p w:rsidR="00251387" w:rsidRPr="004F1F62" w:rsidRDefault="00251387" w:rsidP="00C13D88">
      <w:pPr>
        <w:pStyle w:val="ListParagraph"/>
        <w:numPr>
          <w:ilvl w:val="1"/>
          <w:numId w:val="3"/>
        </w:numPr>
        <w:tabs>
          <w:tab w:val="left" w:pos="900"/>
        </w:tabs>
        <w:ind w:left="0" w:firstLine="360"/>
        <w:jc w:val="both"/>
        <w:rPr>
          <w:sz w:val="24"/>
          <w:szCs w:val="24"/>
          <w:lang w:val="sq-AL" w:eastAsia="sq-AL"/>
        </w:rPr>
      </w:pPr>
      <w:r w:rsidRPr="004F1F62">
        <w:rPr>
          <w:sz w:val="24"/>
          <w:szCs w:val="24"/>
          <w:lang w:val="sq-AL" w:eastAsia="sq-AL"/>
        </w:rPr>
        <w:t>Në lidhje me pretendimin tjetër të ngritur në ankim se bazuar në raporte ndërkombëtare, burime të hapura për publikun, kishte arsye për të menduar se shtetasi Sohel Rana Sheikh do t’i nënshtrohej trajtimit ç’njerëzor e degradues, deri në aplikimin ndaj tij të dënimit me vdekje, Gjykata e Apelit vlerëson se në lidhje me dënimin me vdekje, veprat penale për të cilën kërkohet ekstradimi nuk e parashikojnë këtë lloj dënimi dhe shteti kërkues ka dhënë edhe garanci në rastin e ekstradimit, për mos aplikimin e këtij lloj dënimi për shtetasin Sohel Rana Sheikh. Ndërsa në lidhje me trajtimin ç’njerëzor e degradues, Gjykata e Apelit e vlerëson të drejtë arsyetimin e Gjykatës së Shkallës së Parë se barra e paraqitjes së të dhënave, elementeve të karakterit objektiv, të besueshëm, të saktë dhe te përditësuara lidhur me gjendjen dhe kushtet e sistemit gjyqësor në shtetin kërkues të përshtatshme për të mbështetur perceptimin e rrezikut dhe frikës se ekstradimi i paraprin një trajtimi të papajtueshëm me të drejtat themelore të personit, i takon personit për të cilin kërkohet ekstradimi. Për aq sa u depozitua nga palët një pretendimi tillë nuk u provua në mënyrë konkrete dhe të qartë nga shtetasi Sohel Rana</w:t>
      </w:r>
      <w:r w:rsidR="004F1F62">
        <w:rPr>
          <w:sz w:val="24"/>
          <w:szCs w:val="24"/>
          <w:lang w:val="sq-AL" w:eastAsia="sq-AL"/>
        </w:rPr>
        <w:t xml:space="preserve"> </w:t>
      </w:r>
      <w:r w:rsidRPr="004F1F62">
        <w:rPr>
          <w:sz w:val="24"/>
          <w:szCs w:val="24"/>
          <w:lang w:val="sq-AL" w:eastAsia="sq-AL"/>
        </w:rPr>
        <w:t>Sheikh.</w:t>
      </w:r>
    </w:p>
    <w:p w:rsidR="00251387" w:rsidRPr="004F1F62" w:rsidRDefault="00251387" w:rsidP="00C13D88">
      <w:pPr>
        <w:pStyle w:val="ListParagraph"/>
        <w:numPr>
          <w:ilvl w:val="1"/>
          <w:numId w:val="3"/>
        </w:numPr>
        <w:tabs>
          <w:tab w:val="left" w:pos="900"/>
        </w:tabs>
        <w:ind w:left="0" w:firstLine="360"/>
        <w:jc w:val="both"/>
        <w:rPr>
          <w:sz w:val="24"/>
          <w:szCs w:val="24"/>
          <w:lang w:val="sq-AL" w:eastAsia="sq-AL"/>
        </w:rPr>
      </w:pPr>
      <w:r w:rsidRPr="004F1F62">
        <w:rPr>
          <w:sz w:val="24"/>
          <w:szCs w:val="24"/>
          <w:lang w:val="sq-AL" w:eastAsia="sq-AL"/>
        </w:rPr>
        <w:t>I kërkuari për ekstradim kërkohet për një vepër penale që lidhet me përvetësimin e pasurisë private, dhe nga aktet nuk ka asnjë të dhënë për ndonjë arsye të persekutimit, diskriminimeve për shkaqe të caktuara, apo dënimeve e trajtimeve ç'njerëzore, të egra apo poshtëruese apo veprimeve që përbëjnë shkelje të të drejtave themelore të njeriut. Në këtë kontekst nuk konstatohen kushte ndaluese të ekstradimit, të parashikuara në nenin 11/3/b/c të K.Penal dhe 491/a/b të KPP. Pretendimet e mbrojtësit se ekzistojnë të dhëna se shtetasi Sohel Rana Sheikh nëse do të ekstradohet drejt Bangladeshit, do ishte subjekt i trajtimeve ç’njerëzore dhe i dhunimit të të drejtave të njeriut parashikuar në Kushtetutën e Republikës së Shqipërisë, në Konventën Evropiane të të Drejtave të Njeriut dhe në Marrëveshjet e tjera Ndërkombëtare ku Republika e Shqipërisë është palë, nuk gjejnë mbështetje në prova konkrete që lidhen personalisht me shtetasin Sohel Rana Sheikh, dhe nuk japin një përshkrim të saktë dhe të përditësuar të gjendjes për kushtet e paraburgimit në shtetin e Bangladeshit, pavarësisht situatës së protestave studentore në korrik 2024 që solli edhe rrëzimin e qeverisë dhe arratisjen e Kryeministres së vendit, aq më tepër vepra penale për të cilën po hetohet ky shtetas nuk është e karakterit politik apo ushtarak. Në mbështetje të këtij konkluzioni shkon edhe fakti se autoritetet e shtetit të Bangladeshit në kërkesën për ekstradim por edhe materialet e tjera të përcjella prej tyre, kanë siguruar se kërkesa për ekstradim nuk ka për qëllim përndjekjen e këtij personi për arsye politike, për shkak të racës, fesë kombësisë apo pikëpamjeve politike, dhe se sipas legjislacionit të këtij shteti. atij i ofrohen të gjitha mundësitë për mbrojtje duke përfshirë ndihmën e avokatëve, dhe se nuk kishte arsye që ai t’i nënshtrohet torturës, trajtimit apo dënimit mizor, çnjerëzor apo poshtërues dhe se ai do të ndiqet penalisht vetëm për krimin për të cilin kërkohet ekstradimi.</w:t>
      </w:r>
    </w:p>
    <w:p w:rsidR="00251387" w:rsidRPr="004F1F62" w:rsidRDefault="00251387" w:rsidP="004F1F62">
      <w:pPr>
        <w:pStyle w:val="ListParagraph"/>
        <w:numPr>
          <w:ilvl w:val="1"/>
          <w:numId w:val="3"/>
        </w:numPr>
        <w:tabs>
          <w:tab w:val="left" w:pos="900"/>
        </w:tabs>
        <w:ind w:left="0" w:firstLine="360"/>
        <w:jc w:val="both"/>
        <w:rPr>
          <w:sz w:val="24"/>
          <w:szCs w:val="24"/>
          <w:lang w:val="sq-AL" w:eastAsia="sq-AL"/>
        </w:rPr>
      </w:pPr>
      <w:r w:rsidRPr="004F1F62">
        <w:rPr>
          <w:sz w:val="24"/>
          <w:szCs w:val="24"/>
          <w:lang w:val="sq-AL" w:eastAsia="sq-AL"/>
        </w:rPr>
        <w:t>Gjykata e Apelit sjell në dukje se në vitin 2021 kur Sohel Rana Sheikh ishte larguar nga Bangladeshi dhe arrestuar në Indi nuk kishte lëvizje politike në Bangladesh dhe as rezulton të jetë</w:t>
      </w:r>
      <w:r w:rsidR="004F1F62">
        <w:rPr>
          <w:sz w:val="24"/>
          <w:szCs w:val="24"/>
          <w:lang w:val="sq-AL" w:eastAsia="sq-AL"/>
        </w:rPr>
        <w:t xml:space="preserve"> </w:t>
      </w:r>
      <w:r w:rsidRPr="004F1F62">
        <w:rPr>
          <w:sz w:val="24"/>
          <w:szCs w:val="24"/>
          <w:lang w:val="sq-AL" w:eastAsia="sq-AL"/>
        </w:rPr>
        <w:t xml:space="preserve">shpallur në kërkim ndërkombëtar për shkaqe politike, por për një vepër penale me karakter financiar që kundër drejtohet ndaj pasurisë. Raportet ndërkombëtare të evidentuara nga mbrojtja në parashtrimet e saj, pasqyrojnë situatën në Bangladesh pas protestave të korrikut 2024 dhe jo atë aktuale. Ndërsa vendimi i referuar si vendim i GJEDNJ-së si çështja nr.C-758/24 dhe C-759/24 të bashkuara dt. 01.08.2025, nuk është vendim i GjEDNJ-së, por vendim i Gjykatës së Luksemburgut (Gjykatës Europiane të Drejtësisë) së cilës autoritetet gjyqësore italiane i janë drejtuar në kuadër të një procedure </w:t>
      </w:r>
      <w:r w:rsidRPr="004F1F62">
        <w:rPr>
          <w:sz w:val="24"/>
          <w:szCs w:val="24"/>
          <w:lang w:val="sq-AL" w:eastAsia="sq-AL"/>
        </w:rPr>
        <w:lastRenderedPageBreak/>
        <w:t>urgjente paraprake (urgent preliminary ruling) për interpretimin e neneve (Articles) 36 deri 38 të Direktivës 2013/32 EU të Parlamentit Europian dhe të Këshillit të 26 qershorit 2013, mbi procedurat e përbashkëta të dhënies dhe tërheqjes së mbrojtjes ndërkombëtare (çështjet e Azilit). Në çështjen e mësipërm, gjykimi paraprak nuk ka natyrë zgjidhës të çështjes, por siguron interpretim të njëjtë të së drejtës së Bashkimit Europian në shtetet anëtare. Në këtë aspekt, Gjykatat italiane i janë drejtuar Gjykatës së Luksemburgut duke i kërkuar asaj mënyrën se si duhet të interpretoheshin nenet e mësipërme të Direktivës në çështjen që ajo kishte për zgjidhje midis dyshtetasve të Bangladeshit dhe Komisionit Territorial të Mbrojtjes Ndërkombëtare, i cili kishte hedhur poshtë kërkesat e dy shtetasve bangladeshianë për mbrojtje ndërkombëtare, për shkak se ata vinin nga një vendi sigurt origjine. Në këtë vendim Dhoma e Madhe e Gjykatës së Luksembugut, vendimi i dt. 01.08.2025, në shqyrtimin e çështjeve të bashkuara nr. C-758/24dhe C-759/24, ka konkluduar se artikujt 36 dhe 37 të Direktivës 2013/32/EU të Parlamentit Europian dhe të Këshillit të dt. 26.06.2013, duhet të interpretohen në mënyrë të tillë që nuk i pengojnë shtetet anëtare të caktojnë vendet e treta</w:t>
      </w:r>
      <w:r w:rsidR="004F1F62">
        <w:rPr>
          <w:sz w:val="24"/>
          <w:szCs w:val="24"/>
          <w:lang w:val="sq-AL" w:eastAsia="sq-AL"/>
        </w:rPr>
        <w:t xml:space="preserve"> </w:t>
      </w:r>
      <w:r w:rsidRPr="004F1F62">
        <w:rPr>
          <w:sz w:val="24"/>
          <w:szCs w:val="24"/>
          <w:lang w:val="sq-AL" w:eastAsia="sq-AL"/>
        </w:rPr>
        <w:t>si vende të sigurta nëpërmjet një akti legjislativ, por duke parashikuar që ky përcaktim t’i nënshtrohet shqyrtimit gjyqësor në lidhje me përmbushjen e</w:t>
      </w:r>
      <w:r w:rsidR="004F1F62">
        <w:rPr>
          <w:sz w:val="24"/>
          <w:szCs w:val="24"/>
          <w:lang w:val="sq-AL" w:eastAsia="sq-AL"/>
        </w:rPr>
        <w:t xml:space="preserve"> </w:t>
      </w:r>
      <w:r w:rsidRPr="004F1F62">
        <w:rPr>
          <w:sz w:val="24"/>
          <w:szCs w:val="24"/>
          <w:lang w:val="sq-AL" w:eastAsia="sq-AL"/>
        </w:rPr>
        <w:t>kushteve materiale për një përcaktim të tillë, të përcaktuara në Shtojcën I të Direktivës, nga çdo gjykatë apo tribunal kombëtar që shqyrton një padi të ngritur ndaj një vendimi të marrë mbi një kërkesë për mbrojtje ndërkombëtare, e cila është shqyrtuar sipas skemës speciale të zbatueshme për kërkesat eparaqitura nga aplikantët që janë nga vendet e treta të përcaktuara si vende të sigurta. Si i tillë ky vendim keqinterpretohet nga mbrojtja jo vetëm për qëllimin që ka procedura por edhe për faktin se ai nuk e ka zgjidhur çështjen në drejtim të përcaktimit nëse Bangladeshi është ose jo shteti i sigurt origjine.</w:t>
      </w:r>
    </w:p>
    <w:p w:rsidR="00251387" w:rsidRPr="004F1F62" w:rsidRDefault="00251387" w:rsidP="00251387">
      <w:pPr>
        <w:shd w:val="clear" w:color="auto" w:fill="FFFFFF"/>
        <w:jc w:val="both"/>
        <w:rPr>
          <w:sz w:val="24"/>
          <w:szCs w:val="24"/>
          <w:lang w:val="sq-AL" w:eastAsia="sq-AL"/>
        </w:rPr>
      </w:pPr>
      <w:r w:rsidRPr="004F1F62">
        <w:rPr>
          <w:sz w:val="24"/>
          <w:szCs w:val="24"/>
          <w:lang w:val="sq-AL" w:eastAsia="sq-AL"/>
        </w:rPr>
        <w:t>Ndërsa në lidhje me mungesën e kushteve të tjera penguese/lejuese për ekstradimin e shtetasit Sohel Rana Sheikh, nga ana e Gjykatës së Shkalles së Parë është bërë gjithashtu një analizë ezauruese dhe prej shtetasit të huaj nuk ngrihen pretendime të tjera në ankim.</w:t>
      </w:r>
    </w:p>
    <w:p w:rsidR="00251387" w:rsidRPr="004F1F62" w:rsidRDefault="00251387" w:rsidP="00C13D88">
      <w:pPr>
        <w:numPr>
          <w:ilvl w:val="0"/>
          <w:numId w:val="5"/>
        </w:numPr>
        <w:ind w:left="0" w:firstLine="360"/>
        <w:jc w:val="both"/>
        <w:rPr>
          <w:sz w:val="24"/>
          <w:szCs w:val="24"/>
          <w:lang w:val="sq-AL"/>
        </w:rPr>
      </w:pPr>
      <w:r w:rsidRPr="004F1F62">
        <w:rPr>
          <w:sz w:val="24"/>
          <w:szCs w:val="24"/>
          <w:lang w:val="sq-AL"/>
        </w:rPr>
        <w:t xml:space="preserve">Kundër vendimit </w:t>
      </w:r>
      <w:r w:rsidRPr="004F1F62">
        <w:rPr>
          <w:bCs/>
          <w:sz w:val="24"/>
          <w:szCs w:val="24"/>
          <w:lang w:val="sq-AL"/>
        </w:rPr>
        <w:t>nr. 2239</w:t>
      </w:r>
      <w:r w:rsidR="004F1F62">
        <w:rPr>
          <w:bCs/>
          <w:sz w:val="24"/>
          <w:szCs w:val="24"/>
          <w:lang w:val="sq-AL"/>
        </w:rPr>
        <w:t xml:space="preserve"> </w:t>
      </w:r>
      <w:r w:rsidRPr="004F1F62">
        <w:rPr>
          <w:bCs/>
          <w:sz w:val="24"/>
          <w:szCs w:val="24"/>
          <w:lang w:val="sq-AL"/>
        </w:rPr>
        <w:t>(30-2025-8205), datë 15.10.2025</w:t>
      </w:r>
      <w:r w:rsidRPr="004F1F62">
        <w:rPr>
          <w:sz w:val="24"/>
          <w:szCs w:val="24"/>
          <w:lang w:val="sq-AL"/>
        </w:rPr>
        <w:t>, të Gjykatës së Apelit të Juridiksionit të Përgjithshëm, ka paraqitur rekurs, më datë 29.12.2025, shtetasi Sohel Rana Sheikh,</w:t>
      </w:r>
      <w:r w:rsidRPr="004F1F62">
        <w:rPr>
          <w:b/>
          <w:sz w:val="24"/>
          <w:szCs w:val="24"/>
          <w:lang w:val="sq-AL"/>
        </w:rPr>
        <w:t xml:space="preserve"> </w:t>
      </w:r>
      <w:r w:rsidRPr="004F1F62">
        <w:rPr>
          <w:bCs/>
          <w:sz w:val="24"/>
          <w:szCs w:val="24"/>
          <w:lang w:val="sq-AL"/>
        </w:rPr>
        <w:t>i cili</w:t>
      </w:r>
      <w:r w:rsidRPr="004F1F62">
        <w:rPr>
          <w:b/>
          <w:sz w:val="24"/>
          <w:szCs w:val="24"/>
          <w:lang w:val="sq-AL"/>
        </w:rPr>
        <w:t xml:space="preserve"> </w:t>
      </w:r>
      <w:r w:rsidRPr="004F1F62">
        <w:rPr>
          <w:sz w:val="24"/>
          <w:szCs w:val="24"/>
          <w:lang w:val="sq-AL"/>
        </w:rPr>
        <w:t>ka marr</w:t>
      </w:r>
      <w:r w:rsidR="004F1F62" w:rsidRPr="004F1F62">
        <w:rPr>
          <w:sz w:val="24"/>
          <w:szCs w:val="24"/>
          <w:lang w:val="sq-AL"/>
        </w:rPr>
        <w:t>ë</w:t>
      </w:r>
      <w:r w:rsidRPr="004F1F62">
        <w:rPr>
          <w:sz w:val="24"/>
          <w:szCs w:val="24"/>
          <w:lang w:val="sq-AL"/>
        </w:rPr>
        <w:t xml:space="preserve"> dijeni për vendimin e arsyetuar në datë 14.11.2025, me të cilin kërkon: </w:t>
      </w:r>
      <w:r w:rsidRPr="004F1F62">
        <w:rPr>
          <w:i/>
          <w:iCs/>
          <w:sz w:val="24"/>
          <w:szCs w:val="24"/>
          <w:lang w:val="sq-AL"/>
        </w:rPr>
        <w:t>"Ndryshimin e vendimit nr. 2239 (30-2025-8205) i datës 15.10.2025 i Gjykatës së Apelit të Juridiksionit të Përgjithshëm; Rrëzimin e kërkesës për lejimin e ekstradimit të shtetasit Sohel Rana Sheikh; Revokimin e masës së sigurisë "Arrest me burg", dhe lirimin e menjëhershëm të Sohel Rana Sheikh nëse nuk mbahet i ndaluar për arsye të tjera."</w:t>
      </w:r>
      <w:r w:rsidRPr="004F1F62">
        <w:rPr>
          <w:i/>
          <w:sz w:val="24"/>
          <w:szCs w:val="24"/>
          <w:lang w:val="sq-AL"/>
        </w:rPr>
        <w:t xml:space="preserve">, </w:t>
      </w:r>
      <w:r w:rsidRPr="004F1F62">
        <w:rPr>
          <w:sz w:val="24"/>
          <w:szCs w:val="24"/>
          <w:lang w:val="sq-AL"/>
        </w:rPr>
        <w:t xml:space="preserve">duke parashtruar këto pretendime: </w:t>
      </w:r>
    </w:p>
    <w:p w:rsidR="00251387" w:rsidRPr="004F1F62" w:rsidRDefault="00251387" w:rsidP="00C13D88">
      <w:pPr>
        <w:pStyle w:val="NormalWeb"/>
        <w:numPr>
          <w:ilvl w:val="0"/>
          <w:numId w:val="6"/>
        </w:numPr>
        <w:spacing w:before="0" w:beforeAutospacing="0" w:after="0" w:afterAutospacing="0"/>
        <w:rPr>
          <w:lang w:val="sq-AL"/>
        </w:rPr>
      </w:pPr>
      <w:r w:rsidRPr="004F1F62">
        <w:rPr>
          <w:lang w:val="sq-AL"/>
        </w:rPr>
        <w:t>Shkelja e të drejtave të njeriut (Neni 491, b i KPP)</w:t>
      </w:r>
    </w:p>
    <w:p w:rsidR="00251387" w:rsidRPr="004F1F62" w:rsidRDefault="00251387" w:rsidP="00C13D88">
      <w:pPr>
        <w:pStyle w:val="NormalWeb"/>
        <w:numPr>
          <w:ilvl w:val="0"/>
          <w:numId w:val="6"/>
        </w:numPr>
        <w:spacing w:before="0" w:beforeAutospacing="0" w:after="0" w:afterAutospacing="0"/>
        <w:jc w:val="both"/>
        <w:rPr>
          <w:lang w:val="sq-AL"/>
        </w:rPr>
      </w:pPr>
      <w:r w:rsidRPr="004F1F62">
        <w:rPr>
          <w:lang w:val="sq-AL"/>
        </w:rPr>
        <w:t>Së pari, është e rëndësishme të nënvizojmë se, sipas Konventës Evropiane për të Drejtat e Njeriut, e ratifikuar nga Republika e Shqipërisë, çdo individ ka të drejtën për të mos u ekspozuar ndaj dënimeve degraduese, poshtëruese ose çnjerëzore.</w:t>
      </w:r>
    </w:p>
    <w:p w:rsidR="00251387" w:rsidRPr="004F1F62" w:rsidRDefault="00251387" w:rsidP="00C13D88">
      <w:pPr>
        <w:pStyle w:val="NormalWeb"/>
        <w:numPr>
          <w:ilvl w:val="0"/>
          <w:numId w:val="6"/>
        </w:numPr>
        <w:jc w:val="both"/>
        <w:rPr>
          <w:lang w:val="sq-AL"/>
        </w:rPr>
      </w:pPr>
      <w:r w:rsidRPr="004F1F62">
        <w:rPr>
          <w:lang w:val="sq-AL"/>
        </w:rPr>
        <w:t>Ekstradimi i Z. Sheikh në një vend ku ai mund të përballet me dënimin me vdekje, torturë, sjellje degraduese do të përbënte një shkelje të drejtpërdrejtë të artikujve 2 dhe 3 të kësaj konvente. Sipas të gjitha raporteve ndërkombëtare mbi të drejtat e njeriut, por në veçanti të Departamentit Amerikan të Shtetit, ka pasur dëshmi të qarta për torturën dhe keqtrajtimin e të arrestuarve dhe ndaluarve nga forcat e sigurisë.</w:t>
      </w:r>
    </w:p>
    <w:p w:rsidR="00251387" w:rsidRPr="004F1F62" w:rsidRDefault="00251387" w:rsidP="00C13D88">
      <w:pPr>
        <w:pStyle w:val="NormalWeb"/>
        <w:numPr>
          <w:ilvl w:val="0"/>
          <w:numId w:val="6"/>
        </w:numPr>
        <w:jc w:val="both"/>
        <w:rPr>
          <w:lang w:val="sq-AL"/>
        </w:rPr>
      </w:pPr>
      <w:r w:rsidRPr="004F1F62">
        <w:rPr>
          <w:lang w:val="sq-AL"/>
        </w:rPr>
        <w:t xml:space="preserve">Dëshmitë përfshijnë përdorimin e forcës fizike, kërcënimeve dhe dhunës psikologjike për të nxjerrë informacion nga të arrestuarit, ose ndëshkimin e tyre për mbështetjen e një partie politike kundërshtare. Gjithashtu, raporti dokumenton se ka një rritje të vrasjeve dhe ekzekutimeve jashtëgjyqësore, kryesisht nga agjencitë e sigurisë, duke përfshirë policinë dhe forcat speciale. Këto akte janë shpesh të paraportuara dhe nuk ndiqen penalisht, duke shkaktuar një klimë frike. Kjo mund të evidentohet lehtësisht në raportet ndërkombëtare si më poshtë: Ref: Human Rights </w:t>
      </w:r>
      <w:r w:rsidR="004F1F62">
        <w:rPr>
          <w:lang w:val="sq-AL"/>
        </w:rPr>
        <w:t>W</w:t>
      </w:r>
      <w:r w:rsidRPr="004F1F62">
        <w:rPr>
          <w:lang w:val="sq-AL"/>
        </w:rPr>
        <w:t xml:space="preserve">atch. (2025). Ëorld Report 2025: Bangladesh. Marrë nga: </w:t>
      </w:r>
      <w:hyperlink r:id="rId10" w:history="1">
        <w:r w:rsidR="004F1F62" w:rsidRPr="002B13C5">
          <w:rPr>
            <w:rStyle w:val="Hyperlink"/>
            <w:rFonts w:eastAsia="MS Mincho"/>
            <w:lang w:val="sq-AL"/>
          </w:rPr>
          <w:t>https://www.hrw.org/world-report/2025/country-chapters/bangladesh</w:t>
        </w:r>
      </w:hyperlink>
      <w:r w:rsidRPr="004F1F62">
        <w:rPr>
          <w:lang w:val="sq-AL"/>
        </w:rPr>
        <w:t xml:space="preserve"> </w:t>
      </w:r>
      <w:r w:rsidRPr="004F1F62">
        <w:rPr>
          <w:i/>
          <w:iCs/>
          <w:lang w:val="sq-AL"/>
        </w:rPr>
        <w:t xml:space="preserve">Thuhet se </w:t>
      </w:r>
      <w:r w:rsidRPr="004F1F62">
        <w:rPr>
          <w:i/>
          <w:iCs/>
          <w:lang w:val="sq-AL"/>
        </w:rPr>
        <w:lastRenderedPageBreak/>
        <w:t>rreth 1,000 persona, përfshirë mbi 100 fëmijë, u vranë gjatë dhunës në korrik dhe në aktet e dhunës hakmarrëse pas rrëzimit të Hasinës. Cenime të të drejtave të njeriut përfshijnë arrestime arbitrare të zyrtarëve dhe mbështetësve të Lidhjes Aëami, si dhe të gazetarëve që konsideroheshin pro qeverisë së mëparshme, duke ngritur padi penale ndaj një numri të madh personash të "panjohur.";</w:t>
      </w:r>
      <w:r w:rsidRPr="004F1F62">
        <w:rPr>
          <w:lang w:val="sq-AL"/>
        </w:rPr>
        <w:t xml:space="preserve"> Ref: U.S. Department of State. (2024). 2023 Country Reports on Human Rights Practices: Bangladesh. Marrë nga: </w:t>
      </w:r>
      <w:hyperlink r:id="rId11" w:history="1">
        <w:r w:rsidR="004F1F62" w:rsidRPr="002B13C5">
          <w:rPr>
            <w:rStyle w:val="Hyperlink"/>
            <w:rFonts w:eastAsia="MS Mincho"/>
            <w:lang w:val="sq-AL"/>
          </w:rPr>
          <w:t>https://www.state.gov/reports/2023-country-reports-on-human-rights-practices/bangladesh</w:t>
        </w:r>
      </w:hyperlink>
      <w:r w:rsidRPr="004F1F62">
        <w:rPr>
          <w:lang w:val="sq-AL"/>
        </w:rPr>
        <w:t xml:space="preserve"> </w:t>
      </w:r>
      <w:r w:rsidRPr="004F1F62">
        <w:rPr>
          <w:i/>
          <w:iCs/>
          <w:lang w:val="sq-AL"/>
        </w:rPr>
        <w:t>"Nuk pati ndryshime domethënëse në situatën e të drejtave të njeriut në Bangladesh gjatë vitit. Çështjet serioze të të drejtave të njeriut përfshinin raporte të besueshme për: vrasje arbitrare ose të paligjshme, përfshirë vrasje jashtëligjore; zhdukje të detyruara: tortura ose trajtim ose ndëshkim mizor, çnjerëzor apo degradues nga qeveria; kushte të rënda dhe kërcënuese për jetën në burgje; arrestime ose ndalime arbitrare; probleme serioze me pavarësinë e gjyqësorit, të burgosur ose të ndaluar politikë; shtypje transnacionale ndaj individëve në një vend tjetër; dhe ndërhyrje arbitrare ose të paligjshme në privatësinë e gjyqësorit"</w:t>
      </w:r>
      <w:r w:rsidRPr="004F1F62">
        <w:rPr>
          <w:lang w:val="sq-AL"/>
        </w:rPr>
        <w:t xml:space="preserve"> Ref: Amnesty International. (2022). Amnesty International Report 2021/2022: The state of the ëorld’s human rights (fq. 87). Londër: Amnesty International. </w:t>
      </w:r>
      <w:r w:rsidRPr="004F1F62">
        <w:rPr>
          <w:i/>
          <w:iCs/>
          <w:lang w:val="sq-AL"/>
        </w:rPr>
        <w:t>Sipas Ain o Salish Kendra, të paktën 80 persona u ekzekutuan me metoda të jashtëligjshme gjatë vitit. Nga këta, 73 persona u vranë, thuhet, në "përleshje me armë" ose "shkëmbime zjarri ndërsa shtatë të tjerë humbën jetën pasi u janë nënshtruar torturave fizike. Odhikar, një tjetër organizatë vendase për të drejtat e njeriut, raportoi se 18 persona u zhdukën me forcë gjatë nëntë muajve të parë të vitit</w:t>
      </w:r>
      <w:r w:rsidRPr="004F1F62">
        <w:rPr>
          <w:lang w:val="sq-AL"/>
        </w:rPr>
        <w:t>.</w:t>
      </w:r>
    </w:p>
    <w:p w:rsidR="00251387" w:rsidRPr="004F1F62" w:rsidRDefault="00251387" w:rsidP="00C13D88">
      <w:pPr>
        <w:pStyle w:val="NormalWeb"/>
        <w:numPr>
          <w:ilvl w:val="0"/>
          <w:numId w:val="6"/>
        </w:numPr>
        <w:jc w:val="both"/>
        <w:rPr>
          <w:lang w:val="sq-AL"/>
        </w:rPr>
      </w:pPr>
      <w:r w:rsidRPr="004F1F62">
        <w:rPr>
          <w:lang w:val="sq-AL"/>
        </w:rPr>
        <w:t xml:space="preserve">Bangladeshi është një vend që në mënyrë vazhduese ka persekutim politik, i cili në rastin e Z. Sheikh vjen për shkak të detyrave të tij zyrtare përpara rrëzimit të qeverisë, dhe lidhja familjare me Kryeministren e larguar të vendit Znj. Sheikh Hasina në gusht të vitit 2024. Raportet e organizatave ndërkombëtare si Human Rights </w:t>
      </w:r>
      <w:r w:rsidR="004F1F62">
        <w:rPr>
          <w:lang w:val="sq-AL"/>
        </w:rPr>
        <w:t>W</w:t>
      </w:r>
      <w:r w:rsidRPr="004F1F62">
        <w:rPr>
          <w:lang w:val="sq-AL"/>
        </w:rPr>
        <w:t>atch, Amnesty International dhe raportet e Departamentit Amerikan të Shtetit mbi të drejtat e njeriut flasin për kërcënime dhe intimidim, jo vetëm gjatë qëndrimit në burg, por edhe pas lirimit. Kjo krijon një klimë frike për ata që guxojnë të kritikojnë qeverinë ose i përkasin një formacioni politik të ndryshëm nga ai në pushtet.</w:t>
      </w:r>
    </w:p>
    <w:p w:rsidR="00251387" w:rsidRPr="004F1F62" w:rsidRDefault="00251387" w:rsidP="00C13D88">
      <w:pPr>
        <w:pStyle w:val="NormalWeb"/>
        <w:numPr>
          <w:ilvl w:val="0"/>
          <w:numId w:val="6"/>
        </w:numPr>
        <w:jc w:val="both"/>
        <w:rPr>
          <w:lang w:val="sq-AL"/>
        </w:rPr>
      </w:pPr>
      <w:r w:rsidRPr="004F1F62">
        <w:rPr>
          <w:lang w:val="sq-AL"/>
        </w:rPr>
        <w:t>Së dyti, Kushtetuta e Shqipërisë garanton të drejtat themelore të njeriut dhe ndalon dënimin me vdekje, duke theksuar se çdo individ ka të drejtën për të jetuar dhe për t'u mbrojtur nga trajtimi çnjerëzor. Ekstradimi i një personi në një vend ku ka të dhëna serioze për mundësinë që ndaj tij të aplikohet dënimi me vdekje është në kundërshtim me këto parime dhe tregon një mospërputhje serioze me angazhimet ndërkombëtare të Shqipërisë. Dhënia e garancive për mos</w:t>
      </w:r>
      <w:r w:rsidR="004F1F62">
        <w:rPr>
          <w:lang w:val="sq-AL"/>
        </w:rPr>
        <w:t xml:space="preserve"> </w:t>
      </w:r>
      <w:r w:rsidRPr="004F1F62">
        <w:rPr>
          <w:lang w:val="sq-AL"/>
        </w:rPr>
        <w:t xml:space="preserve">nënshtrimin ndaj dënimit me vdekje theksohet edhe në rastin e Gjykatës Evropiane për të Drejtat e Njeriut </w:t>
      </w:r>
      <w:r w:rsidRPr="004F1F62">
        <w:rPr>
          <w:i/>
          <w:iCs/>
          <w:lang w:val="sq-AL"/>
        </w:rPr>
        <w:t>Rrapo kundër Shqipërisë</w:t>
      </w:r>
      <w:r w:rsidRPr="004F1F62">
        <w:rPr>
          <w:lang w:val="sq-AL"/>
        </w:rPr>
        <w:t xml:space="preserve"> duke pasur parasysh mundësinë reale të dënimit me vdekje dhe të ekzekutimit të kërkuesve, Gjykata arriti në përfundimin se kërkuesit ishin trajtuar në mënyrë çnjerëzore dhe poshtëruese, në shkelje të nenit 3 dhe nenit 34 të Konventës. Apo edhe rastet Al</w:t>
      </w:r>
      <w:r w:rsidRPr="004F1F62">
        <w:rPr>
          <w:i/>
          <w:iCs/>
          <w:lang w:val="sq-AL"/>
        </w:rPr>
        <w:t>-Saadon dhe Mufdhi kunder Mbreterise se Bashkuar; Amerkhanov kunder Turqise; Trabelsi kunder Belgjikes; Horne kunder Mbreterise se Bashkuar</w:t>
      </w:r>
      <w:r w:rsidRPr="004F1F62">
        <w:rPr>
          <w:lang w:val="sq-AL"/>
        </w:rPr>
        <w:t>.</w:t>
      </w:r>
    </w:p>
    <w:p w:rsidR="00251387" w:rsidRPr="004F1F62" w:rsidRDefault="00251387" w:rsidP="00C13D88">
      <w:pPr>
        <w:pStyle w:val="NormalWeb"/>
        <w:numPr>
          <w:ilvl w:val="0"/>
          <w:numId w:val="6"/>
        </w:numPr>
        <w:jc w:val="both"/>
        <w:rPr>
          <w:lang w:val="sq-AL"/>
        </w:rPr>
      </w:pPr>
      <w:r w:rsidRPr="004F1F62">
        <w:rPr>
          <w:lang w:val="sq-AL"/>
        </w:rPr>
        <w:t>Kjo praktikë është reflektuar në vendimet e shumë gjykatave ndërkombëtare që kanë konstatuar se dënimi me vdekje është një masë e papranueshme dhe duhet të evitohet me çdo kusht. Të njëjtën qasje mban edhe Gjykata e Lartë mbështetur edhe nga Vendimi nr. 139 i datës 25.04.2023 i Kolegjit Penal të Gjykatës së Lartë.</w:t>
      </w:r>
    </w:p>
    <w:p w:rsidR="00251387" w:rsidRPr="004F1F62" w:rsidRDefault="00251387" w:rsidP="00C13D88">
      <w:pPr>
        <w:pStyle w:val="NormalWeb"/>
        <w:numPr>
          <w:ilvl w:val="0"/>
          <w:numId w:val="6"/>
        </w:numPr>
        <w:jc w:val="both"/>
        <w:rPr>
          <w:lang w:val="sq-AL"/>
        </w:rPr>
      </w:pPr>
      <w:r w:rsidRPr="004F1F62">
        <w:rPr>
          <w:lang w:val="sq-AL"/>
        </w:rPr>
        <w:t xml:space="preserve">Së treti, kërkesa për ekstradim është në shkelje dhe të parimit të specialitetit të parashikuar nga neni 490 paragrafi 1 dhe neni 42 i ligjit "Për Marrëdhëniet Juridiksionale me Autoritetet e Huaja në Çështjet Penale" sipas të cilit i ekstraduari nuk duhet të ndiqet penalisht për një vepër tjetër penale të kryer </w:t>
      </w:r>
      <w:r w:rsidRPr="004F1F62">
        <w:rPr>
          <w:lang w:val="sq-AL"/>
        </w:rPr>
        <w:lastRenderedPageBreak/>
        <w:t>përpara ekstradimit. Kërkesa e arrestit për veprën penale të vrasjes është lënë qëllimisht jashtë kërkesës drejtuar Shqipërisë për të shmangur detyrimet ndërkombëtare të mos ekstradimit për shkak se rrezikon dënimin me vdekje. Mos përfshirja e akuzës së "Vrasje në bashkëpunim" për Z. Sohel Rana Sheikh nga autoritetet e Bangladesh</w:t>
      </w:r>
      <w:r w:rsidR="004F1F62">
        <w:rPr>
          <w:lang w:val="sq-AL"/>
        </w:rPr>
        <w:t>it</w:t>
      </w:r>
      <w:r w:rsidRPr="004F1F62">
        <w:rPr>
          <w:lang w:val="sq-AL"/>
        </w:rPr>
        <w:t xml:space="preserve"> bëhet me dashje dhe vetëdije që të mos bllokohet ekstradimi i tij drejt këtij shteti duke njohur pamundësinë e ekstradimit kur personi rrezikon të dënohet me vdekje. Me rastin e Znj. Hassina Sheikh, ne kemi një rast konkret që autoritetet e Bangladeshit kanë një "modus" operandi" në kuadër të fshehjes së informacionit autoriteteve homologe me qëllim ndëshkimin e kundërshtarëve politik</w:t>
      </w:r>
      <w:r w:rsidR="00FB6888" w:rsidRPr="00FB6888">
        <w:rPr>
          <w:lang w:val="sq-AL"/>
        </w:rPr>
        <w:t>ë</w:t>
      </w:r>
      <w:r w:rsidRPr="004F1F62">
        <w:rPr>
          <w:lang w:val="sq-AL"/>
        </w:rPr>
        <w:t>.</w:t>
      </w:r>
    </w:p>
    <w:p w:rsidR="00251387" w:rsidRPr="004F1F62" w:rsidRDefault="00251387" w:rsidP="00C13D88">
      <w:pPr>
        <w:pStyle w:val="NormalWeb"/>
        <w:numPr>
          <w:ilvl w:val="0"/>
          <w:numId w:val="6"/>
        </w:numPr>
        <w:jc w:val="both"/>
        <w:rPr>
          <w:lang w:val="sq-AL"/>
        </w:rPr>
      </w:pPr>
      <w:r w:rsidRPr="004F1F62">
        <w:rPr>
          <w:lang w:val="sq-AL"/>
        </w:rPr>
        <w:t>Së katërti, personi për të cilin kërkohet ekstradimi, Sohel Rana Sheikh, është duke u përndjekur për arsye politike. Lidhja e tij familjare me Kryeministren e larguar Hassina Sheikh dhe pozicioni i tij zyrtar në administratën e Bangladeshit përpara ndryshimit të qeverive e kanë kthyer atë në një shënjestër politike nga partia në pushtet Bangladesh Nationalist Party dhe partia Jamaat-e-Islami të cilat Z. Sheikh i ka hetuar dhe ndjekur penalisht kur ishte një zyrtar policie. Me marrjen e pushtetit nga qeveria e përkohshme, Partia "Lidhja A</w:t>
      </w:r>
      <w:r w:rsidR="00FB6888">
        <w:rPr>
          <w:lang w:val="sq-AL"/>
        </w:rPr>
        <w:t>w</w:t>
      </w:r>
      <w:r w:rsidRPr="004F1F62">
        <w:rPr>
          <w:lang w:val="sq-AL"/>
        </w:rPr>
        <w:t xml:space="preserve">amy" u shpall organizatë terroriste në datën 10 maj 2025, duke u nxjerrë e paligjshme për të vepruar në vend (shih lajmin </w:t>
      </w:r>
      <w:hyperlink r:id="rId12" w:history="1">
        <w:r w:rsidR="00FB6888" w:rsidRPr="00FB6888">
          <w:rPr>
            <w:rStyle w:val="Hyperlink"/>
            <w:rFonts w:eastAsia="MS Mincho"/>
            <w:color w:val="000000" w:themeColor="text1"/>
            <w:u w:val="none"/>
            <w:lang w:val="sq-AL"/>
          </w:rPr>
          <w:t>https://www.dë.com/en/bangladesh-bans-ousted-pms-Aëami-league-under-terrorism-laë/a-72504120</w:t>
        </w:r>
      </w:hyperlink>
      <w:r w:rsidRPr="00FB6888">
        <w:rPr>
          <w:color w:val="000000" w:themeColor="text1"/>
          <w:lang w:val="sq-AL"/>
        </w:rPr>
        <w:t>)</w:t>
      </w:r>
      <w:r w:rsidR="00FB6888" w:rsidRPr="00FB6888">
        <w:rPr>
          <w:color w:val="000000" w:themeColor="text1"/>
          <w:lang w:val="sq-AL"/>
        </w:rPr>
        <w:t>.</w:t>
      </w:r>
      <w:r w:rsidR="00FB6888">
        <w:rPr>
          <w:lang w:val="sq-AL"/>
        </w:rPr>
        <w:t xml:space="preserve"> </w:t>
      </w:r>
      <w:r w:rsidRPr="004F1F62">
        <w:rPr>
          <w:lang w:val="sq-AL"/>
        </w:rPr>
        <w:t>Qeveria e përkohshme është duke zhvilluar një fushatë represioni ndaj të gjithë ish-zyrtarëve të partisë, duke ngritur ndaj tyre procedime penale dhe urdhëruar burgosjen e tyre në mënyrë të motivuar politikisht.</w:t>
      </w:r>
    </w:p>
    <w:p w:rsidR="00251387" w:rsidRPr="004F1F62" w:rsidRDefault="00251387" w:rsidP="00C13D88">
      <w:pPr>
        <w:pStyle w:val="NormalWeb"/>
        <w:numPr>
          <w:ilvl w:val="0"/>
          <w:numId w:val="6"/>
        </w:numPr>
        <w:jc w:val="both"/>
        <w:rPr>
          <w:lang w:val="sq-AL"/>
        </w:rPr>
      </w:pPr>
      <w:r w:rsidRPr="004F1F62">
        <w:rPr>
          <w:lang w:val="sq-AL"/>
        </w:rPr>
        <w:t>Përfshirja e tij në të njëjtën listë të kërkuari për arrest së bashku me kryeministren është provë e qartë e këtij persekutimi politik. Synimi i partive në pushtet është persekutimi i të gjithë ish-zyrtarëve të lartë të qeverisë së mëparshme me qëllim moslejimin e një klime politike demokratike. Në rast të miratimit të ekstradimit, autoritetet vendase do kishin të gjitha mundësitë për të ndërmarrë hakmarrje politike duke e nënshtruar Z. Sheikh ndaj torturës si dhe duke e ekzekutuar atë. Vetë lista e të akuzuarve përfshin një përmendje prej 350-400 personash të partisë "Lidhja A</w:t>
      </w:r>
      <w:r w:rsidR="00FB6888">
        <w:rPr>
          <w:lang w:val="sq-AL"/>
        </w:rPr>
        <w:t>w</w:t>
      </w:r>
      <w:r w:rsidRPr="004F1F62">
        <w:rPr>
          <w:lang w:val="sq-AL"/>
        </w:rPr>
        <w:t>amy" duke treguar qartë natyrën politike të kësaj kërkese ligjore.</w:t>
      </w:r>
    </w:p>
    <w:p w:rsidR="00251387" w:rsidRPr="004F1F62" w:rsidRDefault="00251387" w:rsidP="00C13D88">
      <w:pPr>
        <w:pStyle w:val="NormalWeb"/>
        <w:numPr>
          <w:ilvl w:val="0"/>
          <w:numId w:val="6"/>
        </w:numPr>
        <w:jc w:val="both"/>
        <w:rPr>
          <w:lang w:val="sq-AL"/>
        </w:rPr>
      </w:pPr>
      <w:r w:rsidRPr="004F1F62">
        <w:rPr>
          <w:lang w:val="sq-AL"/>
        </w:rPr>
        <w:t>Raportimet e mediave të huaja flasin për ekzekutimin e dhjetëra oficerëve të policisë pas përfundimit të protestave ku rezultoi ndryshimi i drejtimit të qeverisë. Përkatësia e tij politike, lidhja familjare me ish-Kryeministren e vendit, dhe funksioni i tij i mëparshëm si oficer policie janë shkak i qartë i një kërkese të motivuar politikisht. Neni 491 paragrafi 1, germa "a" i Kodit të Procedurave Penale parashikon qartësisht se nuk mund të jepet ekstradimi për një vepër me karakter politik ose kur rezulton që ai kërkohet për qëllime politike. Pavarësisht se kërkesa ka ardhur për veprën "Mashtrim", synimi i vërtet i autoriteteve te Bangladeshit është ndëshkimi i tij për shkak te qenies në një parti tjetër politike. Për autoritetet e Bangladeshit, Z, Sheikh duhet te ndëshkohet për shkak se ai nuk ndan te njëjtin mendim politik me partitë në pushtet.</w:t>
      </w:r>
    </w:p>
    <w:p w:rsidR="00251387" w:rsidRPr="004F1F62" w:rsidRDefault="00251387" w:rsidP="00C13D88">
      <w:pPr>
        <w:pStyle w:val="NormalWeb"/>
        <w:numPr>
          <w:ilvl w:val="0"/>
          <w:numId w:val="6"/>
        </w:numPr>
        <w:jc w:val="both"/>
        <w:rPr>
          <w:lang w:val="sq-AL"/>
        </w:rPr>
      </w:pPr>
      <w:r w:rsidRPr="004F1F62">
        <w:rPr>
          <w:lang w:val="sq-AL"/>
        </w:rPr>
        <w:t xml:space="preserve">Z. Sheikh paraqiti kërkesën për azil që në momentin e ndalimit të tij nga autoritetet shqiptare në datën 02.02.2025. Dështimi i përcjelljes së kësaj kërkese nga autoritetet e migracionit dhe kufirit tek Drejtoria e Azilit dhe Shtetësisë pamundësoi regjistrimin e kësaj kërkese në kohën e paraqitjes. Pas një procedure të gjatë administrative, e cila përfshiu Avokatin e Popullit, Komitetin Shqiptar të Helsinkit, dhe kërkesa të përsëritura pranë Drejtorisë së Përgjithshme të Burgjeve për dhënien e lejes për të kryer procedurën e aplikimit për azil, kjo procedurë u krye vetëm në datën 24.09.2025, kohë prej nga të cilës Z. Sheikh gëzon mbrojtjen ndërkombëtare si azilkërkues. Neni 11 i ligjit nr. 10/2021 "Për Azilin" parashikon si më poshtë: "Kërkuesi, refugjati, personi me statusin e mbrojtjes plotësuese dhe </w:t>
      </w:r>
      <w:r w:rsidRPr="004F1F62">
        <w:rPr>
          <w:lang w:val="sq-AL"/>
        </w:rPr>
        <w:lastRenderedPageBreak/>
        <w:t>mbrojtje të përkohshme nuk dëbohet, kthehet apo ekstradohet jashtë territorit të Republikës së Shqipërisë".</w:t>
      </w:r>
    </w:p>
    <w:p w:rsidR="00251387" w:rsidRPr="004F1F62" w:rsidRDefault="00251387" w:rsidP="00C13D88">
      <w:pPr>
        <w:pStyle w:val="NormalWeb"/>
        <w:numPr>
          <w:ilvl w:val="0"/>
          <w:numId w:val="6"/>
        </w:numPr>
        <w:spacing w:before="0" w:beforeAutospacing="0" w:after="0" w:afterAutospacing="0"/>
        <w:jc w:val="both"/>
        <w:rPr>
          <w:lang w:val="sq-AL"/>
        </w:rPr>
      </w:pPr>
      <w:r w:rsidRPr="004F1F62">
        <w:rPr>
          <w:lang w:val="sq-AL"/>
        </w:rPr>
        <w:t>Z. Sheikh do vijojë ta gëzojë statusin e "Kërkuesit" i cili sipas përkufizimit të ligjit është: "çdo shtetas i huaj ose person pa shtetësi, që ka paraqitur kërkesë për mbrojtje ndërkombëtare, për të cilën nuk është marrë ende një vendim përfundimtar i formës së prerë." Deri në momentin e depozitimit të këtij rekursi, nuk ka ende një vendim të autoriteteve shqiptare që i refuzon Z. Sohel Rana Sheikh kërkesën e tij për azil, dhe për pasojë ai nuk mund të ekstradohet.</w:t>
      </w:r>
    </w:p>
    <w:p w:rsidR="00251387" w:rsidRPr="004F1F62" w:rsidRDefault="00251387" w:rsidP="00C13D88">
      <w:pPr>
        <w:pStyle w:val="ListParagraph"/>
        <w:numPr>
          <w:ilvl w:val="0"/>
          <w:numId w:val="5"/>
        </w:numPr>
        <w:tabs>
          <w:tab w:val="left" w:pos="0"/>
        </w:tabs>
        <w:ind w:left="0" w:firstLine="360"/>
        <w:jc w:val="both"/>
        <w:rPr>
          <w:iCs/>
          <w:sz w:val="24"/>
          <w:szCs w:val="24"/>
          <w:lang w:val="sq-AL" w:bidi="sq-AL"/>
        </w:rPr>
      </w:pPr>
      <w:r w:rsidRPr="004F1F62">
        <w:rPr>
          <w:bCs/>
          <w:sz w:val="24"/>
          <w:szCs w:val="24"/>
          <w:lang w:val="sq-AL"/>
        </w:rPr>
        <w:t>Në datë 03.06.2025 pranë Sekretarisë së Gjykatës së Lartë, prej mbrojtësit është paraqitur kërkesa në të cilën pasqyrohet kërkimi për të kaluar çështjen në seancë gjyqësore nën argumentin se ky ekstradim prek drejtë për drejtë lirinë personale me probabilitet të lartë për zbatimin e një dënimi me vdekje.</w:t>
      </w:r>
    </w:p>
    <w:p w:rsidR="00251387" w:rsidRPr="004F1F62" w:rsidRDefault="00251387" w:rsidP="00251387">
      <w:pPr>
        <w:pStyle w:val="ListParagraph"/>
        <w:tabs>
          <w:tab w:val="left" w:pos="0"/>
        </w:tabs>
        <w:ind w:left="360"/>
        <w:jc w:val="both"/>
        <w:rPr>
          <w:iCs/>
          <w:sz w:val="24"/>
          <w:szCs w:val="24"/>
          <w:lang w:val="sq-AL" w:bidi="sq-AL"/>
        </w:rPr>
      </w:pPr>
    </w:p>
    <w:p w:rsidR="00251387" w:rsidRPr="004F1F62" w:rsidRDefault="00251387" w:rsidP="00251387">
      <w:pPr>
        <w:tabs>
          <w:tab w:val="left" w:pos="8784"/>
        </w:tabs>
        <w:ind w:left="360"/>
        <w:rPr>
          <w:b/>
          <w:sz w:val="24"/>
          <w:szCs w:val="24"/>
          <w:lang w:val="sq-AL"/>
        </w:rPr>
      </w:pPr>
      <w:r w:rsidRPr="004F1F62">
        <w:rPr>
          <w:b/>
          <w:spacing w:val="1"/>
          <w:sz w:val="24"/>
          <w:szCs w:val="24"/>
          <w:lang w:val="sq-AL"/>
        </w:rPr>
        <w:t xml:space="preserve">      II.  </w:t>
      </w:r>
      <w:r w:rsidRPr="004F1F62">
        <w:rPr>
          <w:b/>
          <w:sz w:val="24"/>
          <w:szCs w:val="24"/>
          <w:lang w:val="sq-AL"/>
        </w:rPr>
        <w:t>Vlerësimi i Kolegjit Penal të Gjykatës së Lartë</w:t>
      </w:r>
    </w:p>
    <w:p w:rsidR="00251387" w:rsidRPr="004F1F62" w:rsidRDefault="00251387" w:rsidP="00251387">
      <w:pPr>
        <w:widowControl w:val="0"/>
        <w:shd w:val="clear" w:color="auto" w:fill="FFFFFF"/>
        <w:adjustRightInd w:val="0"/>
        <w:contextualSpacing/>
        <w:jc w:val="both"/>
        <w:rPr>
          <w:sz w:val="24"/>
          <w:szCs w:val="24"/>
          <w:lang w:val="sq-AL"/>
        </w:rPr>
      </w:pPr>
    </w:p>
    <w:p w:rsidR="00251387" w:rsidRPr="004F1F62" w:rsidRDefault="00251387" w:rsidP="00C13D88">
      <w:pPr>
        <w:pStyle w:val="ListParagraph"/>
        <w:widowControl w:val="0"/>
        <w:numPr>
          <w:ilvl w:val="0"/>
          <w:numId w:val="5"/>
        </w:numPr>
        <w:shd w:val="clear" w:color="auto" w:fill="FFFFFF"/>
        <w:adjustRightInd w:val="0"/>
        <w:ind w:left="0" w:firstLine="360"/>
        <w:jc w:val="both"/>
        <w:rPr>
          <w:sz w:val="24"/>
          <w:szCs w:val="24"/>
          <w:lang w:val="sq-AL"/>
        </w:rPr>
      </w:pPr>
      <w:r w:rsidRPr="004F1F62">
        <w:rPr>
          <w:sz w:val="24"/>
          <w:szCs w:val="24"/>
          <w:lang w:val="sq-AL"/>
        </w:rPr>
        <w:t>Kolegji Penal i Gjykatës së Lartë (në vijim Kolegji) vlerëson se rekursi nga shtetasi Sohel Rana Sheikh është paraqitur brenda afatit ligjor të parashikuar në nenin 435 të Kodit të Procedurës Penale (në vijim KPP), duke u nënshkruar edhe nga mbrojtësi i zgjedhur prej tij. Prokuroria është  njoftuar për rekursin.</w:t>
      </w:r>
    </w:p>
    <w:p w:rsidR="00251387" w:rsidRPr="004F1F62" w:rsidRDefault="00251387" w:rsidP="00C13D88">
      <w:pPr>
        <w:pStyle w:val="ListParagraph"/>
        <w:widowControl w:val="0"/>
        <w:numPr>
          <w:ilvl w:val="0"/>
          <w:numId w:val="5"/>
        </w:numPr>
        <w:shd w:val="clear" w:color="auto" w:fill="FFFFFF"/>
        <w:adjustRightInd w:val="0"/>
        <w:ind w:left="0" w:firstLine="360"/>
        <w:jc w:val="both"/>
        <w:rPr>
          <w:sz w:val="24"/>
          <w:szCs w:val="24"/>
          <w:lang w:val="sq-AL"/>
        </w:rPr>
      </w:pPr>
      <w:r w:rsidRPr="004F1F62">
        <w:rPr>
          <w:sz w:val="24"/>
          <w:szCs w:val="24"/>
          <w:lang w:val="sq-AL"/>
        </w:rPr>
        <w:t>Shkaqet e rekursit në Gjykatën e Lartë parashikohen nga neni 432 i Kodit të Procedurës Penale. Kjo dispozitë, në pikën 1 të saj, parashikon se rekursi kundër vendimit të gjykatës së apelit mund të bëhet kur nuk është respektuar ose është zbatuar gabim ligji material ose procedural i cili është me rëndësi për njësimin ose zhvillimin e praktikës gjyqësore; kur nuk është respektuar ose është zbatuar gabim ligji procedural me pasojë pavlefshmërinë e vendimit, pavlefshmërinë absolute të akteve ose papërdorshmërinë e provave; ose kur vendimi i ankimuar vjen në kundërshtim me praktikën e Kolegjit Penal ose të Kolegjeve të Bashkuara të Gjykatës së Lartë.</w:t>
      </w:r>
    </w:p>
    <w:p w:rsidR="00251387" w:rsidRPr="004F1F62" w:rsidRDefault="00251387" w:rsidP="00251387">
      <w:pPr>
        <w:shd w:val="clear" w:color="auto" w:fill="FFFFFF"/>
        <w:ind w:firstLine="360"/>
        <w:jc w:val="both"/>
        <w:rPr>
          <w:sz w:val="24"/>
          <w:szCs w:val="24"/>
          <w:lang w:val="sq-AL" w:eastAsia="sq-AL"/>
        </w:rPr>
      </w:pPr>
      <w:r w:rsidRPr="004F1F62">
        <w:rPr>
          <w:sz w:val="24"/>
          <w:szCs w:val="24"/>
          <w:lang w:val="sq-AL"/>
        </w:rPr>
        <w:t xml:space="preserve">25.Kolegji, në dhomë këshillimi çmoi se rekursi i paraqitur plotëson kriteret formale për të shqyrtuar çështjen, duke vlerësuar se përmban shkaqe nga ato që parashikon neni 432 i KPP. Dhe </w:t>
      </w:r>
      <w:r w:rsidRPr="004F1F62">
        <w:rPr>
          <w:i/>
          <w:sz w:val="24"/>
          <w:szCs w:val="24"/>
          <w:lang w:val="sq-AL"/>
        </w:rPr>
        <w:t>me qëllim që të bëhet e mundur dëgjimi i palëve për shkak të problematikës së  konstatuar, dhe kompleksitetit të çështjes</w:t>
      </w:r>
      <w:r w:rsidRPr="004F1F62">
        <w:rPr>
          <w:sz w:val="24"/>
          <w:szCs w:val="24"/>
          <w:lang w:val="sq-AL"/>
        </w:rPr>
        <w:t xml:space="preserve"> të konstatuar në vendimin e Gjykatës së Apelit në lidhje me ligjin e zbatueshëm në të cilën mbështet kërkimi i shtetit të Bangladeshit për ekstradimin e shtetasit të saj nga territori i Republikës së Shqipërisë dhe pretendimet për shkelje të neneve 2 dhe 3 të Konventës Evropiane për të Drejtat e Njeriut, e kaloi çështjen në seancë gjyqësore në konformitet me nenin 437/1, shkronja “b” të KPP.</w:t>
      </w:r>
    </w:p>
    <w:p w:rsidR="00251387" w:rsidRPr="004F1F62" w:rsidRDefault="00251387" w:rsidP="00251387">
      <w:pPr>
        <w:widowControl w:val="0"/>
        <w:shd w:val="clear" w:color="auto" w:fill="FFFFFF"/>
        <w:adjustRightInd w:val="0"/>
        <w:jc w:val="both"/>
        <w:rPr>
          <w:sz w:val="24"/>
          <w:szCs w:val="24"/>
          <w:lang w:val="sq-AL"/>
        </w:rPr>
      </w:pPr>
      <w:r w:rsidRPr="004F1F62">
        <w:rPr>
          <w:rFonts w:eastAsia="Calibri"/>
          <w:sz w:val="24"/>
          <w:szCs w:val="24"/>
          <w:bdr w:val="none" w:sz="0" w:space="0" w:color="auto" w:frame="1"/>
          <w:lang w:val="sq-AL"/>
        </w:rPr>
        <w:t xml:space="preserve">        26.Instituti i ekstradimit përbën një nga format kryesore të bashkëpunimit gjyqësor ndërkombëtar me autoritetet e huaja në fushën e marrëdhënieve juridiksionale, duke qenë e vetmja formë e dorëzimit të një shtetasi, nga shteti në territorin e të cilit ai gjendet, në shtetin që ka kërkuar dorëzimin për qëllime të ekzekutimit të një vendimi gjyqësor apo të gjykimit penal. Ekstradimi mund të lejohet vetëm kur është parashikuar shprehimisht në marrëveshjet ndërkombëtare në të cilat Republika e Shqipërisë është palë dhe vetëm me vendim gjyqësor. Ekziston mundësia e ekstradimit të të huajit, të ndodhur në territorin e Republikës së Shqipërisë, përsa kohë që ndalimi kushtetues i sipërcituar lidhet qartazi me kushtin e domosdoshëm për të zbatuar këtë procedurë ndaj shtetasit shqiptar dhe se ky parashikim nuk përjashton mundësinë e bashkëpunimit dypalësh të ekstradimit reciprok të personave të huaj, edhe në mungesë të marrëveshjes dypalëshe, por bazuar në parime të së drejtës ndërkombëtare. </w:t>
      </w:r>
    </w:p>
    <w:p w:rsidR="00251387" w:rsidRPr="004F1F62" w:rsidRDefault="00251387" w:rsidP="00251387">
      <w:pPr>
        <w:widowControl w:val="0"/>
        <w:shd w:val="clear" w:color="auto" w:fill="FFFFFF"/>
        <w:adjustRightInd w:val="0"/>
        <w:jc w:val="both"/>
        <w:rPr>
          <w:sz w:val="24"/>
          <w:szCs w:val="24"/>
          <w:lang w:val="sq-AL"/>
        </w:rPr>
      </w:pPr>
      <w:r w:rsidRPr="004F1F62">
        <w:rPr>
          <w:sz w:val="24"/>
          <w:szCs w:val="24"/>
          <w:lang w:val="sq-AL"/>
        </w:rPr>
        <w:t xml:space="preserve">          27.Referuar nenit 39 (2) të Kushtetutës: “Asnjë shtetas shqiptar nuk mund të dëbohet nga territori i shtetit. 2. Ekstradimi mund të lejohet vetëm kur është parashikuar shprehimisht në marrëveshjet ndërkombëtare në të cilat Republika e Shqipërisë është palë, dhe vetëm me vendim gjyqësor”. S</w:t>
      </w:r>
      <w:r w:rsidRPr="004F1F62">
        <w:rPr>
          <w:rFonts w:eastAsia="Calibri"/>
          <w:sz w:val="24"/>
          <w:szCs w:val="24"/>
          <w:bdr w:val="none" w:sz="0" w:space="0" w:color="auto" w:frame="1"/>
          <w:lang w:val="sq-AL"/>
        </w:rPr>
        <w:t xml:space="preserve">hteti shqiptar ka ratifikuar Konventën e Këshillit të Europës “Për ekstradimin” (Paris 13 dhjetor 1957) dhe dy protokolleve shtesë të saj, aderuar me ligjin tonë me nr. 8322, datë 02.04.1998, dhe më tej me ligjin nr. 10426 datë 2.06.2011 ka ratifikuar </w:t>
      </w:r>
      <w:r w:rsidRPr="004F1F62">
        <w:rPr>
          <w:rFonts w:eastAsia="Calibri"/>
          <w:sz w:val="24"/>
          <w:szCs w:val="24"/>
          <w:bdr w:val="none" w:sz="0" w:space="0" w:color="auto" w:frame="1"/>
          <w:lang w:val="sq-AL"/>
        </w:rPr>
        <w:lastRenderedPageBreak/>
        <w:t>Protokollin e tretë shtesë të Konventës Europiane “Për Ekstradimin”, ndërsa me ligjin nr. 117/2013 dhe Protokollin e katërt shtesë të kësaj Konvente. Në nenin 1 të Konventës Evropiane të Ekstradimit, parashikohet se: “</w:t>
      </w:r>
      <w:r w:rsidRPr="004F1F62">
        <w:rPr>
          <w:rFonts w:eastAsia="Calibri"/>
          <w:i/>
          <w:sz w:val="24"/>
          <w:szCs w:val="24"/>
          <w:bdr w:val="none" w:sz="0" w:space="0" w:color="auto" w:frame="1"/>
          <w:lang w:val="sq-AL"/>
        </w:rPr>
        <w:t xml:space="preserve">Palët kontraktuese zotohen t’i dorëzojnë njëra-tjetrës, sipas rregullave dhe kushteve të përcaktuara nga nenet që vijojnë, ata individë që ndiqen për shkelje të ligjit ose kërkohen nga organet ligjore të palës kërkuese për të vuajtur një dënim apo masë sigurimi”. </w:t>
      </w:r>
      <w:r w:rsidRPr="004F1F62">
        <w:rPr>
          <w:rFonts w:eastAsia="Calibri"/>
          <w:sz w:val="24"/>
          <w:szCs w:val="24"/>
          <w:bdr w:val="none" w:sz="0" w:space="0" w:color="auto" w:frame="1"/>
          <w:lang w:val="sq-AL"/>
        </w:rPr>
        <w:t xml:space="preserve">Në nenin 2 </w:t>
      </w:r>
      <w:r w:rsidRPr="004F1F62">
        <w:rPr>
          <w:bCs/>
          <w:sz w:val="24"/>
          <w:szCs w:val="24"/>
          <w:lang w:val="sq-AL"/>
        </w:rPr>
        <w:t>të Konventës Evropiane të Ekstradimit 13 Dhjetor 1957</w:t>
      </w:r>
      <w:r w:rsidRPr="004F1F62">
        <w:rPr>
          <w:sz w:val="24"/>
          <w:szCs w:val="24"/>
          <w:lang w:val="sq-AL"/>
        </w:rPr>
        <w:t>,</w:t>
      </w:r>
      <w:r w:rsidRPr="004F1F62">
        <w:rPr>
          <w:b/>
          <w:sz w:val="24"/>
          <w:szCs w:val="24"/>
          <w:lang w:val="sq-AL"/>
        </w:rPr>
        <w:t xml:space="preserve"> </w:t>
      </w:r>
      <w:r w:rsidRPr="004F1F62">
        <w:rPr>
          <w:bCs/>
          <w:sz w:val="24"/>
          <w:szCs w:val="24"/>
          <w:lang w:val="sq-AL"/>
        </w:rPr>
        <w:t>parashikohet se</w:t>
      </w:r>
      <w:r w:rsidRPr="004F1F62">
        <w:rPr>
          <w:b/>
          <w:sz w:val="24"/>
          <w:szCs w:val="24"/>
          <w:lang w:val="sq-AL"/>
        </w:rPr>
        <w:t xml:space="preserve"> </w:t>
      </w:r>
      <w:r w:rsidRPr="004F1F62">
        <w:rPr>
          <w:sz w:val="24"/>
          <w:szCs w:val="24"/>
          <w:lang w:val="sq-AL"/>
        </w:rPr>
        <w:t>“</w:t>
      </w:r>
      <w:r w:rsidRPr="004F1F62">
        <w:rPr>
          <w:i/>
          <w:iCs/>
          <w:sz w:val="24"/>
          <w:szCs w:val="24"/>
          <w:lang w:val="sq-AL"/>
        </w:rPr>
        <w:t>I japin shkas ekstradimit veprat që ndëshkohen nga ligjet e Palës kërkuese dhe të Palës së kërkuar me privimin e lirisë ose me një masë sigurimi privuese të lirisë, e shumta deri në një vit ose edhe më rëndë. Kur zbatohet një dënim ose një masë ndëshkimore në territorin e Palës kërkuese, dënimi i dhënë duhet të jetë të paktën katër muaj</w:t>
      </w:r>
      <w:r w:rsidRPr="004F1F62">
        <w:rPr>
          <w:sz w:val="24"/>
          <w:szCs w:val="24"/>
          <w:lang w:val="sq-AL"/>
        </w:rPr>
        <w:t>”</w:t>
      </w:r>
      <w:r w:rsidRPr="004F1F62">
        <w:rPr>
          <w:rFonts w:eastAsia="Calibri"/>
          <w:sz w:val="24"/>
          <w:szCs w:val="24"/>
          <w:bdr w:val="none" w:sz="0" w:space="0" w:color="auto" w:frame="1"/>
          <w:lang w:val="sq-AL"/>
        </w:rPr>
        <w:t>.</w:t>
      </w:r>
      <w:r w:rsidRPr="004F1F62">
        <w:rPr>
          <w:rFonts w:eastAsia="Calibri"/>
          <w:b/>
          <w:sz w:val="24"/>
          <w:szCs w:val="24"/>
          <w:bdr w:val="none" w:sz="0" w:space="0" w:color="auto" w:frame="1"/>
          <w:lang w:val="sq-AL"/>
        </w:rPr>
        <w:t xml:space="preserve"> </w:t>
      </w:r>
      <w:r w:rsidRPr="004F1F62">
        <w:rPr>
          <w:rFonts w:eastAsia="Calibri"/>
          <w:bCs/>
          <w:sz w:val="24"/>
          <w:szCs w:val="24"/>
          <w:bdr w:val="none" w:sz="0" w:space="0" w:color="auto" w:frame="1"/>
          <w:lang w:val="sq-AL"/>
        </w:rPr>
        <w:t>Ndërsa në nenin</w:t>
      </w:r>
      <w:r w:rsidRPr="004F1F62">
        <w:rPr>
          <w:bCs/>
          <w:sz w:val="24"/>
          <w:szCs w:val="24"/>
          <w:lang w:val="sq-AL"/>
        </w:rPr>
        <w:t xml:space="preserve"> 3 thuhet se</w:t>
      </w:r>
      <w:r w:rsidRPr="004F1F62">
        <w:rPr>
          <w:sz w:val="24"/>
          <w:szCs w:val="24"/>
          <w:lang w:val="sq-AL"/>
        </w:rPr>
        <w:t>:</w:t>
      </w:r>
      <w:r w:rsidRPr="004F1F62">
        <w:rPr>
          <w:b/>
          <w:sz w:val="24"/>
          <w:szCs w:val="24"/>
          <w:lang w:val="sq-AL"/>
        </w:rPr>
        <w:t xml:space="preserve"> </w:t>
      </w:r>
      <w:r w:rsidRPr="004F1F62">
        <w:rPr>
          <w:sz w:val="24"/>
          <w:szCs w:val="24"/>
          <w:lang w:val="sq-AL"/>
        </w:rPr>
        <w:t xml:space="preserve">“1. </w:t>
      </w:r>
      <w:r w:rsidRPr="004F1F62">
        <w:rPr>
          <w:i/>
          <w:iCs/>
          <w:sz w:val="24"/>
          <w:szCs w:val="24"/>
          <w:lang w:val="sq-AL"/>
        </w:rPr>
        <w:t>Ekstradimi nuk akordohet në rast se shkelja për të cilën është kërkuar konsiderohet nga Pala e kërkuar si një shkelje politike ose si një fakt që lidhet me këtë shkelje. 2. I njëjti rregull do të zbatohet në rast se Pala e kërkuar ka arsye serioze të besojë se kërkesa për ekstradim është motivuar me një shkelje që përbën faj ordiner por është paraqitur me qëllim që të ndiqet ose të dënohet një individ për arsye race, feje, kombësie dhe opinioni politik ose kur pozita e këtij individi rrezikon të rëndohet për njërën apo tjetrën nga këto arsye</w:t>
      </w:r>
      <w:r w:rsidRPr="004F1F62">
        <w:rPr>
          <w:sz w:val="24"/>
          <w:szCs w:val="24"/>
          <w:lang w:val="sq-AL"/>
        </w:rPr>
        <w:t>”.</w:t>
      </w:r>
      <w:r w:rsidRPr="004F1F62">
        <w:rPr>
          <w:rFonts w:eastAsia="Calibri"/>
          <w:b/>
          <w:sz w:val="24"/>
          <w:szCs w:val="24"/>
          <w:bdr w:val="none" w:sz="0" w:space="0" w:color="auto" w:frame="1"/>
          <w:lang w:val="sq-AL"/>
        </w:rPr>
        <w:t xml:space="preserve"> </w:t>
      </w:r>
      <w:r w:rsidRPr="004F1F62">
        <w:rPr>
          <w:bCs/>
          <w:sz w:val="24"/>
          <w:szCs w:val="24"/>
          <w:lang w:val="sq-AL"/>
        </w:rPr>
        <w:t>Neni 12 i Konventës Evropiane të Ekstradimit 13 Dhjetor 1957 (sipas protokollit të katërt shtesë),</w:t>
      </w:r>
      <w:r w:rsidRPr="004F1F62">
        <w:rPr>
          <w:sz w:val="24"/>
          <w:szCs w:val="24"/>
          <w:lang w:val="sq-AL"/>
        </w:rPr>
        <w:t xml:space="preserve"> “Kërkesa dhe dokumentet mbështetëse” parashikon: “1</w:t>
      </w:r>
      <w:r w:rsidRPr="004F1F62">
        <w:rPr>
          <w:i/>
          <w:iCs/>
          <w:sz w:val="24"/>
          <w:szCs w:val="24"/>
          <w:lang w:val="sq-AL"/>
        </w:rPr>
        <w:t>. Kërkesa bëhet me shkrim. Ajo dorëzohet nga Ministria e Drejtësisë ose një autoritet tjetër kompetent i Palës kërkuese në Ministrinë e Drejtësisë ose pranë një autoriteti tjetër kompetent të Palës së kërkuar. Një shtet që dëshiron të caktojë një autoritet tjetër kompetent të ndryshëm nga Ministria e Drejtësisë, njofton Sekretarin e Përgjithshëm të Këshillit të Europës për autoritetin e tij kompetent në kohën e nënshkrimit ose gjatë depozitimit të instrumentit të tij të ratifikimit, pranimit, miratimit ose aderimit, si dhe për çdo ndryshim të mëvonshëm në lidhje me autoritetin e tij kompetent. 2. Kërkesa mbështetet nga: a) Një kopje e urdhrit të dënimit ose ndalimit menjëherë të zbatueshëm ose të urdhrit të arrestit ose urdhri tjetër që ka të njëjtin efekt dhe të lëshuar në përputhje me procedurën e parashtruar në ligjin e Palës kërkuese. b) Një deklarim i veprave penale për të cilat kërkohet ekstradimi. Koha dhe vendi i kryerjes së tyre, përshkrimet e tyre ligjore dhe një referencë ndaj dispozitave ligjore, duke përfshirë dispozitat në lidhje me kalimin e afatit, përcaktohen sa më saktë që të jetë e mundur; dhe c) Një kopje të dekreteve përkatëse ose, kur kjo nuk është e mundur, një deklarim të ligjit përkatës dhe një përshkrim sa më të saktë të personit të kërkuar, së bashku me çdo informacion tjetër që do të ndihmojë për përcaktimin e identitetit, kombësisë dhe vendndodhjes së tij/të saj</w:t>
      </w:r>
      <w:r w:rsidRPr="004F1F62">
        <w:rPr>
          <w:sz w:val="24"/>
          <w:szCs w:val="24"/>
          <w:lang w:val="sq-AL"/>
        </w:rPr>
        <w:t xml:space="preserve">.” </w:t>
      </w:r>
      <w:r w:rsidRPr="004F1F62">
        <w:rPr>
          <w:i/>
          <w:sz w:val="24"/>
          <w:szCs w:val="24"/>
          <w:lang w:val="sq-AL"/>
        </w:rPr>
        <w:t>2. Neni 5 i Protokollit të Dytë Shtesë të Konventës pushon së zbatuari për çdo shtet që bëhet palë e këtij protokolli”.</w:t>
      </w:r>
    </w:p>
    <w:p w:rsidR="00251387" w:rsidRPr="004F1F62" w:rsidRDefault="00251387" w:rsidP="00251387">
      <w:pPr>
        <w:widowControl w:val="0"/>
        <w:shd w:val="clear" w:color="auto" w:fill="FFFFFF"/>
        <w:adjustRightInd w:val="0"/>
        <w:jc w:val="both"/>
        <w:rPr>
          <w:sz w:val="24"/>
          <w:szCs w:val="24"/>
          <w:lang w:val="sq-AL"/>
        </w:rPr>
      </w:pPr>
      <w:r w:rsidRPr="004F1F62">
        <w:rPr>
          <w:rFonts w:eastAsia="Calibri"/>
          <w:sz w:val="24"/>
          <w:szCs w:val="24"/>
          <w:bdr w:val="none" w:sz="0" w:space="0" w:color="auto" w:frame="1"/>
          <w:lang w:val="sq-AL"/>
        </w:rPr>
        <w:t xml:space="preserve">           28.Legjislacioni ynë i brendshëm në nenin </w:t>
      </w:r>
      <w:r w:rsidRPr="004F1F62">
        <w:rPr>
          <w:bCs/>
          <w:sz w:val="24"/>
          <w:szCs w:val="24"/>
          <w:lang w:val="sq-AL"/>
        </w:rPr>
        <w:t>11 të Kodit Penal (në vijim KP) parashikon</w:t>
      </w:r>
      <w:r w:rsidRPr="004F1F62">
        <w:rPr>
          <w:b/>
          <w:sz w:val="24"/>
          <w:szCs w:val="24"/>
          <w:lang w:val="sq-AL"/>
        </w:rPr>
        <w:t xml:space="preserve"> </w:t>
      </w:r>
      <w:r w:rsidRPr="004F1F62">
        <w:rPr>
          <w:sz w:val="24"/>
          <w:szCs w:val="24"/>
          <w:lang w:val="sq-AL"/>
        </w:rPr>
        <w:t>se: “</w:t>
      </w:r>
      <w:r w:rsidRPr="004F1F62">
        <w:rPr>
          <w:i/>
          <w:iCs/>
          <w:sz w:val="24"/>
          <w:szCs w:val="24"/>
          <w:lang w:val="sq-AL"/>
        </w:rPr>
        <w:t>Ekstradimi mund të lejohet vetëm kur është parashikuar shprehimisht në marrëveshjet ndërkombëtare në të cilat Republika e Shqipërisë është palë. Ekstradimi lejohet kur vepra penale që përbën objektin e kërkesës për ekstradim është e parashikuar si e tillë njëkohësisht si nga ligji shqiptar dhe ai i huaj. Ekstradimi nuk lejohet: a) në qoftë se personi që do të ekstradohet është shtetas shqiptar, veç rasteve kur në marrëveshje është parashikuar ndryshe; b) në qoftë se vepra penale që përbën objektin e kërkesës për ekstradim ka një karakter politik ose ushtarak; c) kur ka arsye për të dyshuar që personi i kërkuar të ekstradohet do të persekutohet, dënohet ose kërkohet për arsye të bindjeve të tija politike, fetare, kombëtare, racore ose etnike. d) në qoftë se personi që kërkohet të ekstradohet është gjykuar nga një gjykatë kompetente shqiptare për veprën penale për të cilën kërkohet ekstradimi</w:t>
      </w:r>
      <w:r w:rsidRPr="004F1F62">
        <w:rPr>
          <w:sz w:val="24"/>
          <w:szCs w:val="24"/>
          <w:lang w:val="sq-AL"/>
        </w:rPr>
        <w:t>”.</w:t>
      </w:r>
      <w:r w:rsidRPr="004F1F62">
        <w:rPr>
          <w:rFonts w:eastAsia="Calibri"/>
          <w:sz w:val="24"/>
          <w:szCs w:val="24"/>
          <w:bdr w:val="none" w:sz="0" w:space="0" w:color="auto" w:frame="1"/>
          <w:lang w:val="sq-AL"/>
        </w:rPr>
        <w:t xml:space="preserve"> </w:t>
      </w:r>
    </w:p>
    <w:p w:rsidR="00251387" w:rsidRPr="004F1F62" w:rsidRDefault="00251387" w:rsidP="00251387">
      <w:pPr>
        <w:widowControl w:val="0"/>
        <w:shd w:val="clear" w:color="auto" w:fill="FFFFFF"/>
        <w:adjustRightInd w:val="0"/>
        <w:jc w:val="both"/>
        <w:rPr>
          <w:sz w:val="24"/>
          <w:szCs w:val="24"/>
          <w:lang w:val="sq-AL"/>
        </w:rPr>
      </w:pPr>
      <w:r w:rsidRPr="004F1F62">
        <w:rPr>
          <w:rFonts w:eastAsia="Calibri"/>
          <w:sz w:val="24"/>
          <w:szCs w:val="24"/>
          <w:bdr w:val="none" w:sz="0" w:space="0" w:color="auto" w:frame="1"/>
          <w:lang w:val="sq-AL"/>
        </w:rPr>
        <w:t xml:space="preserve">             29.Në legjislacionin procedural, ekstradimi, sipas nenit 488 të KPP nënkupton: “Dorëzimi i një personi një shteti të huaj për ekzekutimin e një vendimi me burgim ose të një akti që vërteton procedimin e tij për një vepër penale, mund të bëhet vetëm nëpërmjet ekstradimit”. Po kështu, kërkesa për ekstradim lejohet vetëm nëpërmjet një kërkese drejtuar Ministrisë së Drejtësisë, e cila, ia dërgon Prokurorit pranë Gjykatës kompetente. Në nenin </w:t>
      </w:r>
      <w:r w:rsidRPr="004F1F62">
        <w:rPr>
          <w:bCs/>
          <w:sz w:val="24"/>
          <w:szCs w:val="24"/>
          <w:lang w:val="sq-AL"/>
        </w:rPr>
        <w:t>489 të KPP</w:t>
      </w:r>
      <w:r w:rsidRPr="004F1F62">
        <w:rPr>
          <w:sz w:val="24"/>
          <w:szCs w:val="24"/>
          <w:lang w:val="sq-AL"/>
        </w:rPr>
        <w:t>,</w:t>
      </w:r>
      <w:r w:rsidRPr="004F1F62">
        <w:rPr>
          <w:b/>
          <w:sz w:val="24"/>
          <w:szCs w:val="24"/>
          <w:lang w:val="sq-AL"/>
        </w:rPr>
        <w:t xml:space="preserve"> </w:t>
      </w:r>
      <w:r w:rsidRPr="004F1F62">
        <w:rPr>
          <w:bCs/>
          <w:sz w:val="24"/>
          <w:szCs w:val="24"/>
          <w:lang w:val="sq-AL"/>
        </w:rPr>
        <w:t>parashikohet se:</w:t>
      </w:r>
      <w:r w:rsidRPr="004F1F62">
        <w:rPr>
          <w:b/>
          <w:sz w:val="24"/>
          <w:szCs w:val="24"/>
          <w:lang w:val="sq-AL"/>
        </w:rPr>
        <w:t xml:space="preserve"> </w:t>
      </w:r>
      <w:r w:rsidRPr="004F1F62">
        <w:rPr>
          <w:sz w:val="24"/>
          <w:szCs w:val="24"/>
          <w:lang w:val="sq-AL"/>
        </w:rPr>
        <w:t>“</w:t>
      </w:r>
      <w:r w:rsidRPr="004F1F62">
        <w:rPr>
          <w:i/>
          <w:sz w:val="24"/>
          <w:szCs w:val="24"/>
          <w:lang w:val="sq-AL"/>
        </w:rPr>
        <w:t>1.</w:t>
      </w:r>
      <w:r w:rsidRPr="004F1F62">
        <w:rPr>
          <w:sz w:val="24"/>
          <w:szCs w:val="24"/>
          <w:lang w:val="sq-AL"/>
        </w:rPr>
        <w:t xml:space="preserve"> </w:t>
      </w:r>
      <w:r w:rsidRPr="004F1F62">
        <w:rPr>
          <w:i/>
          <w:iCs/>
          <w:sz w:val="24"/>
          <w:szCs w:val="24"/>
          <w:lang w:val="sq-AL"/>
        </w:rPr>
        <w:t xml:space="preserve">Ekstradimi lejohet vetëm mbi bazën e një kërkese drejtuar </w:t>
      </w:r>
      <w:r w:rsidRPr="004F1F62">
        <w:rPr>
          <w:i/>
          <w:iCs/>
          <w:sz w:val="24"/>
          <w:szCs w:val="24"/>
          <w:lang w:val="sq-AL"/>
        </w:rPr>
        <w:lastRenderedPageBreak/>
        <w:t>Ministrisë së Drejtësisë. 2. Kërkesës për ekstradim i bashkëngjiten: a) kopja e vendimit të dënimit me burgim ose e aktit të procedimit; b) një relacion mbi veprën penale që i ngarkohet personit për të cilin kërkohet ekstradimi, duke treguar kohën dhe vendin e kryerjes së veprës dhe cilësimin ligjor të saj; c) teksti i dispozitave ligjore që do të zbatohen, duke treguar nëse për veprën për të cilën kërkohet ekstradimi është parashikuar nga ligji i shtetit të huaj dënimi me vdekje; ç) të dhënat individuale dhe çdo informacion tjetër të mundshëm që shërben për të përcaktuar identitetin dhe shtetësinë e personit, për të cilin kërkohet ekstradimi</w:t>
      </w:r>
      <w:r w:rsidRPr="004F1F62">
        <w:rPr>
          <w:sz w:val="24"/>
          <w:szCs w:val="24"/>
          <w:lang w:val="sq-AL"/>
        </w:rPr>
        <w:t xml:space="preserve">”. </w:t>
      </w:r>
      <w:r w:rsidRPr="004F1F62">
        <w:rPr>
          <w:bCs/>
          <w:sz w:val="24"/>
          <w:szCs w:val="24"/>
          <w:lang w:val="sq-AL"/>
        </w:rPr>
        <w:t xml:space="preserve">Neni 490 i KPP parashikon se: </w:t>
      </w:r>
      <w:r w:rsidRPr="004F1F62">
        <w:rPr>
          <w:sz w:val="24"/>
          <w:szCs w:val="24"/>
          <w:lang w:val="sq-AL"/>
        </w:rPr>
        <w:t>“</w:t>
      </w:r>
      <w:r w:rsidRPr="004F1F62">
        <w:rPr>
          <w:i/>
          <w:iCs/>
          <w:sz w:val="24"/>
          <w:szCs w:val="24"/>
          <w:lang w:val="sq-AL"/>
        </w:rPr>
        <w:t>1. Ekstradimi lejohet me kusht të shprehur se i ekstraduari nuk do të ndiqet, nuk do të dënohet dhe as do t’i dorëzohet një shteti tjetër për një vepër penale që ka ndodhur para kërkesës për dorëzim dhe që është e ndryshme nga ajo për të cilën është dhënë ekstradimi. 2. Kushtet e treguara nga paragrafi 1 nuk merren parasysh: a) kur pala dorëzuese jep pëlqim të shprehur që i ekstraduari të ndiqet edhe për një vepër penale tjetër dhe i ekstraduari nuk ka kundërshtim; b) kur i ekstraduari, edhe pse ka patur mundësi, nuk ka lënë territorin e shtetit të cilit i është dorëzuar, pasi kanë kaluar dyzet e pesë ditë nga lirimi i tij ose pasi e ka lënë atë është kthyer vullnetarisht. 3. Ministria e Drejtësisë mund të vërë edhe kushte të tjera që i çmon të përshtatshme pa tejkaluar parashikimet e akteve ndërkombëtare, në të cilat Republika e Shqipërisë është palë dhe rezervat e deklarimet ligjore”</w:t>
      </w:r>
      <w:r w:rsidRPr="004F1F62">
        <w:rPr>
          <w:sz w:val="24"/>
          <w:szCs w:val="24"/>
          <w:lang w:val="sq-AL"/>
        </w:rPr>
        <w:t xml:space="preserve">. </w:t>
      </w:r>
      <w:r w:rsidRPr="004F1F62">
        <w:rPr>
          <w:bCs/>
          <w:sz w:val="24"/>
          <w:szCs w:val="24"/>
          <w:lang w:val="sq-AL"/>
        </w:rPr>
        <w:t>Neni 491 i KPP parashikon se:</w:t>
      </w:r>
      <w:r w:rsidRPr="004F1F62">
        <w:rPr>
          <w:b/>
          <w:sz w:val="24"/>
          <w:szCs w:val="24"/>
          <w:lang w:val="sq-AL"/>
        </w:rPr>
        <w:t xml:space="preserve"> </w:t>
      </w:r>
      <w:r w:rsidRPr="004F1F62">
        <w:rPr>
          <w:sz w:val="24"/>
          <w:szCs w:val="24"/>
          <w:lang w:val="sq-AL"/>
        </w:rPr>
        <w:t>“</w:t>
      </w:r>
      <w:r w:rsidRPr="004F1F62">
        <w:rPr>
          <w:i/>
          <w:iCs/>
          <w:sz w:val="24"/>
          <w:szCs w:val="24"/>
          <w:lang w:val="sq-AL"/>
        </w:rPr>
        <w:t>Nuk mund të jepet ekstradimi: a) për një vepër me karakter politik ose kur rezulton që ai kërkohet për qëllime politike; b) kur ka arsye të mendohet se personi që kërkohet do t’u nënshtrohet persekutimeve ose diskriminimeve për shkak të racës, fesë, seksit, shtetësisë, gjuhës, bindjeve politike, gjendjes personale a shoqërore ose dënimeve a trajtimeve të egra, ç’njerëzore a poshtëruese ose veprimeve që përbëjnë shkelje të një të drejte themelore të njeriut; c) kur personi që kërkohet ka kryer një vepër penale në Shqipëri; ç) kur ka filluar procedimi ose është gjykuar në Shqipëri edhe pse vepra është kryer jashtë shtetit; d) kur vepra penale nuk parashikohet si e tillë nga legjislacioni shqiptar; dh) kur për veprën penale është dhënë amnisti nga shteti shqiptar; e) kur personi i kërkuar është shtetas shqiptar dhe nuk ka marrëveshje që të parashikojë ndryshe; ë) kur është parashkruar ndjekja penale ose dënimi sipas ligjit të shtetit të kërkuar; f) kur personi i kërkuar është dënuar në mungesë, me përjashtim të rastit kur shteti kërkues jep garanci për rishikimin e vendimit”</w:t>
      </w:r>
      <w:r w:rsidRPr="004F1F62">
        <w:rPr>
          <w:sz w:val="24"/>
          <w:szCs w:val="24"/>
          <w:lang w:val="sq-AL"/>
        </w:rPr>
        <w:t>.</w:t>
      </w:r>
      <w:r w:rsidRPr="004F1F62">
        <w:rPr>
          <w:rFonts w:eastAsia="Calibri"/>
          <w:sz w:val="24"/>
          <w:szCs w:val="24"/>
          <w:bdr w:val="none" w:sz="0" w:space="0" w:color="auto" w:frame="1"/>
          <w:lang w:val="sq-AL"/>
        </w:rPr>
        <w:t xml:space="preserve"> </w:t>
      </w:r>
    </w:p>
    <w:p w:rsidR="00251387" w:rsidRPr="004F1F62" w:rsidRDefault="00251387" w:rsidP="00251387">
      <w:pPr>
        <w:widowControl w:val="0"/>
        <w:shd w:val="clear" w:color="auto" w:fill="FFFFFF"/>
        <w:adjustRightInd w:val="0"/>
        <w:jc w:val="both"/>
        <w:rPr>
          <w:sz w:val="24"/>
          <w:szCs w:val="24"/>
          <w:lang w:val="sq-AL"/>
        </w:rPr>
      </w:pPr>
      <w:r w:rsidRPr="004F1F62">
        <w:rPr>
          <w:rFonts w:eastAsia="Calibri"/>
          <w:sz w:val="24"/>
          <w:szCs w:val="24"/>
          <w:bdr w:val="none" w:sz="0" w:space="0" w:color="auto" w:frame="1"/>
          <w:lang w:val="sq-AL"/>
        </w:rPr>
        <w:t xml:space="preserve">             30.Legjislacioni i veçantë, </w:t>
      </w:r>
      <w:r w:rsidRPr="004F1F62">
        <w:rPr>
          <w:bCs/>
          <w:sz w:val="24"/>
          <w:szCs w:val="24"/>
          <w:lang w:val="sq-AL"/>
        </w:rPr>
        <w:t>neni 32 i Ligjit nr. 10193, datë 03.12.2009 “Për marrëdhëniet juridiksionale me autoritetet e huaja në çështjet penale” i ndryshuar</w:t>
      </w:r>
      <w:r w:rsidRPr="004F1F62">
        <w:rPr>
          <w:sz w:val="24"/>
          <w:szCs w:val="24"/>
          <w:lang w:val="sq-AL"/>
        </w:rPr>
        <w:t>, parashikon  se: “</w:t>
      </w:r>
      <w:r w:rsidRPr="004F1F62">
        <w:rPr>
          <w:i/>
          <w:iCs/>
          <w:sz w:val="24"/>
          <w:szCs w:val="24"/>
          <w:lang w:val="sq-AL"/>
        </w:rPr>
        <w:t>Përveç kushteve të parashikuara në Kodin Penal dhe në Kodin e Procedurës Penale, ekstradimi i një personi në drejtim të një shteti të huaj lejohet kur plotësohen edhe kushtet e mëposhtme: a) legjislacioni shqiptar parashikon për veprën penale, për të cilën shteti i huaj ka caktuar masën shtrënguese të sigurimit, një dënim me burgim jo më të ulët se një vit; b) masa ose pjesa e mbetur e dënimit të dhënë me vendim gjyqësor të formës së prerë është të paktën 4 muaj në kohën e paraqitjes së kërkesës për ekstradim; c) ndjekja penale ose ekzekutimi i dënimit penal nuk janë parashkruar sipas legjislacionit të shtetit kërkues; ç) janë kushtet për rifillimin e procedimit penal në shtetin kërkues, megjithëse procedimi penal në Shqipëri, për të njëjtën vepër penale, ka pushuar; d) shteti kërkues jep garanci që nuk do të japë një dënim me vdekje ose nëse e ka dhënë një dënim të tillë, nuk do ta ekzekutojë atë. dh) personi, për të cilin kërkohet ekstradimi, në kohën e paraqitjes së kërkesës për ekstradim, nuk ka aplikuar apo nuk i është dhënë azil në Shqipëri ndaj shtetit kërkues”.</w:t>
      </w:r>
    </w:p>
    <w:p w:rsidR="00251387" w:rsidRPr="004F1F62" w:rsidRDefault="00251387" w:rsidP="00251387">
      <w:pPr>
        <w:widowControl w:val="0"/>
        <w:shd w:val="clear" w:color="auto" w:fill="FFFFFF"/>
        <w:adjustRightInd w:val="0"/>
        <w:jc w:val="both"/>
        <w:rPr>
          <w:sz w:val="24"/>
          <w:szCs w:val="24"/>
          <w:lang w:val="sq-AL"/>
        </w:rPr>
      </w:pPr>
      <w:r w:rsidRPr="004F1F62">
        <w:rPr>
          <w:iCs/>
          <w:spacing w:val="1"/>
          <w:sz w:val="24"/>
          <w:szCs w:val="24"/>
          <w:bdr w:val="none" w:sz="0" w:space="0" w:color="auto" w:frame="1"/>
          <w:lang w:val="sq-AL"/>
        </w:rPr>
        <w:t xml:space="preserve">            31.Nga vendimmarrja e gjykatave të faktit në lidhje me ekstradimin e shtetasit </w:t>
      </w:r>
      <w:r w:rsidRPr="004F1F62">
        <w:rPr>
          <w:sz w:val="24"/>
          <w:szCs w:val="24"/>
          <w:lang w:val="sq-AL"/>
        </w:rPr>
        <w:t>Sohel Rana Sheikh</w:t>
      </w:r>
      <w:r w:rsidRPr="004F1F62">
        <w:rPr>
          <w:iCs/>
          <w:spacing w:val="1"/>
          <w:sz w:val="24"/>
          <w:szCs w:val="24"/>
          <w:bdr w:val="none" w:sz="0" w:space="0" w:color="auto" w:frame="1"/>
          <w:lang w:val="sq-AL"/>
        </w:rPr>
        <w:t xml:space="preserve"> drejt Bangladeshit, rezulton se gjykata e shkallës së parë dhe ajo e apelit e kanë pranuar kërkesën e Prokurorisë pranë Gjykatës së Shkallës së Parë të Juridiksionit të Përgjithshëm Tiranë dhe lejimin e ekstradimit nga Republika e Shqipërisë në Republikën e Popullore të Bangladeshit së shtetasit Bangladeshas, </w:t>
      </w:r>
      <w:r w:rsidRPr="004F1F62">
        <w:rPr>
          <w:sz w:val="24"/>
          <w:szCs w:val="24"/>
          <w:lang w:val="sq-AL"/>
        </w:rPr>
        <w:t>Sohel Rana Sheikh.</w:t>
      </w:r>
    </w:p>
    <w:p w:rsidR="00251387" w:rsidRPr="004F1F62" w:rsidRDefault="00251387" w:rsidP="00251387">
      <w:pPr>
        <w:widowControl w:val="0"/>
        <w:shd w:val="clear" w:color="auto" w:fill="FFFFFF"/>
        <w:adjustRightInd w:val="0"/>
        <w:jc w:val="both"/>
        <w:rPr>
          <w:sz w:val="24"/>
          <w:szCs w:val="24"/>
          <w:lang w:val="sq-AL"/>
        </w:rPr>
      </w:pPr>
      <w:r w:rsidRPr="004F1F62">
        <w:rPr>
          <w:spacing w:val="2"/>
          <w:sz w:val="24"/>
          <w:szCs w:val="24"/>
          <w:bdr w:val="none" w:sz="0" w:space="0" w:color="auto" w:frame="1"/>
          <w:lang w:val="sq-AL"/>
        </w:rPr>
        <w:t xml:space="preserve">         32.Lidhur me shkaqet e parashtruara në rekurs nga ana e shtetasit </w:t>
      </w:r>
      <w:r w:rsidRPr="004F1F62">
        <w:rPr>
          <w:sz w:val="24"/>
          <w:szCs w:val="24"/>
          <w:lang w:val="sq-AL"/>
        </w:rPr>
        <w:t>Sohel Rana Sheikh</w:t>
      </w:r>
      <w:r w:rsidRPr="004F1F62">
        <w:rPr>
          <w:spacing w:val="2"/>
          <w:sz w:val="24"/>
          <w:szCs w:val="24"/>
          <w:bdr w:val="none" w:sz="0" w:space="0" w:color="auto" w:frame="1"/>
          <w:lang w:val="sq-AL"/>
        </w:rPr>
        <w:t>, konstatohet se prej rekursuesit parashtrohen një serë pretendimesh si; gjykatat nuk ka</w:t>
      </w:r>
      <w:r w:rsidR="00FB6888">
        <w:rPr>
          <w:spacing w:val="2"/>
          <w:sz w:val="24"/>
          <w:szCs w:val="24"/>
          <w:bdr w:val="none" w:sz="0" w:space="0" w:color="auto" w:frame="1"/>
          <w:lang w:val="sq-AL"/>
        </w:rPr>
        <w:t>n</w:t>
      </w:r>
      <w:r w:rsidR="00FB6888" w:rsidRPr="00FB6888">
        <w:rPr>
          <w:spacing w:val="2"/>
          <w:sz w:val="24"/>
          <w:szCs w:val="24"/>
          <w:bdr w:val="none" w:sz="0" w:space="0" w:color="auto" w:frame="1"/>
          <w:lang w:val="sq-AL"/>
        </w:rPr>
        <w:t>ë</w:t>
      </w:r>
      <w:r w:rsidRPr="004F1F62">
        <w:rPr>
          <w:spacing w:val="2"/>
          <w:sz w:val="24"/>
          <w:szCs w:val="24"/>
          <w:bdr w:val="none" w:sz="0" w:space="0" w:color="auto" w:frame="1"/>
          <w:lang w:val="sq-AL"/>
        </w:rPr>
        <w:t xml:space="preserve"> arsyetuar vendimin, duke mos argumentuar asnjë nga pretendimet e ngritura prej mbrojtjes, gjykatat nuk kanë marr</w:t>
      </w:r>
      <w:r w:rsidR="00FB6888" w:rsidRPr="00FB6888">
        <w:rPr>
          <w:spacing w:val="2"/>
          <w:sz w:val="24"/>
          <w:szCs w:val="24"/>
          <w:bdr w:val="none" w:sz="0" w:space="0" w:color="auto" w:frame="1"/>
          <w:lang w:val="sq-AL"/>
        </w:rPr>
        <w:t>ë</w:t>
      </w:r>
      <w:r w:rsidRPr="004F1F62">
        <w:rPr>
          <w:spacing w:val="2"/>
          <w:sz w:val="24"/>
          <w:szCs w:val="24"/>
          <w:bdr w:val="none" w:sz="0" w:space="0" w:color="auto" w:frame="1"/>
          <w:lang w:val="sq-AL"/>
        </w:rPr>
        <w:t xml:space="preserve"> në konsideratë autoritetin kërkues i cili njihet për </w:t>
      </w:r>
      <w:r w:rsidRPr="004F1F62">
        <w:rPr>
          <w:sz w:val="24"/>
          <w:szCs w:val="24"/>
          <w:lang w:val="sq-AL"/>
        </w:rPr>
        <w:t xml:space="preserve">dënime </w:t>
      </w:r>
      <w:r w:rsidRPr="004F1F62">
        <w:rPr>
          <w:sz w:val="24"/>
          <w:szCs w:val="24"/>
          <w:lang w:val="sq-AL"/>
        </w:rPr>
        <w:lastRenderedPageBreak/>
        <w:t xml:space="preserve">degraduese, poshtëruese ose çnjerëzore fakt i cili përbën një shkelje të drejtpërdrejtë të artikujve 2 dhe 3 të konventës, faktin se autoriteti kërkues ka praktika të fshehjes së praktikave/procedimeve hetimore kur ato referojnë në dënime të rënda dhe të ndryshme nga sa referohet në kërkesën motivuese për ekstradim. Po kështu shteti kërkues është shtet i cili aplikon dënime me vdekje. </w:t>
      </w:r>
    </w:p>
    <w:p w:rsidR="00251387" w:rsidRPr="004F1F62" w:rsidRDefault="00251387" w:rsidP="00251387">
      <w:pPr>
        <w:widowControl w:val="0"/>
        <w:shd w:val="clear" w:color="auto" w:fill="FFFFFF"/>
        <w:adjustRightInd w:val="0"/>
        <w:jc w:val="both"/>
        <w:rPr>
          <w:sz w:val="24"/>
          <w:szCs w:val="24"/>
          <w:lang w:val="sq-AL"/>
        </w:rPr>
      </w:pPr>
      <w:r w:rsidRPr="004F1F62">
        <w:rPr>
          <w:sz w:val="24"/>
          <w:szCs w:val="24"/>
          <w:lang w:val="sq-AL"/>
        </w:rPr>
        <w:t xml:space="preserve">         33.Nga tërësia e diskutimit në seancë gjyqësore për Kolegjin, u identifikuan për shqyrtim dhe verifikim këto aspekte: (i) Bazën ligjore për ekstradimin sipas së drejtës së brendshme shqiptare në mungesë të një traktati, me referencë të veçantë ndaj rolit të reciprocitetit; (ii) Kuadrin e përgjithshëm të KEDNJ-së të zbatueshëm në procedurat e ekstradimit, i rrënjosur në vendimin themelor Soering kundër Mbretërisë së Bashkuar (1989). (iii) Detyrimet specifike që i ngarkohen Shqipërisë si Shtet Palë në KEDNJ, kur procedon me ekstradim drejt një shteti jo-palë në Konventë ku ekziston rreziku i dënimit me vdekje, veçanërisht në referencë me linjën e çështjeve Rrapo kundër Shqipërisë;</w:t>
      </w:r>
    </w:p>
    <w:p w:rsidR="00AD5C65" w:rsidRPr="004F1F62" w:rsidRDefault="00AD5C65" w:rsidP="00AD5C65">
      <w:pPr>
        <w:widowControl w:val="0"/>
        <w:shd w:val="clear" w:color="auto" w:fill="FFFFFF"/>
        <w:adjustRightInd w:val="0"/>
        <w:jc w:val="both"/>
        <w:rPr>
          <w:sz w:val="24"/>
          <w:szCs w:val="24"/>
          <w:lang w:val="sq-AL"/>
        </w:rPr>
      </w:pPr>
      <w:r w:rsidRPr="004F1F62">
        <w:rPr>
          <w:sz w:val="24"/>
          <w:szCs w:val="24"/>
          <w:lang w:val="sq-AL"/>
        </w:rPr>
        <w:t xml:space="preserve">        </w:t>
      </w:r>
      <w:r w:rsidR="00251387" w:rsidRPr="004F1F62">
        <w:rPr>
          <w:sz w:val="24"/>
          <w:szCs w:val="24"/>
          <w:lang w:val="sq-AL"/>
        </w:rPr>
        <w:t xml:space="preserve">34.Kushtetuta e Republikës së Shqipërisë përbën bazën normative më të lartë. Neni 4 i Kushtetutës përcakton hierarkinë e normave juridike të brendshme, duke parashikuar se marrëveshjet ndërkombëtare të ratifikuara janë pjesë përbërëse e rendit juridik të brendshëm pas botimit në Fletoren Zyrtare dhe janë drejtpërdrejt të zbatueshme, përveç rasteve kur ato nuk janë vetëzbatuese. Neni 122 parashikon më tej se, në rast konflikti ndërmjet marrëveshjeve ndërkombëtare të ratifikuara dhe ligjeve të brendshme, mbizotërojnë të parat. Me rëndësi thelbësore është </w:t>
      </w:r>
      <w:r w:rsidR="00FB6888">
        <w:rPr>
          <w:sz w:val="24"/>
          <w:szCs w:val="24"/>
          <w:lang w:val="sq-AL"/>
        </w:rPr>
        <w:t>n</w:t>
      </w:r>
      <w:r w:rsidR="00251387" w:rsidRPr="004F1F62">
        <w:rPr>
          <w:sz w:val="24"/>
          <w:szCs w:val="24"/>
          <w:lang w:val="sq-AL"/>
        </w:rPr>
        <w:t>eni 21 i Kushtetutës së Shqipërisë, i cili parashikon se e drejta për jetën mbrohet me ligj dhe se, në kohë paqeje, askush nuk mund të privohet nga jeta e tij. Shqipëria ka ratifikuar Protokollin nr. 13 të KEDNJ-së, i cili ka hyrë në fuqi për Shqipërinë më 1 qershor 2007, duke parashikuar heqjen e dënimit me vdekje në çdo rrethanë, pa përjashtim. Për më tepër, Gjykata Kushtetuese e Shqipërisë, me vendimin e saj nr. 65, datë 10 dhjetor 1999, u mbështet gjerësisht në Konventë për të shfuqizuar dënimin me vdekje në kohë paqeje në të g</w:t>
      </w:r>
      <w:r w:rsidR="00FB6888">
        <w:rPr>
          <w:sz w:val="24"/>
          <w:szCs w:val="24"/>
          <w:lang w:val="sq-AL"/>
        </w:rPr>
        <w:t>jitha dispozitat e Kodit Penal S</w:t>
      </w:r>
      <w:r w:rsidR="00251387" w:rsidRPr="004F1F62">
        <w:rPr>
          <w:sz w:val="24"/>
          <w:szCs w:val="24"/>
          <w:lang w:val="sq-AL"/>
        </w:rPr>
        <w:t>hqiptar. Këto angazhime kushtetuese dhe konvencionale krijojnë një ndalim normativ të drejtpërdrejtë ndaj çdo veprimi përfshirë ekstradimin që do ta ekspozonte një person nën juridiksionin shqiptar ndaj një rreziku real të dënimit kapital.</w:t>
      </w:r>
    </w:p>
    <w:p w:rsidR="00251387" w:rsidRPr="004F1F62" w:rsidRDefault="00AD5C65" w:rsidP="00AD5C65">
      <w:pPr>
        <w:widowControl w:val="0"/>
        <w:shd w:val="clear" w:color="auto" w:fill="FFFFFF"/>
        <w:adjustRightInd w:val="0"/>
        <w:jc w:val="both"/>
        <w:rPr>
          <w:sz w:val="24"/>
          <w:szCs w:val="24"/>
          <w:lang w:val="sq-AL"/>
        </w:rPr>
      </w:pPr>
      <w:r w:rsidRPr="004F1F62">
        <w:rPr>
          <w:sz w:val="24"/>
          <w:szCs w:val="24"/>
          <w:lang w:val="sq-AL"/>
        </w:rPr>
        <w:t xml:space="preserve">            35.</w:t>
      </w:r>
      <w:r w:rsidR="00251387" w:rsidRPr="004F1F62">
        <w:rPr>
          <w:sz w:val="24"/>
          <w:szCs w:val="24"/>
          <w:lang w:val="sq-AL"/>
        </w:rPr>
        <w:t>Nenet 488 deri në 503 të Kodit të Procedurës Penale të Shqipërisë (KPP) rregullojnë ekstradimin drejt një shteti të huaj. Neni 489 parashikon se çdo kërkesë për ekstradim duhet t’i drejtohet Ministrisë së Drejtësisë dhe duhet të shoqërohet me dokumentacion mbështetës, i cili duhet të përfshijë dispozitat ligjore të huaja të zbatueshme dhe, në mënyrë të veçantë, duhet të tregojë nëse ligji i huaj parashikon dënimin me vdekje për veprën për të cilën kërkohet ekstradimi. Ministria e Drejtësisë ia përcjell kërkesën për ekstradim prokurorit të rrethit kompetent, i cili, brenda tre muajve, duhet të paraqesë kërkesë në Gjykatën e Rrethit. Neni 493 parashikon vendosjen e masave shtrënguese të sigurimit ndaj personit që do të ekstradohet për të parandaluar largimin e tij. Neni 499</w:t>
      </w:r>
      <w:r w:rsidR="00FB6888">
        <w:rPr>
          <w:sz w:val="24"/>
          <w:szCs w:val="24"/>
          <w:lang w:val="sq-AL"/>
        </w:rPr>
        <w:t xml:space="preserve"> </w:t>
      </w:r>
      <w:r w:rsidR="00251387" w:rsidRPr="004F1F62">
        <w:rPr>
          <w:sz w:val="24"/>
          <w:szCs w:val="24"/>
          <w:lang w:val="sq-AL"/>
        </w:rPr>
        <w:t>(1) parashikon se, nëse Ministria e Drejtësisë nuk procedon me ekstradimin brenda tridhjetë ditëve nga vendimi gjyqësor i formës së prerë, personi i ndaluar duhet të lirohet.</w:t>
      </w:r>
    </w:p>
    <w:p w:rsidR="00AD5C65" w:rsidRPr="004F1F62" w:rsidRDefault="00AD5C65" w:rsidP="00AD5C65">
      <w:pPr>
        <w:jc w:val="both"/>
        <w:rPr>
          <w:sz w:val="24"/>
          <w:szCs w:val="24"/>
          <w:lang w:val="sq-AL"/>
        </w:rPr>
      </w:pPr>
      <w:r w:rsidRPr="004F1F62">
        <w:rPr>
          <w:sz w:val="24"/>
          <w:szCs w:val="24"/>
          <w:lang w:val="sq-AL"/>
        </w:rPr>
        <w:t xml:space="preserve">           36.</w:t>
      </w:r>
      <w:r w:rsidR="00251387" w:rsidRPr="004F1F62">
        <w:rPr>
          <w:sz w:val="24"/>
          <w:szCs w:val="24"/>
          <w:lang w:val="sq-AL"/>
        </w:rPr>
        <w:t>Dispozita më e drejtpërdrejtë që rregullon kushtet materiale të ekstradimit është neni 32 i Ligjit nr. 10193, datë 3 dhjetor 2009 “</w:t>
      </w:r>
      <w:r w:rsidR="00251387" w:rsidRPr="004F1F62">
        <w:rPr>
          <w:i/>
          <w:iCs/>
          <w:sz w:val="24"/>
          <w:szCs w:val="24"/>
          <w:lang w:val="sq-AL"/>
        </w:rPr>
        <w:t>Për juridiksionin në çështjet penale me autoritetet e huaja”</w:t>
      </w:r>
      <w:r w:rsidR="00251387" w:rsidRPr="004F1F62">
        <w:rPr>
          <w:sz w:val="24"/>
          <w:szCs w:val="24"/>
          <w:lang w:val="sq-AL"/>
        </w:rPr>
        <w:t xml:space="preserve"> I ndryshuar. Neni 32 parashikon përtej kushteve të përcaktuara në Kodin Penal dhe KPP e ekstradimi</w:t>
      </w:r>
      <w:r w:rsidR="00FB6888">
        <w:rPr>
          <w:sz w:val="24"/>
          <w:szCs w:val="24"/>
          <w:lang w:val="sq-AL"/>
        </w:rPr>
        <w:t>t</w:t>
      </w:r>
      <w:r w:rsidR="00251387" w:rsidRPr="004F1F62">
        <w:rPr>
          <w:sz w:val="24"/>
          <w:szCs w:val="24"/>
          <w:lang w:val="sq-AL"/>
        </w:rPr>
        <w:t xml:space="preserve"> drejt një shteti të huaj lejohet vetëm kur plotësohet një grup kushtesh kumulative. Me rëndësi qendrore për çështjen konkrete është kushti (d), i ndryshuar me Ligjin nr. 97/2021, i cili parashikon se ekstradimi lejohet vetëm kur: </w:t>
      </w:r>
      <w:r w:rsidR="00251387" w:rsidRPr="004F1F62">
        <w:rPr>
          <w:i/>
          <w:iCs/>
          <w:sz w:val="24"/>
          <w:szCs w:val="24"/>
          <w:lang w:val="sq-AL"/>
        </w:rPr>
        <w:t xml:space="preserve">“shteti kërkues jep garanci që nuk do të japë një dënim më të rëndë sesa dënimi me të cilin ai është dënuar, apo dënim me vdekje ose, nëse e ka dhënë një dënim të tillë, nuk do ta ekzekutojë atë.”. </w:t>
      </w:r>
      <w:r w:rsidR="00251387" w:rsidRPr="004F1F62">
        <w:rPr>
          <w:sz w:val="24"/>
          <w:szCs w:val="24"/>
          <w:lang w:val="sq-AL"/>
        </w:rPr>
        <w:t xml:space="preserve">Kjo dispozitë ligjore është e qartë dhe me karakter detyrues. Ajo nuk bën dallim ndërmjet rasteve kur ekziston një traktat dhe rasteve të bazuara në reciprocitet. Kërkesa për garanci kundër dënimit me vdekje përbën një kusht paraprak për çdo ekstradim nga Shqipëria, pavarësisht bazës juridike të ngritur. Kjo dispozitë është interpretuar dhe zbatuar pikërisht në këtë mënyrë </w:t>
      </w:r>
      <w:r w:rsidR="00251387" w:rsidRPr="004F1F62">
        <w:rPr>
          <w:sz w:val="24"/>
          <w:szCs w:val="24"/>
          <w:lang w:val="sq-AL"/>
        </w:rPr>
        <w:lastRenderedPageBreak/>
        <w:t>nga Gjykata e Lartë e Shqipërisë në kuadër të procedurave të ekstradimit në çështjen Rrapo (e trajtuar në detaje më poshtë).</w:t>
      </w:r>
    </w:p>
    <w:p w:rsidR="00251387" w:rsidRPr="004F1F62" w:rsidRDefault="00AD5C65" w:rsidP="00AD5C65">
      <w:pPr>
        <w:jc w:val="both"/>
        <w:rPr>
          <w:sz w:val="24"/>
          <w:szCs w:val="24"/>
          <w:lang w:val="sq-AL"/>
        </w:rPr>
      </w:pPr>
      <w:r w:rsidRPr="004F1F62">
        <w:rPr>
          <w:sz w:val="24"/>
          <w:szCs w:val="24"/>
          <w:lang w:val="sq-AL"/>
        </w:rPr>
        <w:t xml:space="preserve">           37.</w:t>
      </w:r>
      <w:r w:rsidR="00251387" w:rsidRPr="004F1F62">
        <w:rPr>
          <w:sz w:val="24"/>
          <w:szCs w:val="24"/>
          <w:lang w:val="sq-AL"/>
        </w:rPr>
        <w:t>E drejta shqiptare nuk e rendit shprehimisht reciprocitetin si një bazë më vete dhe të pavarur për ekstradim. Neni 31 i Ligjit nr. 10193 parashikon se dorëzimi i një personi nën hetim, të pandehuri ose të dënuari te një shtet i huaj kryhet në përputhje me ligjin shqiptar, rregullat e legjislacionit shqiptar dhe marrëveshjet ndërkombëtare ku Republika e Shqipërisë është palë. Ky formulim, i lexuar me kujdes, zbulon një hierarki: marrëveshjet ndërkombëtare kanë përparësi, ndërsa e drejta e brendshme shqiptare, si procedurale ashtu edhe materiale, rregullon mënyrën e zbatimit. Kur nuk ekziston asnjë marrëveshje ndërkombëtare si në rastin konkret e drejta shqiptare nuk parashikon ndonjë mekanizëm të shprehur për të ekstraduar mbi bazën e premtimeve të thjeshta reciproke, pa u përmbushur kushtet materiale të nenit 32. Çdo procedurë ekstradimi e zhvilluar mbi bazën e reciprocitetit duhet, si çështje e së drejtës së brendshme, të përmbushë sërish të gjitha kushtet e renditura në nenin 32, përfshirë kërkesën detyruese për garanci kundër dënimit me vdekje. Kështu, reciprociteti është një rregullim faktik lejues ndërmjet shteteve, dhe jo një përjashtim i pavarur nga kushtet materiale të të drejtave të njeriut, të kërkuara nga legjislacioni shqiptar dhe nga KEDNJ-ja.</w:t>
      </w:r>
    </w:p>
    <w:p w:rsidR="00251387" w:rsidRPr="004F1F62" w:rsidRDefault="00AD5C65" w:rsidP="00AD5C65">
      <w:pPr>
        <w:jc w:val="both"/>
        <w:rPr>
          <w:sz w:val="24"/>
          <w:szCs w:val="24"/>
          <w:lang w:val="sq-AL"/>
        </w:rPr>
      </w:pPr>
      <w:r w:rsidRPr="004F1F62">
        <w:rPr>
          <w:sz w:val="24"/>
          <w:szCs w:val="24"/>
          <w:lang w:val="sq-AL"/>
        </w:rPr>
        <w:t xml:space="preserve">          38.</w:t>
      </w:r>
      <w:r w:rsidR="00251387" w:rsidRPr="004F1F62">
        <w:rPr>
          <w:sz w:val="24"/>
          <w:szCs w:val="24"/>
          <w:lang w:val="sq-AL"/>
        </w:rPr>
        <w:t xml:space="preserve">Megjithatë në çështjen Grori k. Shqipërisë, Gjykata Kushtetuese shqiptare shprehu qartë se bashkëpunimi ndërkombëtar, duke përfshirë njohjen e vendimeve dhe dënimeve të huaja, mund të ndodhë edhe në mungesë të traktateve bilaterale: </w:t>
      </w:r>
      <w:r w:rsidR="00251387" w:rsidRPr="004F1F62">
        <w:rPr>
          <w:i/>
          <w:iCs/>
          <w:sz w:val="24"/>
          <w:szCs w:val="24"/>
          <w:lang w:val="sq-AL"/>
        </w:rPr>
        <w:t>"Në të drejtën ndërkombëtare, reciprociteti përkufizohet si e drejta e barazisë dhe respektit të ndërsjelltë ndërmjet vendeve. Doktrina dhe praktika gjyqësore penale ndërkombëtare kane konfirmuar se bashkëpunimi ndërmjet vendeve mund te ndodhe edhe ne mungesë te traktateve bilaterale, ne baze te parimit te reciprocitetit. [...] Shtetet nuk ndalojnë nga zbatimi i drejtpërdrejtë i parimit të reciprocitetit, normave të përgjithshme të njohura të të drejtës ndërkombëtare dhe mirëdashjesise."</w:t>
      </w:r>
      <w:r w:rsidR="00251387" w:rsidRPr="004F1F62">
        <w:rPr>
          <w:sz w:val="24"/>
          <w:szCs w:val="24"/>
          <w:lang w:val="sq-AL"/>
        </w:rPr>
        <w:t xml:space="preserve">Edhe GJEDNJ </w:t>
      </w:r>
      <w:hyperlink r:id="rId13" w:history="1">
        <w:r w:rsidR="00251387" w:rsidRPr="00636AAF">
          <w:rPr>
            <w:rStyle w:val="Hyperlink"/>
            <w:color w:val="auto"/>
            <w:sz w:val="24"/>
            <w:szCs w:val="24"/>
            <w:u w:val="none"/>
            <w:lang w:val="sq-AL"/>
          </w:rPr>
          <w:t>në çështjen Grori</w:t>
        </w:r>
      </w:hyperlink>
      <w:r w:rsidR="00251387" w:rsidRPr="004F1F62">
        <w:rPr>
          <w:sz w:val="24"/>
          <w:szCs w:val="24"/>
          <w:lang w:val="sq-AL"/>
        </w:rPr>
        <w:t xml:space="preserve"> nuk përjashton zbatimin e parimin e reciprocitetit si bazë juridike, por gjeti një shkelje të Nenit 5(1)(f) për shkak të mangësive në zbatimin procedural specifik të atij parimi në atë çështje (parashikueshmëri e pamjaftueshme e bazës juridike të paraburgimit). Parimi në vetvete nuk u quajt i pamjaftueshëm.</w:t>
      </w:r>
    </w:p>
    <w:p w:rsidR="00251387" w:rsidRPr="004F1F62" w:rsidRDefault="00AD5C65" w:rsidP="00AD5C65">
      <w:pPr>
        <w:shd w:val="clear" w:color="auto" w:fill="FFFFFF"/>
        <w:jc w:val="both"/>
        <w:rPr>
          <w:sz w:val="24"/>
          <w:szCs w:val="24"/>
          <w:lang w:val="sq-AL" w:eastAsia="sq-AL"/>
        </w:rPr>
      </w:pPr>
      <w:r w:rsidRPr="004F1F62">
        <w:rPr>
          <w:sz w:val="24"/>
          <w:szCs w:val="24"/>
          <w:lang w:val="sq-AL"/>
        </w:rPr>
        <w:t xml:space="preserve">          39.</w:t>
      </w:r>
      <w:r w:rsidR="00251387" w:rsidRPr="004F1F62">
        <w:rPr>
          <w:sz w:val="24"/>
          <w:szCs w:val="24"/>
          <w:lang w:val="sq-AL"/>
        </w:rPr>
        <w:t>Prandaj, çështja  thelbësore që Kolegji evidenton është nëse reciprociteti, siç ofrohet nga Bangladeshi në mungesë të një traktati formal, mund të përmbushë pragun e mbrojtjes së të drejtave të njeriut të vendosur nga neni 32</w:t>
      </w:r>
      <w:r w:rsidR="00636AAF">
        <w:rPr>
          <w:sz w:val="24"/>
          <w:szCs w:val="24"/>
          <w:lang w:val="sq-AL"/>
        </w:rPr>
        <w:t xml:space="preserve"> </w:t>
      </w:r>
      <w:r w:rsidR="00251387" w:rsidRPr="004F1F62">
        <w:rPr>
          <w:sz w:val="24"/>
          <w:szCs w:val="24"/>
          <w:lang w:val="sq-AL"/>
        </w:rPr>
        <w:t>(d) i Ligjit nr. 10193 dhe nga KEDNJ-ja, veçanërisht kur shteti kërkues e ruan dënimin me vdekje dhe potencialisht nuk ofron garanci detyruese, të verifikueshme dhe të ekzekutueshme kundër vendosjes së tij. Përgjigjja ndaj kësaj pyetjeje kërkon një analizë të hollësishme të jurisprudencës së KEDNJ-së.</w:t>
      </w:r>
    </w:p>
    <w:p w:rsidR="00AD5C65" w:rsidRPr="004F1F62" w:rsidRDefault="00AD5C65" w:rsidP="00AD5C65">
      <w:pPr>
        <w:shd w:val="clear" w:color="auto" w:fill="FFFFFF"/>
        <w:jc w:val="both"/>
        <w:rPr>
          <w:sz w:val="24"/>
          <w:szCs w:val="24"/>
          <w:lang w:val="sq-AL" w:eastAsia="sq-AL"/>
        </w:rPr>
      </w:pPr>
      <w:r w:rsidRPr="004F1F62">
        <w:rPr>
          <w:sz w:val="24"/>
          <w:szCs w:val="24"/>
          <w:lang w:val="sq-AL" w:eastAsia="sq-AL"/>
        </w:rPr>
        <w:t xml:space="preserve">        40.</w:t>
      </w:r>
      <w:r w:rsidR="00251387" w:rsidRPr="004F1F62">
        <w:rPr>
          <w:sz w:val="24"/>
          <w:szCs w:val="24"/>
          <w:lang w:val="sq-AL" w:eastAsia="sq-AL"/>
        </w:rPr>
        <w:t xml:space="preserve">Në lidhje me këtë problematikë duhet ti referohemi praktikës së vendosur me cështjen </w:t>
      </w:r>
      <w:hyperlink r:id="rId14" w:history="1">
        <w:r w:rsidR="00251387" w:rsidRPr="00636AAF">
          <w:rPr>
            <w:rStyle w:val="Hyperlink"/>
            <w:color w:val="auto"/>
            <w:sz w:val="24"/>
            <w:szCs w:val="24"/>
            <w:u w:val="none"/>
            <w:lang w:val="sq-AL"/>
          </w:rPr>
          <w:t>Soering kundër Mbretërisë së Bashkuar</w:t>
        </w:r>
      </w:hyperlink>
      <w:r w:rsidR="00251387" w:rsidRPr="004F1F62">
        <w:rPr>
          <w:sz w:val="24"/>
          <w:szCs w:val="24"/>
          <w:lang w:val="sq-AL"/>
        </w:rPr>
        <w:t xml:space="preserve"> (Kërkesa nr. 14038/88, vendim i datës 7 korrik 1989), ku është vendosur përgjegjësia ekstra-territoriale e shtetit të kërkuar</w:t>
      </w:r>
      <w:r w:rsidR="00251387" w:rsidRPr="004F1F62">
        <w:rPr>
          <w:sz w:val="24"/>
          <w:szCs w:val="24"/>
          <w:lang w:val="sq-AL" w:eastAsia="sq-AL"/>
        </w:rPr>
        <w:t xml:space="preserve">. </w:t>
      </w:r>
      <w:r w:rsidR="00251387" w:rsidRPr="004F1F62">
        <w:rPr>
          <w:sz w:val="24"/>
          <w:szCs w:val="24"/>
          <w:lang w:val="sq-AL"/>
        </w:rPr>
        <w:t xml:space="preserve">Referencat themelore që rregullojnë ekstradimin u vendosën nga GJEDNJ në vendimin e Dhomës së Madhe në çështjen </w:t>
      </w:r>
      <w:bookmarkStart w:id="2" w:name="_Hlk228201071"/>
      <w:r w:rsidR="00AB3E1A" w:rsidRPr="00636AAF">
        <w:fldChar w:fldCharType="begin"/>
      </w:r>
      <w:r w:rsidR="00251387" w:rsidRPr="00636AAF">
        <w:rPr>
          <w:sz w:val="24"/>
          <w:szCs w:val="24"/>
          <w:lang w:val="sq-AL"/>
        </w:rPr>
        <w:instrText xml:space="preserve"> HYPERLINK "https://hudoc.echr.coe.int/?i=001-57619" </w:instrText>
      </w:r>
      <w:r w:rsidR="00AB3E1A" w:rsidRPr="00636AAF">
        <w:fldChar w:fldCharType="separate"/>
      </w:r>
      <w:r w:rsidR="00251387" w:rsidRPr="00636AAF">
        <w:rPr>
          <w:rStyle w:val="Hyperlink"/>
          <w:color w:val="auto"/>
          <w:sz w:val="24"/>
          <w:szCs w:val="24"/>
          <w:u w:val="none"/>
          <w:lang w:val="sq-AL"/>
        </w:rPr>
        <w:t>Soering kundër Mbretërisë së Bashkuar</w:t>
      </w:r>
      <w:r w:rsidR="00AB3E1A" w:rsidRPr="00636AAF">
        <w:rPr>
          <w:rStyle w:val="Hyperlink"/>
          <w:color w:val="auto"/>
          <w:sz w:val="24"/>
          <w:szCs w:val="24"/>
          <w:u w:val="none"/>
          <w:lang w:val="sq-AL"/>
        </w:rPr>
        <w:fldChar w:fldCharType="end"/>
      </w:r>
      <w:r w:rsidR="00251387" w:rsidRPr="004F1F62">
        <w:rPr>
          <w:sz w:val="24"/>
          <w:szCs w:val="24"/>
          <w:lang w:val="sq-AL"/>
        </w:rPr>
        <w:t xml:space="preserve"> (Kërkesa nr. 14038/88, vendim i datës 7 korrik 1989)</w:t>
      </w:r>
      <w:bookmarkEnd w:id="2"/>
      <w:r w:rsidR="00251387" w:rsidRPr="004F1F62">
        <w:rPr>
          <w:sz w:val="24"/>
          <w:szCs w:val="24"/>
          <w:lang w:val="sq-AL"/>
        </w:rPr>
        <w:t>. Në atë çështje, Gjykata vendosi për herë të parë se ekstradimi i një personi nga një Shtet Palë mund të angazhojë përgjegjësinë po</w:t>
      </w:r>
      <w:r w:rsidR="00636AAF">
        <w:rPr>
          <w:sz w:val="24"/>
          <w:szCs w:val="24"/>
          <w:lang w:val="sq-AL"/>
        </w:rPr>
        <w:t>z</w:t>
      </w:r>
      <w:r w:rsidR="00251387" w:rsidRPr="004F1F62">
        <w:rPr>
          <w:sz w:val="24"/>
          <w:szCs w:val="24"/>
          <w:lang w:val="sq-AL"/>
        </w:rPr>
        <w:t>itive të atij shteti sipas nenit 3 të Konventës (i cili ndalon torturën dhe trajtimin ose dënimin çnjerëzor apo poshtërues në mënyrë absolute), kur ekzistojnë baza të forta për të besuar se personi në fjalë përballet me një rrezik real për t’iu nënshtruar trajtimit në kundërshtim me nenin 3 në shtetin kërkues. Ajo pranoi se neni 5(1)(f) i Konventës nuk garanton një të drejtë për të mos u ekstraduar dhe se Konventa nuk rregullon veprimet e shtetit kërkues, i cili nuk është palë në Konventë. Megjithatë, Gjykata theksoi se përgjegjësia lind jo nga veprimet e shtetit kërkues jo-palë, por nga vendimi i shtetit të kërkuar, si Shtet Palë, për të ekspozuar një individ nën juridiksionin e tij ndaj një rreziku të parashikueshëm dhe real të trajtimit të ndaluar, përmes ekstradimit të tij. Humbja e kontrollit mbi individin pas ekstradimit nuk e çliron shtetin dërgues nga përgjegjësia për pasojat e parashikueshme.</w:t>
      </w:r>
    </w:p>
    <w:p w:rsidR="00251387" w:rsidRPr="004F1F62" w:rsidRDefault="00AD5C65" w:rsidP="00AD5C65">
      <w:pPr>
        <w:shd w:val="clear" w:color="auto" w:fill="FFFFFF"/>
        <w:jc w:val="both"/>
        <w:rPr>
          <w:sz w:val="24"/>
          <w:szCs w:val="24"/>
          <w:lang w:val="sq-AL" w:eastAsia="sq-AL"/>
        </w:rPr>
      </w:pPr>
      <w:r w:rsidRPr="004F1F62">
        <w:rPr>
          <w:sz w:val="24"/>
          <w:szCs w:val="24"/>
          <w:lang w:val="sq-AL" w:eastAsia="sq-AL"/>
        </w:rPr>
        <w:t xml:space="preserve">          41.</w:t>
      </w:r>
      <w:r w:rsidR="00251387" w:rsidRPr="004F1F62">
        <w:rPr>
          <w:sz w:val="24"/>
          <w:szCs w:val="24"/>
          <w:lang w:val="sq-AL"/>
        </w:rPr>
        <w:t>Standardi i vendosur nga Soering kërkon ekzistencën e “</w:t>
      </w:r>
      <w:r w:rsidR="00251387" w:rsidRPr="004F1F62">
        <w:rPr>
          <w:i/>
          <w:iCs/>
          <w:sz w:val="24"/>
          <w:szCs w:val="24"/>
          <w:lang w:val="sq-AL"/>
        </w:rPr>
        <w:t>bazave të forta për të besuar se personi në fjalë përballet me një rrezik real”</w:t>
      </w:r>
      <w:r w:rsidR="00251387" w:rsidRPr="004F1F62">
        <w:rPr>
          <w:sz w:val="24"/>
          <w:szCs w:val="24"/>
          <w:lang w:val="sq-AL"/>
        </w:rPr>
        <w:t xml:space="preserve"> të trajtimit në kundërshtim me nenin </w:t>
      </w:r>
      <w:r w:rsidR="00251387" w:rsidRPr="004F1F62">
        <w:rPr>
          <w:sz w:val="24"/>
          <w:szCs w:val="24"/>
          <w:lang w:val="sq-AL"/>
        </w:rPr>
        <w:lastRenderedPageBreak/>
        <w:t xml:space="preserve">3. Ky është një vlerësim prospektiv, jo një kërkesë për siguri absolute: rreziku nuk duhet domosdoshmërisht të jetë i mundshëm në shkallë probabiliteti, por duhet të jetë real dhe jo thjesht teorik. Doktrina Soering është ngritur më pas në statusin e një parimi themelor të së drejtës evropiane të të drejtave të njeriut, i zbatueshëm jo vetëm për ekstradimin, por për të gjitha format e largimit përfshirë dëbimin dhe largimin administrativ dhe është konfirmuar, zhvilluar dhe zbatuar në një sërë vendimesh të Dhomës së Madhe dhe të dhomave të tjera, përfshirë </w:t>
      </w:r>
      <w:hyperlink r:id="rId15" w:history="1">
        <w:r w:rsidR="00251387" w:rsidRPr="00636AAF">
          <w:rPr>
            <w:rStyle w:val="Hyperlink"/>
            <w:color w:val="auto"/>
            <w:sz w:val="24"/>
            <w:szCs w:val="24"/>
            <w:u w:val="none"/>
            <w:lang w:val="sq-AL"/>
          </w:rPr>
          <w:t>Chahal kundër Mbretërisë së Bashkuar</w:t>
        </w:r>
      </w:hyperlink>
      <w:r w:rsidR="00251387" w:rsidRPr="004F1F62">
        <w:rPr>
          <w:sz w:val="24"/>
          <w:szCs w:val="24"/>
          <w:lang w:val="sq-AL"/>
        </w:rPr>
        <w:t xml:space="preserve"> (1996), </w:t>
      </w:r>
      <w:hyperlink r:id="rId16" w:history="1">
        <w:r w:rsidR="00251387" w:rsidRPr="00636AAF">
          <w:rPr>
            <w:rStyle w:val="Hyperlink"/>
            <w:color w:val="auto"/>
            <w:sz w:val="24"/>
            <w:szCs w:val="24"/>
            <w:u w:val="none"/>
            <w:lang w:val="sq-AL"/>
          </w:rPr>
          <w:t>Cruz Varas kundër Suedisë</w:t>
        </w:r>
      </w:hyperlink>
      <w:r w:rsidR="00251387" w:rsidRPr="004F1F62">
        <w:rPr>
          <w:sz w:val="24"/>
          <w:szCs w:val="24"/>
          <w:lang w:val="sq-AL"/>
        </w:rPr>
        <w:t xml:space="preserve">, Vilvarajah kundër Mbretërisë së Bashkuar, si dhe së fundmi i rikonfirmuar në Al-Saadoon dhe Mufdhi kundër Mbretërisë së Bashkuar (2010) dhe Sanchez-Sanchez kundër Mbretërisë së Bashkuar (Dhoma e Madhe, 2022). </w:t>
      </w:r>
    </w:p>
    <w:p w:rsidR="00AD5C65" w:rsidRPr="004F1F62" w:rsidRDefault="00AD5C65" w:rsidP="00AD5C65">
      <w:pPr>
        <w:jc w:val="both"/>
        <w:rPr>
          <w:b/>
          <w:bCs/>
          <w:i/>
          <w:iCs/>
          <w:sz w:val="24"/>
          <w:szCs w:val="24"/>
          <w:lang w:val="sq-AL"/>
        </w:rPr>
      </w:pPr>
      <w:r w:rsidRPr="004F1F62">
        <w:rPr>
          <w:sz w:val="24"/>
          <w:szCs w:val="24"/>
          <w:lang w:val="sq-AL"/>
        </w:rPr>
        <w:t xml:space="preserve">           42.</w:t>
      </w:r>
      <w:r w:rsidR="00251387" w:rsidRPr="004F1F62">
        <w:rPr>
          <w:sz w:val="24"/>
          <w:szCs w:val="24"/>
          <w:lang w:val="sq-AL"/>
        </w:rPr>
        <w:t>Natyra absolute e nenit 2 i KEDNJ-së në kontekstin e ekstradimit, i cili garanton të drejtën për jetën, dhe neni 1 i Protokollit nr. 13, që heq dënimin me vdekje në çdo rrethanë për shtetet palë, krijojnë detyrime paralele. Gjykata ka theksuar në Al-Saadoon dhe Mufdhi kundër Mbretërisë së Bashkuar se, për shtetet e lidhura nga Protokolli nr. 13, e drejta për të mos iu nënshtruar dënimit me vdekje “renditet krahas të drejtave të parashikuara në nenet 2 dhe 3 si një e drejtë themelore, që mishëron një nga vlerat bazë të shoqërive demokratike që përbëjnë Këshillin e Evropës.” Shqipëria, duke e ratifikuar Protokollin nr. 13 më 1 qershor 2007, është plotësisht e lidhur nga kjo mbrojtje e shtuar. Analiza e Gjykatës në çështjen Soering trajtoi gjithashtu çështjen e konflikteve ndërmjet detyrimeve për ekstradim dhe detyrimeve sipas KEDNJ-së. Megjithëse Soering kishte të bënte me një traktat ekstradimi me Shtetet e Bashkuara, arsyetimi i Gjykatës zbatohet me më tepër forcë në rastin konkret, ku nuk ekziston asnjë traktat. Gjykata në thelb i dha përparësi normës së të drejtave të njeriut ndaj detyrimeve të ekstradimit të bazuara në traktate, duke njohur një hierarki të detyrimeve juridike që i jep status superior të paktën disa normave themelore të të drejtave të njeriut. Ajo theksoi se një Shtet Palë nuk mund të angazhohet, në çështje ekstradimi, në marrëveshje që do ta vendosnin atë në një pozitë bashkëpërgjegjësie për shkelje të të drejtave të njeriut në shtetin pritës.</w:t>
      </w:r>
    </w:p>
    <w:p w:rsidR="00251387" w:rsidRPr="004F1F62" w:rsidRDefault="00AD5C65" w:rsidP="00636AAF">
      <w:pPr>
        <w:jc w:val="both"/>
        <w:rPr>
          <w:b/>
          <w:bCs/>
          <w:i/>
          <w:iCs/>
          <w:sz w:val="24"/>
          <w:szCs w:val="24"/>
          <w:lang w:val="sq-AL"/>
        </w:rPr>
      </w:pPr>
      <w:r w:rsidRPr="004F1F62">
        <w:rPr>
          <w:bCs/>
          <w:iCs/>
          <w:sz w:val="24"/>
          <w:szCs w:val="24"/>
          <w:lang w:val="sq-AL"/>
        </w:rPr>
        <w:t xml:space="preserve">            43</w:t>
      </w:r>
      <w:r w:rsidRPr="004F1F62">
        <w:rPr>
          <w:b/>
          <w:bCs/>
          <w:i/>
          <w:iCs/>
          <w:sz w:val="24"/>
          <w:szCs w:val="24"/>
          <w:lang w:val="sq-AL"/>
        </w:rPr>
        <w:t>.</w:t>
      </w:r>
      <w:r w:rsidR="00251387" w:rsidRPr="004F1F62">
        <w:rPr>
          <w:sz w:val="24"/>
          <w:szCs w:val="24"/>
          <w:lang w:val="sq-AL"/>
        </w:rPr>
        <w:t>Në rastin konkret, ku nuk ekziston asnjë traktat ekstradimi me Bangladeshin, Shqipëria nuk është e kufizuar nga ndonjë detyrim me bazë traktati për të ekstraduar kërkuesin, por është plotësisht e detyruar nga KEDNJ-ja që të garantojë standardin më të lartë të mbrojtjes së jetës dhe një s</w:t>
      </w:r>
      <w:r w:rsidR="00636AAF">
        <w:rPr>
          <w:sz w:val="24"/>
          <w:szCs w:val="24"/>
          <w:lang w:val="sq-AL"/>
        </w:rPr>
        <w:t>h</w:t>
      </w:r>
      <w:r w:rsidR="00251387" w:rsidRPr="004F1F62">
        <w:rPr>
          <w:sz w:val="24"/>
          <w:szCs w:val="24"/>
          <w:lang w:val="sq-AL"/>
        </w:rPr>
        <w:t>tetasi të huaj në këtë rast,  në rast të lejimit të ekstradimit  drejt një shteti tjetër që nuk është  vend anëtar i Këshillit të Europës. Mungesa e një traktati, për rrjedhojë, është një faktor që e forcon dhe jo e dobëson detyrimin e gjykatave shqiptare për të shqyrtuar me kujdes të veçantë rreziqet për të drejtat e njeriut, pasi nuk ekziston asnjë detyrim kundërpeshues i së drejtës ndërkombëtare për zbatimin e një traktati.</w:t>
      </w:r>
    </w:p>
    <w:p w:rsidR="00251387" w:rsidRPr="004F1F62" w:rsidRDefault="00AD5C65" w:rsidP="00636AAF">
      <w:pPr>
        <w:jc w:val="both"/>
        <w:rPr>
          <w:sz w:val="24"/>
          <w:szCs w:val="24"/>
          <w:lang w:val="sq-AL"/>
        </w:rPr>
      </w:pPr>
      <w:r w:rsidRPr="004F1F62">
        <w:rPr>
          <w:sz w:val="24"/>
          <w:szCs w:val="24"/>
          <w:lang w:val="sq-AL"/>
        </w:rPr>
        <w:t xml:space="preserve">            44.</w:t>
      </w:r>
      <w:r w:rsidR="00251387" w:rsidRPr="004F1F62">
        <w:rPr>
          <w:sz w:val="24"/>
          <w:szCs w:val="24"/>
          <w:lang w:val="sq-AL"/>
        </w:rPr>
        <w:t xml:space="preserve">Precedenti më i drejtpërdrejtë për çështjen aktuale është vendimi i GJEDNJ-së në Rrapo kundër Shqipërisë (Kërkesa nr. 37537/11, vendim i datës 25 shtator 2012). Ky rast është veçanërisht domethënës, pasi përfshin drejtpërdrejt Shqipërinë si shtet i kërkuar dhe trajton ekstradimin drejt një shteti jo-evropian për akuza që bartnin mundësinë e dënimit me vdekje. Paralelizmi faktik me rastin konkret është i konsiderueshëm.Në çështjen Rrapo, një shtetas shqiptar u arrestua në Shqipëri dhe u ekstradua në Shtetet e Bashkuara për t’u përballur me disa akuza, njëra prej të cilave (akuza nr. 9) parashikonte si dënim alternativ dënimin me vdekje ose burgimin e përjetshëm. Gjykata e Rrethit dhe Gjykata e Apelit autorizuan ekstradimin pa kërkuar më parë garanci nga Shtetet e Bashkuara se dënimi me vdekje nuk do të kërkohej. Gjykata Evropiane konstatoi se kjo ishte thellësisht e gabuar: </w:t>
      </w:r>
      <w:r w:rsidR="00251387" w:rsidRPr="004F1F62">
        <w:rPr>
          <w:i/>
          <w:iCs/>
          <w:sz w:val="24"/>
          <w:szCs w:val="24"/>
          <w:lang w:val="sq-AL"/>
        </w:rPr>
        <w:t xml:space="preserve">“Është për të ardhur keq që gjykatat më të ulëta ishin të gatshme të lejonin ekstradimin e kërkuesit pa shqyrtuar realitetin e rrezikut të pretenduar prej tij. Është befasuese që gjykatat më të ulëta nuk kërkuan kurrë garanci nga qeveria kërkuese se dënimi me vdekje nuk do të vendosej në rast të shpalljes fajtor të kërkuesit.” (par. 70). </w:t>
      </w:r>
      <w:r w:rsidR="00251387" w:rsidRPr="004F1F62">
        <w:rPr>
          <w:sz w:val="24"/>
          <w:szCs w:val="24"/>
          <w:lang w:val="sq-AL"/>
        </w:rPr>
        <w:t>Gjykata konfirmoi më tej se Protokolli nr. 13, në fuqi për Shqipërinë që nga 1 qershori 2007, në lidhje me nenet 1, 2 dhe 3 të Konventës, dikton se Shqipëria “</w:t>
      </w:r>
      <w:r w:rsidR="00251387" w:rsidRPr="004F1F62">
        <w:rPr>
          <w:i/>
          <w:iCs/>
          <w:sz w:val="24"/>
          <w:szCs w:val="24"/>
          <w:lang w:val="sq-AL"/>
        </w:rPr>
        <w:t xml:space="preserve">nuk duhet të mbajë persona me qëllim ekstradimi për t’u gjykuar për akuza që mbartin dënimin kapital, ose në ndonjë mënyrë tjetër të ekspozojë individë nën juridiksionin e saj ndaj një rreziku real për t’u dënuar me vdekje dhe për t’u </w:t>
      </w:r>
      <w:r w:rsidR="00251387" w:rsidRPr="004F1F62">
        <w:rPr>
          <w:i/>
          <w:iCs/>
          <w:sz w:val="24"/>
          <w:szCs w:val="24"/>
          <w:lang w:val="sq-AL"/>
        </w:rPr>
        <w:lastRenderedPageBreak/>
        <w:t>ekzekutuar, përveçse nëse janë kërkuar dhe siguruar paraprakisht garanci të mjaftueshme dhe detyruese nga autoritetet përgjegjëse të shtetit kërkues.”</w:t>
      </w:r>
      <w:r w:rsidR="00251387" w:rsidRPr="004F1F62">
        <w:rPr>
          <w:sz w:val="24"/>
          <w:szCs w:val="24"/>
          <w:lang w:val="sq-AL"/>
        </w:rPr>
        <w:t xml:space="preserve"> (par. 70).</w:t>
      </w:r>
    </w:p>
    <w:p w:rsidR="00AD5C65" w:rsidRPr="004F1F62" w:rsidRDefault="00AD5C65" w:rsidP="00AD5C65">
      <w:pPr>
        <w:jc w:val="both"/>
        <w:rPr>
          <w:sz w:val="24"/>
          <w:szCs w:val="24"/>
          <w:lang w:val="sq-AL"/>
        </w:rPr>
      </w:pPr>
      <w:r w:rsidRPr="004F1F62">
        <w:rPr>
          <w:sz w:val="24"/>
          <w:szCs w:val="24"/>
          <w:lang w:val="sq-AL"/>
        </w:rPr>
        <w:t xml:space="preserve">           45.</w:t>
      </w:r>
      <w:r w:rsidR="00251387" w:rsidRPr="004F1F62">
        <w:rPr>
          <w:sz w:val="24"/>
          <w:szCs w:val="24"/>
          <w:lang w:val="sq-AL"/>
        </w:rPr>
        <w:t xml:space="preserve">Në çështjen Rrapo, qeveria e Shteteve të Bashkuara ofroi më pas garanci përmes notave diplomatike (Nota nr. 91 dhe nr. 22), sipas të cilave dënimi me vdekje nuk do të kërkohej dhe as nuk do të vendosej. Gjykata i vlerësoi këto garanci si specifike, të qarta, të detyruese për të gjithë Departamentin e Drejtësisë të Shteteve të Bashkuara dhe të besueshme, duke pasur parasysh historinë e gjatë të respektimit nga SHBA të angazhimeve të saj në ekstradim ndaj shteteve palë. Mbi këtë bazë, Gjykata konstatoi se nuk kishte shkelje të neneve 2 dhe 3 apo të Protokollit nr. 13 në lidhje me rrezikun e dënimit me vdekje, megjithëse konstatoi shkelje të nenit 34, </w:t>
      </w:r>
      <w:r w:rsidR="00636AAF">
        <w:rPr>
          <w:sz w:val="24"/>
          <w:szCs w:val="24"/>
          <w:lang w:val="sq-AL"/>
        </w:rPr>
        <w:t xml:space="preserve"> </w:t>
      </w:r>
      <w:r w:rsidR="00251387" w:rsidRPr="004F1F62">
        <w:rPr>
          <w:sz w:val="24"/>
          <w:szCs w:val="24"/>
          <w:lang w:val="sq-AL"/>
        </w:rPr>
        <w:t xml:space="preserve">pasi kërkuesi ishte ekstraduar në kundërshtim me një masë të përkohshme të treguar sipas Rregullit 39 të Rregullores së Gjykatës.Vendimi në çështjen Rrapo vendos kështu një standard të qartë dhe detyrues për gjykatat shqiptare: ekstradimi për akuza që mund të dënohen me dënim me vdekje drejt një shteti që e ruan dënimin me vdekje kërkon domosdoshmërisht sigurimin paraprak të garancive </w:t>
      </w:r>
      <w:r w:rsidR="00251387" w:rsidRPr="004F1F62">
        <w:rPr>
          <w:i/>
          <w:iCs/>
          <w:sz w:val="24"/>
          <w:szCs w:val="24"/>
          <w:lang w:val="sq-AL"/>
        </w:rPr>
        <w:t>“të mjaftueshme dhe detyruese”.</w:t>
      </w:r>
      <w:r w:rsidR="00251387" w:rsidRPr="004F1F62">
        <w:rPr>
          <w:sz w:val="24"/>
          <w:szCs w:val="24"/>
          <w:lang w:val="sq-AL"/>
        </w:rPr>
        <w:t xml:space="preserve"> Ky nuk është një kusht diskrecional, por një kërkesë absolute, si sipas së drejtës kushtetuese shqiptare ashtu edhe sipas KEDNJ-së.</w:t>
      </w:r>
    </w:p>
    <w:p w:rsidR="00251387" w:rsidRPr="004F1F62" w:rsidRDefault="00251387" w:rsidP="00AD5C65">
      <w:pPr>
        <w:jc w:val="both"/>
        <w:rPr>
          <w:sz w:val="24"/>
          <w:szCs w:val="24"/>
          <w:lang w:val="sq-AL"/>
        </w:rPr>
      </w:pPr>
      <w:r w:rsidRPr="004F1F62">
        <w:rPr>
          <w:sz w:val="24"/>
          <w:szCs w:val="24"/>
          <w:lang w:val="sq-AL"/>
        </w:rPr>
        <w:t>Në lidhje me standardin për garancitë e pranueshme GJEDNJ-ja ka zhvilluar një jurisprudencë të detajuar mbi atë se çfarë i bën garancitë kundër dënimit me vdekje ose më gjerësisht kundër trajtimit të ndaluar juridikisht të mjaftueshme. Parimet kryesore që rrjedhin nga Rrapo kundër Shqipërisë (par. 72–73), Babar Ahmad dhe të Tjerë kundër Mbretërisë së Bashkuar, si dhe jurisprudenca përkatëse, përfshijnë sa vijon: (i) Notat diplomatike përbëjnë mjetin standard përmes të cilit shtetet kërkuese japin garanci dhe mbartin një prezumim të mirëbesimit në marrëdhëniet ndërkombëtare; (ii) Ky prezumim zbatohet më fort kur shteti kërkues “ka një histori të gjatë respektimi të demokracisë, të drejtave të njeriut dhe shtetit të së drejtës, si dhe marrëdhënie të qëndrueshme ekstradimi me shtetet palë të Konventës”;(iii) Garancitë duhet të jenë specifike, të qarta dhe të njëkuptimta ato duhet të deklarojnë shprehimisht se dënimi me vdekje nuk do të kërkohet dhe as nuk do të vendoset; (iv) Garancitë duhet të jenë detyruese ato duhet të angazhojnë të gjithë qeverinë e shtetit kërkues, përfshirë të gjitha autoritetet prokuroriale dhe gjyqësore, dhe jo vetëm një organ apo zyrtar të vetëm; (v) Kur ekzistojnë dobësi të njohura ose një histori mosrespektimi në sistemin juridik të shtetit kërkues, Gjykata do t’i nënshtrojë garancitë një shqyrtimi më të rreptë; (vi) Gjykata duhet të jetë në gjendje të vlerësojë nëse, në dritën e praktikave të shtetit kërkues, garancitë mund të mbështeten realisht.</w:t>
      </w:r>
    </w:p>
    <w:p w:rsidR="00251387" w:rsidRPr="004F1F62" w:rsidRDefault="00AD5C65" w:rsidP="00AD5C65">
      <w:pPr>
        <w:ind w:firstLine="360"/>
        <w:jc w:val="both"/>
        <w:rPr>
          <w:sz w:val="24"/>
          <w:szCs w:val="24"/>
          <w:lang w:val="sq-AL"/>
        </w:rPr>
      </w:pPr>
      <w:r w:rsidRPr="004F1F62">
        <w:rPr>
          <w:sz w:val="24"/>
          <w:szCs w:val="24"/>
          <w:lang w:val="sq-AL"/>
        </w:rPr>
        <w:t xml:space="preserve">      46.</w:t>
      </w:r>
      <w:r w:rsidR="00251387" w:rsidRPr="004F1F62">
        <w:rPr>
          <w:sz w:val="24"/>
          <w:szCs w:val="24"/>
          <w:lang w:val="sq-AL"/>
        </w:rPr>
        <w:t>Në rastin konkret, Bangladeshi e ruan dënimin me vdekje në Kodin e tij Penal për një sërë veprash penale</w:t>
      </w:r>
      <w:r w:rsidR="00251387" w:rsidRPr="004F1F62">
        <w:rPr>
          <w:rStyle w:val="FootnoteReference"/>
          <w:sz w:val="24"/>
          <w:szCs w:val="24"/>
          <w:lang w:val="sq-AL"/>
        </w:rPr>
        <w:footnoteReference w:id="1"/>
      </w:r>
      <w:r w:rsidR="00251387" w:rsidRPr="004F1F62">
        <w:rPr>
          <w:sz w:val="24"/>
          <w:szCs w:val="24"/>
          <w:lang w:val="sq-AL"/>
        </w:rPr>
        <w:t xml:space="preserve"> dhe mban vendin e tretë në botë për dënimet e aplikuara ne vitin 2023</w:t>
      </w:r>
      <w:r w:rsidR="00251387" w:rsidRPr="004F1F62">
        <w:rPr>
          <w:rStyle w:val="FootnoteReference"/>
          <w:sz w:val="24"/>
          <w:szCs w:val="24"/>
          <w:lang w:val="sq-AL"/>
        </w:rPr>
        <w:footnoteReference w:id="2"/>
      </w:r>
      <w:r w:rsidR="00251387" w:rsidRPr="004F1F62">
        <w:rPr>
          <w:sz w:val="24"/>
          <w:szCs w:val="24"/>
          <w:lang w:val="sq-AL"/>
        </w:rPr>
        <w:t>. Bangladeshi nuk është një shtet që ka marrëdhënie të qëndrueshme ekstradimi me shtetet anëtare të Këshillit të Evropës dhe as nuk ka një histori bashkëpunimi të konsoliduar në ekstradim me autoritetet shqiptare apo evropiane. Ky është një dallim thelbësor nga çështja Rrapo, ku shteti kërkues ishte Shtetet e Bashkuara një demokraci e konsoliduar me mekanizma institucionalë që garantojnë respektimin e angazhimeve të saj në ekstradim. Kuadri i Gjykatës për vlerësimin e garancive duhet, rrjedhimisht, të zbatohet me një rigorozitet edhe më të lartë kur shteti kërkues nuk ka një histori të tillë.</w:t>
      </w:r>
    </w:p>
    <w:p w:rsidR="00251387" w:rsidRPr="004F1F62" w:rsidRDefault="00AD5C65" w:rsidP="00AD5C65">
      <w:pPr>
        <w:jc w:val="both"/>
        <w:rPr>
          <w:i/>
          <w:iCs/>
          <w:sz w:val="24"/>
          <w:szCs w:val="24"/>
          <w:lang w:val="sq-AL"/>
        </w:rPr>
      </w:pPr>
      <w:r w:rsidRPr="004F1F62">
        <w:rPr>
          <w:rFonts w:eastAsiaTheme="minorEastAsia"/>
          <w:kern w:val="24"/>
          <w:sz w:val="24"/>
          <w:szCs w:val="24"/>
          <w:lang w:val="sq-AL"/>
        </w:rPr>
        <w:t xml:space="preserve">            47.</w:t>
      </w:r>
      <w:r w:rsidR="00251387" w:rsidRPr="004F1F62">
        <w:rPr>
          <w:rFonts w:eastAsiaTheme="minorEastAsia"/>
          <w:kern w:val="24"/>
          <w:sz w:val="24"/>
          <w:szCs w:val="24"/>
          <w:lang w:val="sq-AL"/>
        </w:rPr>
        <w:t xml:space="preserve">Në praktikën e Kolegjit Penal të GJL, (Vendimi nr.  00-2024-1408 (199) datë 25.07.2024) është theksuar se </w:t>
      </w:r>
      <w:r w:rsidR="00251387" w:rsidRPr="004F1F62">
        <w:rPr>
          <w:rFonts w:eastAsiaTheme="minorEastAsia"/>
          <w:i/>
          <w:iCs/>
          <w:kern w:val="24"/>
          <w:sz w:val="24"/>
          <w:szCs w:val="24"/>
          <w:lang w:val="sq-AL"/>
        </w:rPr>
        <w:t xml:space="preserve">“Kolegji konsideron se gjykimi i garancisë juridiksionale, i parashikuar në normat konvencionale dhe të brendshme të sipërcituara, referuar rastit </w:t>
      </w:r>
      <w:r w:rsidR="00251387" w:rsidRPr="004F1F62">
        <w:rPr>
          <w:rFonts w:eastAsiaTheme="minorEastAsia"/>
          <w:i/>
          <w:iCs/>
          <w:kern w:val="24"/>
          <w:sz w:val="24"/>
          <w:szCs w:val="24"/>
          <w:lang w:val="sq-AL"/>
        </w:rPr>
        <w:lastRenderedPageBreak/>
        <w:t>konkret të ekstradimit pasiv, i nisur mbi bazën e kërkesës së Prokurorisë, ka për objekt, jo vetëm verifikimin e zbatimit të dispozitave të të drejtës objektive që rregullojnë këtë raport të marrëdhënieve juridiksionale  mes shteteve në kuadër të angazhimeve të marra nga shteti ynë si vend anëtar i Këshillit të Evropës, por mbi të gjitha garantimin e të drejtës themelore të lirisë dhe të sigurisë së personit që i nënshtrohet këtij lloj të gjykimi. Përsa kohë që ekstradimi përbën një nga rastet kur ligjërisht mund të ushtrohet ndikim mbi këtë të drejtë, është e domosdoshme të verifikohet që procedimi kryesor jashtë shtetit në vendin kërkues të ekstradimit ndaj shtetasit  që kërkohet ekstradimi e që motivon kërkesën e përbën kushtin e ekstradimit, të respektojë këtë parashikim. Në të kundërt ekstradimi nuk do të siguronte garancitë për lirinë e sigurinë e individit si një nënsistem juridik më vete për këtë</w:t>
      </w:r>
      <w:r w:rsidR="00251387" w:rsidRPr="004F1F62">
        <w:rPr>
          <w:rFonts w:eastAsiaTheme="minorEastAsia"/>
          <w:i/>
          <w:iCs/>
          <w:kern w:val="24"/>
          <w:sz w:val="24"/>
          <w:szCs w:val="24"/>
          <w:lang w:val="en-GB"/>
        </w:rPr>
        <w:t xml:space="preserve">. </w:t>
      </w:r>
      <w:r w:rsidR="00251387" w:rsidRPr="004F1F62">
        <w:rPr>
          <w:bCs/>
          <w:i/>
          <w:iCs/>
          <w:sz w:val="24"/>
          <w:szCs w:val="24"/>
          <w:lang w:val="sq-AL"/>
        </w:rPr>
        <w:t>Në funksion të verifikimit të kushteve të lejimit të lejimit të ekstradimit të përcaktuara në Konventës për Ekstradimin, ligjin tonë të brendshëm procedural e atë të vecantë, elaburimit të jurisprudencës  së GJEDNJ e asaj tonë kushtetuese, por dhe në praktikën e mirë të zbatimit, gjykatat e faktit duhet të jenë të kujdesshme në shqyrtimin  në themel të këtyre garancive juridiksionale, duke vlerësuar në mënyrë eksplicite plotësimine kushteve ligjore të formës e përmbajtjes  së kërkesës për ekstradim, përmbushjes së garancive procedurale e konvencioale, si dhe  ekzistencën e rrezikut të trajtimit jonjerëzor dhe degradues në vendin kërkues, duke përdorur, për realizimin e këtij qëllimi, të gjithë elementët objektive, të besueshëm, të saktë dhe të përditësuar në vazhdimësi, lidhur me masën e dsanksionit që mund të zbatohet ndaj të kërkuarit, kushtet e burgimit në Shtetin kërkues dhe, në mënyrë të veçantë, mbas verifikimit të këtij rreziku, i interesuari, në kushtet e dorëzimit do t’i nënshtrohej apo jo një trajtimi jonjerëzor dhe degradues, të papajtueshëm me të drejtat themelore të personit</w:t>
      </w:r>
      <w:r w:rsidR="00251387" w:rsidRPr="004F1F62">
        <w:rPr>
          <w:bCs/>
          <w:sz w:val="24"/>
          <w:szCs w:val="24"/>
          <w:lang w:val="sq-AL"/>
        </w:rPr>
        <w:t>.”</w:t>
      </w:r>
      <w:r w:rsidR="00251387" w:rsidRPr="004F1F62">
        <w:rPr>
          <w:rFonts w:eastAsiaTheme="minorEastAsia"/>
          <w:kern w:val="24"/>
          <w:sz w:val="24"/>
          <w:szCs w:val="24"/>
          <w:lang w:val="sq-AL"/>
        </w:rPr>
        <w:t>Në Vendimi nr.  00-2024-1408 (199) datë 25.07.2024) Kolegji Penal thekson“</w:t>
      </w:r>
      <w:r w:rsidR="00251387" w:rsidRPr="004F1F62">
        <w:rPr>
          <w:rFonts w:eastAsiaTheme="minorEastAsia"/>
          <w:i/>
          <w:iCs/>
          <w:kern w:val="24"/>
          <w:sz w:val="24"/>
          <w:szCs w:val="24"/>
          <w:lang w:val="sq-AL"/>
        </w:rPr>
        <w:t xml:space="preserve">Në drejtim të detyrimit </w:t>
      </w:r>
      <w:r w:rsidR="00636AAF">
        <w:rPr>
          <w:rFonts w:eastAsiaTheme="minorEastAsia"/>
          <w:i/>
          <w:iCs/>
          <w:kern w:val="24"/>
          <w:sz w:val="24"/>
          <w:szCs w:val="24"/>
          <w:lang w:val="sq-AL"/>
        </w:rPr>
        <w:t xml:space="preserve">që gjykatat kombëtare kanë </w:t>
      </w:r>
      <w:r w:rsidR="00251387" w:rsidRPr="004F1F62">
        <w:rPr>
          <w:rFonts w:eastAsiaTheme="minorEastAsia"/>
          <w:i/>
          <w:iCs/>
          <w:kern w:val="24"/>
          <w:sz w:val="24"/>
          <w:szCs w:val="24"/>
          <w:lang w:val="sq-AL"/>
        </w:rPr>
        <w:t>në vlerësimin e çdo informacioni deri në momentin e marrjes së vendimit për ekstradim, Kolegji Penal i Gjykatës së Lartë  vleërson se gjykatat e faktit nuk janë të kufizuara në drejtim të  pranimit, vlerësimit të burime të informacionit ku si të tilla mund të përdoren dhe  raporte të organizatave ndërkombëtare por dhe vendimet e gjykatave të vendeve anëtarë të Bashkimit Europian e të Këshillit të Europës”</w:t>
      </w:r>
    </w:p>
    <w:p w:rsidR="00251387" w:rsidRPr="004F1F62" w:rsidRDefault="00AD5C65" w:rsidP="00AD5C65">
      <w:pPr>
        <w:jc w:val="both"/>
        <w:rPr>
          <w:b/>
          <w:bCs/>
          <w:sz w:val="24"/>
          <w:szCs w:val="24"/>
          <w:lang w:val="sq-AL"/>
        </w:rPr>
      </w:pPr>
      <w:r w:rsidRPr="004F1F62">
        <w:rPr>
          <w:sz w:val="24"/>
          <w:szCs w:val="24"/>
          <w:lang w:val="sq-AL"/>
        </w:rPr>
        <w:t xml:space="preserve">            48.</w:t>
      </w:r>
      <w:r w:rsidR="00636AAF">
        <w:rPr>
          <w:sz w:val="24"/>
          <w:szCs w:val="24"/>
          <w:lang w:val="sq-AL"/>
        </w:rPr>
        <w:t xml:space="preserve"> </w:t>
      </w:r>
      <w:r w:rsidR="00251387" w:rsidRPr="004F1F62">
        <w:rPr>
          <w:sz w:val="24"/>
          <w:szCs w:val="24"/>
          <w:lang w:val="sq-AL"/>
        </w:rPr>
        <w:t>Një deklaratë e thjeshtë reciprociteti nga Bangladeshi që premton, në terma të përgjithshëm, se do të trajtojë në mënyrë të favorshme kërkesat e ardhshme për ekstradim nga Shqipëria është  e pamjaftueshme krahasuar me garancitë specifike, detyruese dhe institucionalisht të besueshme të kërkuara jurisprudenca më e gjerë e KE</w:t>
      </w:r>
      <w:r w:rsidR="00636AAF">
        <w:rPr>
          <w:sz w:val="24"/>
          <w:szCs w:val="24"/>
          <w:lang w:val="sq-AL"/>
        </w:rPr>
        <w:t>DNJ-së dhe praktika e Kolegjit P</w:t>
      </w:r>
      <w:r w:rsidR="00251387" w:rsidRPr="004F1F62">
        <w:rPr>
          <w:sz w:val="24"/>
          <w:szCs w:val="24"/>
          <w:lang w:val="sq-AL"/>
        </w:rPr>
        <w:t>enal të Gjykatës së Lartë.  Reciprociteti është një rregullim politik dhe diplomatik por ai nuk përbën një angazhim juridikisht detyrues nga autoritetet kompetente se dënimi me vdekje nuk do të kërkohet apo vendoset në rastin konkret të kërkuesit. Si i tillë, në mënyrë që kërkesa të përmbushë kriteret e nenit 32</w:t>
      </w:r>
      <w:r w:rsidR="00636AAF">
        <w:rPr>
          <w:sz w:val="24"/>
          <w:szCs w:val="24"/>
          <w:lang w:val="sq-AL"/>
        </w:rPr>
        <w:t xml:space="preserve"> </w:t>
      </w:r>
      <w:r w:rsidR="00251387" w:rsidRPr="004F1F62">
        <w:rPr>
          <w:sz w:val="24"/>
          <w:szCs w:val="24"/>
          <w:lang w:val="sq-AL"/>
        </w:rPr>
        <w:t xml:space="preserve">(d) të ligjit nr. 10193, e të standardit të vendosur nga jurisprudenca e GJEDNJ, duhet dhënë garanci që ndaj të ekstraduarit nuk do të zhvillohet një procedim tjetër të karakterit plotik që mund ti rrezikojë  dhënien e një dënimi me vdekje. </w:t>
      </w:r>
    </w:p>
    <w:p w:rsidR="00251387" w:rsidRPr="004F1F62" w:rsidRDefault="00AD5C65" w:rsidP="00AD5C65">
      <w:pPr>
        <w:jc w:val="both"/>
        <w:rPr>
          <w:b/>
          <w:bCs/>
          <w:sz w:val="24"/>
          <w:szCs w:val="24"/>
          <w:lang w:val="sq-AL"/>
        </w:rPr>
      </w:pPr>
      <w:r w:rsidRPr="004F1F62">
        <w:rPr>
          <w:sz w:val="24"/>
          <w:szCs w:val="24"/>
          <w:lang w:val="sq-AL"/>
        </w:rPr>
        <w:t xml:space="preserve">            49.</w:t>
      </w:r>
      <w:r w:rsidR="00251387" w:rsidRPr="004F1F62">
        <w:rPr>
          <w:sz w:val="24"/>
          <w:szCs w:val="24"/>
          <w:lang w:val="sq-AL"/>
        </w:rPr>
        <w:t>Pala kërkuese</w:t>
      </w:r>
      <w:r w:rsidR="00251387" w:rsidRPr="004F1F62">
        <w:rPr>
          <w:b/>
          <w:bCs/>
          <w:sz w:val="24"/>
          <w:szCs w:val="24"/>
          <w:lang w:val="sq-AL"/>
        </w:rPr>
        <w:t xml:space="preserve"> </w:t>
      </w:r>
      <w:r w:rsidR="00251387" w:rsidRPr="004F1F62">
        <w:rPr>
          <w:sz w:val="24"/>
          <w:szCs w:val="24"/>
          <w:lang w:val="sq-AL"/>
        </w:rPr>
        <w:t xml:space="preserve"> duhet të ofrojë garanci përmes notave diplomatike sipas të cilave nuk do të ketë procedim tjetër përveç atij të kërkuar në aktet e kërkesës  për esktradim, e se ndaj të kërkuarit për esktradim nuk do të zbatohet ndonjë proces tjetër i karaterit politik që rrezikon dënimi</w:t>
      </w:r>
      <w:r w:rsidR="000849D0">
        <w:rPr>
          <w:sz w:val="24"/>
          <w:szCs w:val="24"/>
          <w:lang w:val="sq-AL"/>
        </w:rPr>
        <w:t>n</w:t>
      </w:r>
      <w:r w:rsidR="00251387" w:rsidRPr="004F1F62">
        <w:rPr>
          <w:sz w:val="24"/>
          <w:szCs w:val="24"/>
          <w:lang w:val="sq-AL"/>
        </w:rPr>
        <w:t xml:space="preserve"> me vdekje nuk do të kërkohej dhe as nuk do të vendosej. Këto garanci duhet të jenë  specifike, të qarta, detyruese për palën kërkuese, duke pasur parasysh në këtë rast mungesën e bashkëpunimit të dëri</w:t>
      </w:r>
      <w:r w:rsidR="000849D0">
        <w:rPr>
          <w:sz w:val="24"/>
          <w:szCs w:val="24"/>
          <w:lang w:val="sq-AL"/>
        </w:rPr>
        <w:t xml:space="preserve">tanishëm më palën kërkuese dhe </w:t>
      </w:r>
      <w:r w:rsidR="00251387" w:rsidRPr="004F1F62">
        <w:rPr>
          <w:sz w:val="24"/>
          <w:szCs w:val="24"/>
          <w:lang w:val="sq-AL"/>
        </w:rPr>
        <w:t xml:space="preserve">situatën faktike të respektimit të të drejtave të njeriut në shtetin kërkues, si dhe historikun e angazhimit të këtij shteti  në ekstradim ndaj shteteve të tjera. Mbi këtë bazë, Gjykata mund të konstatojë  se nuk ka shkelje të neneve 2 dhe 3 apo të Protokollit nr. 13 në lidhje me rrezikun e dënimit me vdekje. Ekstradimi për rastet kur  ka të dhëna se ndaj personit mund të ngrihen akuza për vepra penale që dënohen me dënim me vdekje drejt një shteti që e ruan dënimin me vdekje kërkon domosdoshmërisht sigurimin paraprak të garancive </w:t>
      </w:r>
      <w:r w:rsidR="00251387" w:rsidRPr="004F1F62">
        <w:rPr>
          <w:i/>
          <w:iCs/>
          <w:sz w:val="24"/>
          <w:szCs w:val="24"/>
          <w:lang w:val="sq-AL"/>
        </w:rPr>
        <w:t>“të mjaftueshme dhe detyruese”.</w:t>
      </w:r>
      <w:r w:rsidR="00251387" w:rsidRPr="004F1F62">
        <w:rPr>
          <w:sz w:val="24"/>
          <w:szCs w:val="24"/>
          <w:lang w:val="sq-AL"/>
        </w:rPr>
        <w:t xml:space="preserve"> Ky nuk është një kusht diskrecional, por një kërkesë absolute, si sipas së drejtës kushtetuese shqiptare ashtu edhe sipas KEDNJ-së. Në lidhje me standardin për garancitë e pranueshme GJEDNJ-ja ka zhvilluar një jurisprudencë të detajuar mbi atë se çfarë i bën garancitë kundër </w:t>
      </w:r>
      <w:r w:rsidR="00251387" w:rsidRPr="004F1F62">
        <w:rPr>
          <w:sz w:val="24"/>
          <w:szCs w:val="24"/>
          <w:lang w:val="sq-AL"/>
        </w:rPr>
        <w:lastRenderedPageBreak/>
        <w:t xml:space="preserve">dënimit me vdekje ose më gjerësisht kundër trajtimit të ndaluar juridikisht të mjaftueshme dhe garancia duhet të përmbushë këtë standard të cituar në pjesën arsyetuese të këtij vendimi. </w:t>
      </w:r>
    </w:p>
    <w:p w:rsidR="00251387" w:rsidRPr="004F1F62" w:rsidRDefault="00AD5C65" w:rsidP="00AD5C65">
      <w:pPr>
        <w:shd w:val="clear" w:color="auto" w:fill="FFFFFF"/>
        <w:jc w:val="both"/>
        <w:rPr>
          <w:sz w:val="24"/>
          <w:szCs w:val="24"/>
          <w:lang w:val="sq-AL" w:eastAsia="sq-AL"/>
        </w:rPr>
      </w:pPr>
      <w:r w:rsidRPr="004F1F62">
        <w:rPr>
          <w:sz w:val="24"/>
          <w:szCs w:val="24"/>
          <w:lang w:val="sq-AL" w:eastAsia="sq-AL"/>
        </w:rPr>
        <w:t xml:space="preserve">           50.</w:t>
      </w:r>
      <w:r w:rsidR="00251387" w:rsidRPr="004F1F62">
        <w:rPr>
          <w:sz w:val="24"/>
          <w:szCs w:val="24"/>
          <w:lang w:val="sq-AL" w:eastAsia="sq-AL"/>
        </w:rPr>
        <w:t>Prandaj prej Kolegjit, vlerësohet se  pala kërkuese në këtë rast duhet të  transmetojë garanci se subjekti i kërkuar Sahel Rana Sheikh, në të ardhmen, në vendin e shtetit kërkues, nuk do të jet</w:t>
      </w:r>
      <w:r w:rsidR="000849D0">
        <w:rPr>
          <w:sz w:val="24"/>
          <w:szCs w:val="24"/>
          <w:lang w:val="sq-AL" w:eastAsia="sq-AL"/>
        </w:rPr>
        <w:t xml:space="preserve">ë pjesë e një procedimi tjetër </w:t>
      </w:r>
      <w:r w:rsidR="00251387" w:rsidRPr="004F1F62">
        <w:rPr>
          <w:sz w:val="24"/>
          <w:szCs w:val="24"/>
          <w:lang w:val="sq-AL" w:eastAsia="sq-AL"/>
        </w:rPr>
        <w:t>të karakterit politik nd</w:t>
      </w:r>
      <w:r w:rsidR="000849D0">
        <w:rPr>
          <w:sz w:val="24"/>
          <w:szCs w:val="24"/>
          <w:lang w:val="sq-AL" w:eastAsia="sq-AL"/>
        </w:rPr>
        <w:t xml:space="preserve">ryshe nga ai i kërkuar në aktet  </w:t>
      </w:r>
      <w:r w:rsidR="00251387" w:rsidRPr="004F1F62">
        <w:rPr>
          <w:sz w:val="24"/>
          <w:szCs w:val="24"/>
          <w:lang w:val="sq-AL" w:eastAsia="sq-AL"/>
        </w:rPr>
        <w:t>e ekstradimit, që mund të sjellë një dënim të rëndë kapital të aplikuar, përtej kësaj procedure ekstradimi, për procedime të tjera penale të papërmendura në këtë kërkim, në të cilin mund të anashkaloj</w:t>
      </w:r>
      <w:r w:rsidR="000849D0" w:rsidRPr="000849D0">
        <w:rPr>
          <w:sz w:val="24"/>
          <w:szCs w:val="24"/>
          <w:lang w:val="sq-AL" w:eastAsia="sq-AL"/>
        </w:rPr>
        <w:t>ë</w:t>
      </w:r>
      <w:r w:rsidR="00251387" w:rsidRPr="004F1F62">
        <w:rPr>
          <w:sz w:val="24"/>
          <w:szCs w:val="24"/>
          <w:lang w:val="sq-AL" w:eastAsia="sq-AL"/>
        </w:rPr>
        <w:t xml:space="preserve"> përcaktimet e zgjerimit të ekstradimit të parashikuar nga neni 501 i KPP.  Prandaj në këtë kuadër është e nevojshme që garancitë e dhëna nga shteti kërkues, në mungesë të një marrëveshje</w:t>
      </w:r>
      <w:r w:rsidR="000849D0">
        <w:rPr>
          <w:sz w:val="24"/>
          <w:szCs w:val="24"/>
          <w:lang w:val="sq-AL" w:eastAsia="sq-AL"/>
        </w:rPr>
        <w:t>je</w:t>
      </w:r>
      <w:r w:rsidR="00251387" w:rsidRPr="004F1F62">
        <w:rPr>
          <w:sz w:val="24"/>
          <w:szCs w:val="24"/>
          <w:lang w:val="sq-AL" w:eastAsia="sq-AL"/>
        </w:rPr>
        <w:t>, por nën parimin e reciprocitetit duhet të paraqes</w:t>
      </w:r>
      <w:r w:rsidR="000849D0" w:rsidRPr="000849D0">
        <w:rPr>
          <w:sz w:val="24"/>
          <w:szCs w:val="24"/>
          <w:lang w:val="sq-AL" w:eastAsia="sq-AL"/>
        </w:rPr>
        <w:t>ë</w:t>
      </w:r>
      <w:r w:rsidR="00251387" w:rsidRPr="004F1F62">
        <w:rPr>
          <w:sz w:val="24"/>
          <w:szCs w:val="24"/>
          <w:lang w:val="sq-AL" w:eastAsia="sq-AL"/>
        </w:rPr>
        <w:t xml:space="preserve"> instrume</w:t>
      </w:r>
      <w:r w:rsidR="000849D0">
        <w:rPr>
          <w:sz w:val="24"/>
          <w:szCs w:val="24"/>
          <w:lang w:val="sq-AL" w:eastAsia="sq-AL"/>
        </w:rPr>
        <w:t>n</w:t>
      </w:r>
      <w:r w:rsidR="00251387" w:rsidRPr="004F1F62">
        <w:rPr>
          <w:sz w:val="24"/>
          <w:szCs w:val="24"/>
          <w:lang w:val="sq-AL" w:eastAsia="sq-AL"/>
        </w:rPr>
        <w:t>t</w:t>
      </w:r>
      <w:r w:rsidR="000849D0">
        <w:rPr>
          <w:sz w:val="24"/>
          <w:szCs w:val="24"/>
          <w:lang w:val="sq-AL" w:eastAsia="sq-AL"/>
        </w:rPr>
        <w:t>e</w:t>
      </w:r>
      <w:r w:rsidR="00251387" w:rsidRPr="004F1F62">
        <w:rPr>
          <w:sz w:val="24"/>
          <w:szCs w:val="24"/>
          <w:lang w:val="sq-AL" w:eastAsia="sq-AL"/>
        </w:rPr>
        <w:t xml:space="preserve"> të plotë garantues në mënyrë që </w:t>
      </w:r>
      <w:r w:rsidR="00251387" w:rsidRPr="004F1F62">
        <w:rPr>
          <w:sz w:val="24"/>
          <w:szCs w:val="24"/>
          <w:lang w:val="sq-AL"/>
        </w:rPr>
        <w:t>Gjykata të jetë në gjendje të vlerësojë nëse, në dritën e praktikave të shtetit kërkues, garancitë mund të mbështeten realisht. Përsa kohë kemi të bëjmë me domosdoshmërinë e paraqitjes së akteve të tjera shtesë, ku në kompetencën e saj funksionale gjykata e apelit, si gjykatë fakti mund dhe duhet të kërkoj</w:t>
      </w:r>
      <w:r w:rsidR="000849D0" w:rsidRPr="000849D0">
        <w:rPr>
          <w:sz w:val="24"/>
          <w:szCs w:val="24"/>
          <w:lang w:val="sq-AL"/>
        </w:rPr>
        <w:t>ë</w:t>
      </w:r>
      <w:r w:rsidR="00251387" w:rsidRPr="004F1F62">
        <w:rPr>
          <w:sz w:val="24"/>
          <w:szCs w:val="24"/>
          <w:lang w:val="sq-AL"/>
        </w:rPr>
        <w:t xml:space="preserve"> paraqitjen e këtyre garancive, prej këtij Kolegji, vlerësohet se çështja duhet të prishet dhe të kthehet për rishqyrtim pranë Gjykatës së Apelit të Juridiksionit të Përgjithshëm me qëllim përmbushjen e këtyre konstatimeve të arsyetuara më lart.</w:t>
      </w:r>
    </w:p>
    <w:p w:rsidR="00251387" w:rsidRPr="004F1F62" w:rsidRDefault="00251387" w:rsidP="00251387">
      <w:pPr>
        <w:widowControl w:val="0"/>
        <w:shd w:val="clear" w:color="auto" w:fill="FFFFFF"/>
        <w:adjustRightInd w:val="0"/>
        <w:ind w:firstLine="360"/>
        <w:jc w:val="both"/>
        <w:rPr>
          <w:b/>
          <w:spacing w:val="-3"/>
          <w:sz w:val="24"/>
          <w:szCs w:val="24"/>
          <w:lang w:val="sq-AL"/>
        </w:rPr>
      </w:pPr>
      <w:r w:rsidRPr="004F1F62">
        <w:rPr>
          <w:sz w:val="24"/>
          <w:szCs w:val="24"/>
          <w:lang w:val="sq-AL"/>
        </w:rPr>
        <w:tab/>
      </w:r>
    </w:p>
    <w:p w:rsidR="00251387" w:rsidRPr="004F1F62" w:rsidRDefault="00251387" w:rsidP="00251387">
      <w:pPr>
        <w:jc w:val="center"/>
        <w:rPr>
          <w:b/>
          <w:bCs/>
          <w:sz w:val="24"/>
          <w:szCs w:val="24"/>
          <w:lang w:val="sq-AL"/>
        </w:rPr>
      </w:pPr>
      <w:r w:rsidRPr="004F1F62">
        <w:rPr>
          <w:b/>
          <w:bCs/>
          <w:sz w:val="24"/>
          <w:szCs w:val="24"/>
          <w:lang w:val="sq-AL"/>
        </w:rPr>
        <w:t>PËR KËTO ARSYE</w:t>
      </w:r>
      <w:r w:rsidR="00AD5C65" w:rsidRPr="004F1F62">
        <w:rPr>
          <w:b/>
          <w:bCs/>
          <w:sz w:val="24"/>
          <w:szCs w:val="24"/>
          <w:lang w:val="sq-AL"/>
        </w:rPr>
        <w:t>,</w:t>
      </w:r>
    </w:p>
    <w:p w:rsidR="00251387" w:rsidRPr="004F1F62" w:rsidRDefault="00251387" w:rsidP="00251387">
      <w:pPr>
        <w:rPr>
          <w:bCs/>
          <w:sz w:val="24"/>
          <w:szCs w:val="24"/>
          <w:lang w:val="sq-AL"/>
        </w:rPr>
      </w:pPr>
    </w:p>
    <w:p w:rsidR="00251387" w:rsidRPr="004F1F62" w:rsidRDefault="00251387" w:rsidP="00251387">
      <w:pPr>
        <w:ind w:firstLine="720"/>
        <w:jc w:val="both"/>
        <w:rPr>
          <w:sz w:val="24"/>
          <w:szCs w:val="24"/>
          <w:lang w:val="sq-AL"/>
        </w:rPr>
      </w:pPr>
      <w:r w:rsidRPr="004F1F62">
        <w:rPr>
          <w:sz w:val="24"/>
          <w:szCs w:val="24"/>
          <w:lang w:val="sq-AL"/>
        </w:rPr>
        <w:t>Kolegji Penal i Gjykatës së Lartë, bazuar në nenin 441, pika 1, shkronja "c" të Kodit të Procedurës Penale,</w:t>
      </w:r>
    </w:p>
    <w:p w:rsidR="00251387" w:rsidRPr="004F1F62" w:rsidRDefault="00251387" w:rsidP="00251387">
      <w:pPr>
        <w:jc w:val="both"/>
        <w:rPr>
          <w:sz w:val="24"/>
          <w:szCs w:val="24"/>
          <w:lang w:val="sq-AL"/>
        </w:rPr>
      </w:pPr>
    </w:p>
    <w:p w:rsidR="00251387" w:rsidRPr="004F1F62" w:rsidRDefault="00251387" w:rsidP="00251387">
      <w:pPr>
        <w:jc w:val="center"/>
        <w:rPr>
          <w:b/>
          <w:bCs/>
          <w:sz w:val="24"/>
          <w:szCs w:val="24"/>
          <w:lang w:val="sq-AL"/>
        </w:rPr>
      </w:pPr>
      <w:r w:rsidRPr="004F1F62">
        <w:rPr>
          <w:b/>
          <w:bCs/>
          <w:sz w:val="24"/>
          <w:szCs w:val="24"/>
          <w:lang w:val="sq-AL"/>
        </w:rPr>
        <w:t>V E N D O S I</w:t>
      </w:r>
      <w:r w:rsidR="00AD5C65" w:rsidRPr="004F1F62">
        <w:rPr>
          <w:b/>
          <w:bCs/>
          <w:sz w:val="24"/>
          <w:szCs w:val="24"/>
          <w:lang w:val="sq-AL"/>
        </w:rPr>
        <w:t>:</w:t>
      </w:r>
    </w:p>
    <w:p w:rsidR="00251387" w:rsidRPr="004F1F62" w:rsidRDefault="00251387" w:rsidP="00251387">
      <w:pPr>
        <w:rPr>
          <w:sz w:val="24"/>
          <w:szCs w:val="24"/>
          <w:lang w:val="sq-AL"/>
        </w:rPr>
      </w:pPr>
    </w:p>
    <w:p w:rsidR="00251387" w:rsidRPr="004F1F62" w:rsidRDefault="00251387" w:rsidP="00251387">
      <w:pPr>
        <w:ind w:firstLine="720"/>
        <w:jc w:val="both"/>
        <w:rPr>
          <w:sz w:val="24"/>
          <w:szCs w:val="24"/>
          <w:lang w:val="sq-AL"/>
        </w:rPr>
      </w:pPr>
      <w:r w:rsidRPr="004F1F62">
        <w:rPr>
          <w:sz w:val="24"/>
          <w:szCs w:val="24"/>
          <w:shd w:val="clear" w:color="auto" w:fill="FFFFFF"/>
          <w:lang w:val="sq-AL"/>
        </w:rPr>
        <w:t xml:space="preserve">Prishjen e vendimit </w:t>
      </w:r>
      <w:r w:rsidRPr="004F1F62">
        <w:rPr>
          <w:sz w:val="24"/>
          <w:szCs w:val="24"/>
          <w:lang w:val="sq-AL"/>
        </w:rPr>
        <w:t>nr. 2239</w:t>
      </w:r>
      <w:r w:rsidR="00CD5319" w:rsidRPr="004F1F62">
        <w:rPr>
          <w:sz w:val="24"/>
          <w:szCs w:val="24"/>
          <w:lang w:val="sq-AL"/>
        </w:rPr>
        <w:t xml:space="preserve"> </w:t>
      </w:r>
      <w:r w:rsidRPr="004F1F62">
        <w:rPr>
          <w:sz w:val="24"/>
          <w:szCs w:val="24"/>
          <w:lang w:val="sq-AL"/>
        </w:rPr>
        <w:t>(30-2025-8205), datë 15.10.2025, të Gjykatës së Apelit të Juridiksionit të Përgjithshëm</w:t>
      </w:r>
      <w:r w:rsidRPr="004F1F62">
        <w:rPr>
          <w:sz w:val="24"/>
          <w:szCs w:val="24"/>
          <w:shd w:val="clear" w:color="auto" w:fill="FFFFFF"/>
          <w:lang w:val="sq-AL"/>
        </w:rPr>
        <w:t xml:space="preserve"> dhe dërgimin për rishqyrtim në këtë gjykatë</w:t>
      </w:r>
      <w:r w:rsidR="000849D0">
        <w:rPr>
          <w:sz w:val="24"/>
          <w:szCs w:val="24"/>
          <w:shd w:val="clear" w:color="auto" w:fill="FFFFFF"/>
          <w:lang w:val="sq-AL"/>
        </w:rPr>
        <w:t>,</w:t>
      </w:r>
      <w:r w:rsidRPr="004F1F62">
        <w:rPr>
          <w:sz w:val="24"/>
          <w:szCs w:val="24"/>
          <w:shd w:val="clear" w:color="auto" w:fill="FFFFFF"/>
          <w:lang w:val="sq-AL"/>
        </w:rPr>
        <w:t xml:space="preserve"> me tjetër trup gjykues</w:t>
      </w:r>
      <w:r w:rsidRPr="004F1F62">
        <w:rPr>
          <w:sz w:val="24"/>
          <w:szCs w:val="24"/>
          <w:lang w:val="sq-AL"/>
        </w:rPr>
        <w:t>.</w:t>
      </w:r>
    </w:p>
    <w:p w:rsidR="00D04BCD" w:rsidRPr="004F1F62" w:rsidRDefault="009217E6" w:rsidP="00251387">
      <w:pPr>
        <w:ind w:left="6480"/>
        <w:jc w:val="both"/>
        <w:rPr>
          <w:b/>
          <w:noProof/>
          <w:sz w:val="24"/>
          <w:szCs w:val="24"/>
          <w:lang w:val="sq-AL"/>
        </w:rPr>
      </w:pPr>
      <w:r w:rsidRPr="004F1F62">
        <w:rPr>
          <w:b/>
          <w:noProof/>
          <w:sz w:val="24"/>
          <w:szCs w:val="24"/>
          <w:lang w:val="sq-AL"/>
        </w:rPr>
        <w:t>T</w:t>
      </w:r>
      <w:r w:rsidR="00D04BCD" w:rsidRPr="004F1F62">
        <w:rPr>
          <w:b/>
          <w:noProof/>
          <w:sz w:val="24"/>
          <w:szCs w:val="24"/>
          <w:lang w:val="sq-AL"/>
        </w:rPr>
        <w:t xml:space="preserve">iranë, më </w:t>
      </w:r>
      <w:r w:rsidR="00251387" w:rsidRPr="004F1F62">
        <w:rPr>
          <w:b/>
          <w:noProof/>
          <w:sz w:val="24"/>
          <w:szCs w:val="24"/>
          <w:lang w:val="sq-AL"/>
        </w:rPr>
        <w:t>14</w:t>
      </w:r>
      <w:r w:rsidR="00B23FF7" w:rsidRPr="004F1F62">
        <w:rPr>
          <w:b/>
          <w:noProof/>
          <w:sz w:val="24"/>
          <w:szCs w:val="24"/>
          <w:lang w:val="sq-AL"/>
        </w:rPr>
        <w:t>.04</w:t>
      </w:r>
      <w:r w:rsidR="005D7B26" w:rsidRPr="004F1F62">
        <w:rPr>
          <w:b/>
          <w:noProof/>
          <w:sz w:val="24"/>
          <w:szCs w:val="24"/>
          <w:lang w:val="sq-AL"/>
        </w:rPr>
        <w:t>.2026</w:t>
      </w:r>
    </w:p>
    <w:p w:rsidR="00DB073C" w:rsidRPr="004F1F62" w:rsidRDefault="00DB073C" w:rsidP="00251387">
      <w:pPr>
        <w:jc w:val="both"/>
        <w:rPr>
          <w:noProof/>
          <w:sz w:val="24"/>
          <w:szCs w:val="24"/>
          <w:lang w:val="sq-AL"/>
        </w:rPr>
      </w:pPr>
    </w:p>
    <w:sectPr w:rsidR="00DB073C" w:rsidRPr="004F1F62" w:rsidSect="00AD5C65">
      <w:footerReference w:type="default" r:id="rId17"/>
      <w:pgSz w:w="11906" w:h="16838"/>
      <w:pgMar w:top="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F08" w:rsidRDefault="001E2F08" w:rsidP="00540ACF">
      <w:r>
        <w:separator/>
      </w:r>
    </w:p>
  </w:endnote>
  <w:endnote w:type="continuationSeparator" w:id="0">
    <w:p w:rsidR="001E2F08" w:rsidRDefault="001E2F08" w:rsidP="00540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64580"/>
      <w:docPartObj>
        <w:docPartGallery w:val="Page Numbers (Bottom of Page)"/>
        <w:docPartUnique/>
      </w:docPartObj>
    </w:sdtPr>
    <w:sdtEndPr/>
    <w:sdtContent>
      <w:p w:rsidR="00E41EAD" w:rsidRDefault="001E2F08">
        <w:pPr>
          <w:pStyle w:val="Footer"/>
          <w:jc w:val="right"/>
        </w:pPr>
        <w:r>
          <w:fldChar w:fldCharType="begin"/>
        </w:r>
        <w:r>
          <w:instrText xml:space="preserve"> PAGE   \* MERGEFORMAT </w:instrText>
        </w:r>
        <w:r>
          <w:fldChar w:fldCharType="separate"/>
        </w:r>
        <w:r w:rsidR="00A242D3">
          <w:rPr>
            <w:noProof/>
          </w:rPr>
          <w:t>2</w:t>
        </w:r>
        <w:r>
          <w:rPr>
            <w:noProof/>
          </w:rPr>
          <w:fldChar w:fldCharType="end"/>
        </w:r>
      </w:p>
    </w:sdtContent>
  </w:sdt>
  <w:p w:rsidR="00E41EAD" w:rsidRPr="00B2518C" w:rsidRDefault="00E41EAD">
    <w:pPr>
      <w:pStyle w:val="Footer"/>
      <w:rPr>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F08" w:rsidRDefault="001E2F08" w:rsidP="00540ACF">
      <w:r>
        <w:separator/>
      </w:r>
    </w:p>
  </w:footnote>
  <w:footnote w:type="continuationSeparator" w:id="0">
    <w:p w:rsidR="001E2F08" w:rsidRDefault="001E2F08" w:rsidP="00540ACF">
      <w:r>
        <w:continuationSeparator/>
      </w:r>
    </w:p>
  </w:footnote>
  <w:footnote w:id="1">
    <w:p w:rsidR="00E41EAD" w:rsidRDefault="00E41EAD" w:rsidP="00251387">
      <w:pPr>
        <w:pStyle w:val="FootnoteText"/>
        <w:jc w:val="both"/>
      </w:pPr>
      <w:r>
        <w:rPr>
          <w:rStyle w:val="FootnoteReference"/>
          <w:rFonts w:eastAsia="MS Mincho"/>
        </w:rPr>
        <w:footnoteRef/>
      </w:r>
      <w:r>
        <w:t xml:space="preserve"> Death Penalty Research Unit. “Death Penalty in Bangladesh.” University of Oxfo</w:t>
      </w:r>
      <w:r w:rsidR="00636AAF">
        <w:t xml:space="preserve">rd, Faculty of Law Blog. Korrik 2021. </w:t>
      </w:r>
      <w:hyperlink r:id="rId1" w:history="1">
        <w:r w:rsidR="00636AAF" w:rsidRPr="002B13C5">
          <w:rPr>
            <w:rStyle w:val="Hyperlink"/>
            <w:rFonts w:eastAsia="MS Mincho"/>
          </w:rPr>
          <w:t>https://blogs.laë.ox.ac.uk/research-and-subject-groups/death-penalty-research unit/blog/2021/07/death-penalty-bangladesh</w:t>
        </w:r>
      </w:hyperlink>
    </w:p>
  </w:footnote>
  <w:footnote w:id="2">
    <w:p w:rsidR="00E41EAD" w:rsidRDefault="00E41EAD" w:rsidP="00251387">
      <w:pPr>
        <w:pStyle w:val="FootnoteText"/>
        <w:jc w:val="both"/>
      </w:pPr>
      <w:r>
        <w:rPr>
          <w:rStyle w:val="FootnoteReference"/>
          <w:rFonts w:eastAsia="MS Mincho"/>
        </w:rPr>
        <w:footnoteRef/>
      </w:r>
      <w:r>
        <w:t xml:space="preserve"> Death Penalty Information Center, “Executions Around the Ëorld,” Death Penalty Information Center, aksesuar më 10 prill 2026, </w:t>
      </w:r>
      <w:hyperlink r:id="rId2" w:history="1">
        <w:r w:rsidRPr="009A150F">
          <w:rPr>
            <w:rStyle w:val="Hyperlink"/>
            <w:rFonts w:eastAsia="MS Mincho"/>
          </w:rPr>
          <w:t>https://deathpenaltyinfo.org/policy-issues/policy/international/executions-around-the-</w:t>
        </w:r>
        <w:r>
          <w:rPr>
            <w:rStyle w:val="Hyperlink"/>
            <w:rFonts w:eastAsia="MS Mincho"/>
          </w:rPr>
          <w:t>ë</w:t>
        </w:r>
        <w:r w:rsidRPr="009A150F">
          <w:rPr>
            <w:rStyle w:val="Hyperlink"/>
            <w:rFonts w:eastAsia="MS Mincho"/>
          </w:rPr>
          <w:t>orld</w:t>
        </w:r>
      </w:hyperlink>
      <w:r>
        <w:t xml:space="preserve"> shiko dhe Amnesty International Raporti per Denimet me vdekje dhe ekzekutimet per vitin 2023 </w:t>
      </w:r>
      <w:hyperlink r:id="rId3" w:history="1">
        <w:r w:rsidRPr="009A150F">
          <w:rPr>
            <w:rStyle w:val="Hyperlink"/>
            <w:rFonts w:eastAsia="MS Mincho"/>
          </w:rPr>
          <w:t>https://</w:t>
        </w:r>
        <w:r>
          <w:rPr>
            <w:rStyle w:val="Hyperlink"/>
            <w:rFonts w:eastAsia="MS Mincho"/>
          </w:rPr>
          <w:t>ëëë</w:t>
        </w:r>
        <w:r w:rsidRPr="009A150F">
          <w:rPr>
            <w:rStyle w:val="Hyperlink"/>
            <w:rFonts w:eastAsia="MS Mincho"/>
          </w:rPr>
          <w:t>.amnesty.org/en/documents/act50/7952/2024/en/</w:t>
        </w:r>
      </w:hyperlink>
      <w:r>
        <w:t xml:space="preserve"> </w:t>
      </w:r>
    </w:p>
    <w:p w:rsidR="00E41EAD" w:rsidRDefault="00E41EAD" w:rsidP="00251387">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152C9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350F6"/>
    <w:multiLevelType w:val="hybridMultilevel"/>
    <w:tmpl w:val="A7F4C57E"/>
    <w:lvl w:ilvl="0" w:tplc="3412E158">
      <w:numFmt w:val="bullet"/>
      <w:lvlText w:val="-"/>
      <w:lvlJc w:val="left"/>
      <w:pPr>
        <w:ind w:left="720" w:hanging="360"/>
      </w:pPr>
      <w:rPr>
        <w:rFonts w:ascii="Times New Roman" w:eastAsia="Bookman Old Style" w:hAnsi="Times New Roman" w:cs="Times New Roman"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15:restartNumberingAfterBreak="0">
    <w:nsid w:val="3A9513BA"/>
    <w:multiLevelType w:val="hybridMultilevel"/>
    <w:tmpl w:val="D07A62F6"/>
    <w:lvl w:ilvl="0" w:tplc="CD8C22AE">
      <w:start w:val="2"/>
      <w:numFmt w:val="bullet"/>
      <w:lvlText w:val="-"/>
      <w:lvlJc w:val="left"/>
      <w:pPr>
        <w:ind w:left="1080" w:hanging="360"/>
      </w:pPr>
      <w:rPr>
        <w:rFonts w:ascii="Times New Roman" w:eastAsia="MS Mincho"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3" w15:restartNumberingAfterBreak="0">
    <w:nsid w:val="3BD10FE7"/>
    <w:multiLevelType w:val="hybridMultilevel"/>
    <w:tmpl w:val="D2B642B2"/>
    <w:lvl w:ilvl="0" w:tplc="03CC1E9C">
      <w:numFmt w:val="bullet"/>
      <w:pStyle w:val="metushistyle"/>
      <w:lvlText w:val="-"/>
      <w:lvlJc w:val="left"/>
      <w:pPr>
        <w:ind w:left="720" w:hanging="360"/>
      </w:pPr>
      <w:rPr>
        <w:rFonts w:ascii="Times New Roman" w:eastAsia="Times New Roman" w:hAnsi="Times New Roman" w:cs="Times New Roman"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646542D1"/>
    <w:multiLevelType w:val="multilevel"/>
    <w:tmpl w:val="ECA06ED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F6A48E1"/>
    <w:multiLevelType w:val="multilevel"/>
    <w:tmpl w:val="F9BEB0E6"/>
    <w:lvl w:ilvl="0">
      <w:start w:val="21"/>
      <w:numFmt w:val="decimal"/>
      <w:lvlText w:val="%1."/>
      <w:lvlJc w:val="left"/>
      <w:pPr>
        <w:ind w:left="720" w:hanging="360"/>
      </w:pPr>
      <w:rPr>
        <w:rFonts w:hint="default"/>
        <w:i w:val="0"/>
      </w:rPr>
    </w:lvl>
    <w:lvl w:ilvl="1">
      <w:start w:val="5"/>
      <w:numFmt w:val="decimal"/>
      <w:isLgl/>
      <w:lvlText w:val="%1.%2."/>
      <w:lvlJc w:val="left"/>
      <w:pPr>
        <w:ind w:left="720" w:hanging="360"/>
      </w:pPr>
      <w:rPr>
        <w:rFonts w:eastAsia="MS Mincho" w:hint="default"/>
        <w:i w:val="0"/>
        <w:color w:val="000000"/>
      </w:rPr>
    </w:lvl>
    <w:lvl w:ilvl="2">
      <w:start w:val="1"/>
      <w:numFmt w:val="decimal"/>
      <w:isLgl/>
      <w:lvlText w:val="%1.%2.%3."/>
      <w:lvlJc w:val="left"/>
      <w:pPr>
        <w:ind w:left="1080" w:hanging="720"/>
      </w:pPr>
      <w:rPr>
        <w:rFonts w:eastAsia="MS Mincho" w:hint="default"/>
        <w:i w:val="0"/>
        <w:color w:val="000000"/>
      </w:rPr>
    </w:lvl>
    <w:lvl w:ilvl="3">
      <w:start w:val="1"/>
      <w:numFmt w:val="decimal"/>
      <w:isLgl/>
      <w:lvlText w:val="%1.%2.%3.%4."/>
      <w:lvlJc w:val="left"/>
      <w:pPr>
        <w:ind w:left="1080" w:hanging="720"/>
      </w:pPr>
      <w:rPr>
        <w:rFonts w:eastAsia="MS Mincho" w:hint="default"/>
        <w:i w:val="0"/>
        <w:color w:val="000000"/>
      </w:rPr>
    </w:lvl>
    <w:lvl w:ilvl="4">
      <w:start w:val="1"/>
      <w:numFmt w:val="decimal"/>
      <w:isLgl/>
      <w:lvlText w:val="%1.%2.%3.%4.%5."/>
      <w:lvlJc w:val="left"/>
      <w:pPr>
        <w:ind w:left="1440" w:hanging="1080"/>
      </w:pPr>
      <w:rPr>
        <w:rFonts w:eastAsia="MS Mincho" w:hint="default"/>
        <w:i w:val="0"/>
        <w:color w:val="000000"/>
      </w:rPr>
    </w:lvl>
    <w:lvl w:ilvl="5">
      <w:start w:val="1"/>
      <w:numFmt w:val="decimal"/>
      <w:isLgl/>
      <w:lvlText w:val="%1.%2.%3.%4.%5.%6."/>
      <w:lvlJc w:val="left"/>
      <w:pPr>
        <w:ind w:left="1440" w:hanging="1080"/>
      </w:pPr>
      <w:rPr>
        <w:rFonts w:eastAsia="MS Mincho" w:hint="default"/>
        <w:i w:val="0"/>
        <w:color w:val="000000"/>
      </w:rPr>
    </w:lvl>
    <w:lvl w:ilvl="6">
      <w:start w:val="1"/>
      <w:numFmt w:val="decimal"/>
      <w:isLgl/>
      <w:lvlText w:val="%1.%2.%3.%4.%5.%6.%7."/>
      <w:lvlJc w:val="left"/>
      <w:pPr>
        <w:ind w:left="1800" w:hanging="1440"/>
      </w:pPr>
      <w:rPr>
        <w:rFonts w:eastAsia="MS Mincho" w:hint="default"/>
        <w:i w:val="0"/>
        <w:color w:val="000000"/>
      </w:rPr>
    </w:lvl>
    <w:lvl w:ilvl="7">
      <w:start w:val="1"/>
      <w:numFmt w:val="decimal"/>
      <w:isLgl/>
      <w:lvlText w:val="%1.%2.%3.%4.%5.%6.%7.%8."/>
      <w:lvlJc w:val="left"/>
      <w:pPr>
        <w:ind w:left="1800" w:hanging="1440"/>
      </w:pPr>
      <w:rPr>
        <w:rFonts w:eastAsia="MS Mincho" w:hint="default"/>
        <w:i w:val="0"/>
        <w:color w:val="000000"/>
      </w:rPr>
    </w:lvl>
    <w:lvl w:ilvl="8">
      <w:start w:val="1"/>
      <w:numFmt w:val="decimal"/>
      <w:isLgl/>
      <w:lvlText w:val="%1.%2.%3.%4.%5.%6.%7.%8.%9."/>
      <w:lvlJc w:val="left"/>
      <w:pPr>
        <w:ind w:left="2160" w:hanging="1800"/>
      </w:pPr>
      <w:rPr>
        <w:rFonts w:eastAsia="MS Mincho" w:hint="default"/>
        <w:i w:val="0"/>
        <w:color w:val="000000"/>
      </w:rPr>
    </w:lvl>
  </w:abstractNum>
  <w:num w:numId="1">
    <w:abstractNumId w:val="0"/>
  </w:num>
  <w:num w:numId="2">
    <w:abstractNumId w:val="3"/>
  </w:num>
  <w:num w:numId="3">
    <w:abstractNumId w:val="4"/>
  </w:num>
  <w:num w:numId="4">
    <w:abstractNumId w:val="1"/>
  </w:num>
  <w:num w:numId="5">
    <w:abstractNumId w:val="5"/>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9E0"/>
    <w:rsid w:val="0000004A"/>
    <w:rsid w:val="00002A81"/>
    <w:rsid w:val="00003F4E"/>
    <w:rsid w:val="00005818"/>
    <w:rsid w:val="00011E5E"/>
    <w:rsid w:val="0001327D"/>
    <w:rsid w:val="00014F16"/>
    <w:rsid w:val="0001599F"/>
    <w:rsid w:val="000215A2"/>
    <w:rsid w:val="0002297D"/>
    <w:rsid w:val="00022CD5"/>
    <w:rsid w:val="00023003"/>
    <w:rsid w:val="00024E1A"/>
    <w:rsid w:val="00024FE8"/>
    <w:rsid w:val="0002687E"/>
    <w:rsid w:val="00026B7E"/>
    <w:rsid w:val="00026EB0"/>
    <w:rsid w:val="00030F65"/>
    <w:rsid w:val="000316D7"/>
    <w:rsid w:val="0003186E"/>
    <w:rsid w:val="00031DB7"/>
    <w:rsid w:val="00033894"/>
    <w:rsid w:val="00033A74"/>
    <w:rsid w:val="00033FA4"/>
    <w:rsid w:val="0003561C"/>
    <w:rsid w:val="00035851"/>
    <w:rsid w:val="00036A0C"/>
    <w:rsid w:val="00036B82"/>
    <w:rsid w:val="00037339"/>
    <w:rsid w:val="00037AD0"/>
    <w:rsid w:val="00037C5B"/>
    <w:rsid w:val="0004249A"/>
    <w:rsid w:val="00043C01"/>
    <w:rsid w:val="00045558"/>
    <w:rsid w:val="000461D8"/>
    <w:rsid w:val="000467B5"/>
    <w:rsid w:val="0004781D"/>
    <w:rsid w:val="00050685"/>
    <w:rsid w:val="00051706"/>
    <w:rsid w:val="00051F39"/>
    <w:rsid w:val="00054786"/>
    <w:rsid w:val="00055A35"/>
    <w:rsid w:val="00057AA8"/>
    <w:rsid w:val="000606AC"/>
    <w:rsid w:val="00061876"/>
    <w:rsid w:val="000630F8"/>
    <w:rsid w:val="00063581"/>
    <w:rsid w:val="00064F0E"/>
    <w:rsid w:val="00067EFB"/>
    <w:rsid w:val="00070ED4"/>
    <w:rsid w:val="00071D08"/>
    <w:rsid w:val="000736EA"/>
    <w:rsid w:val="00074077"/>
    <w:rsid w:val="000745C4"/>
    <w:rsid w:val="00076083"/>
    <w:rsid w:val="0007610B"/>
    <w:rsid w:val="000761B7"/>
    <w:rsid w:val="00076251"/>
    <w:rsid w:val="000773D9"/>
    <w:rsid w:val="000776E7"/>
    <w:rsid w:val="00080F1F"/>
    <w:rsid w:val="0008133B"/>
    <w:rsid w:val="00081E5B"/>
    <w:rsid w:val="000839DD"/>
    <w:rsid w:val="0008468C"/>
    <w:rsid w:val="0008473B"/>
    <w:rsid w:val="000849D0"/>
    <w:rsid w:val="000856CA"/>
    <w:rsid w:val="00085EF8"/>
    <w:rsid w:val="000903C9"/>
    <w:rsid w:val="00090771"/>
    <w:rsid w:val="00093592"/>
    <w:rsid w:val="00094E0C"/>
    <w:rsid w:val="000A15BF"/>
    <w:rsid w:val="000A1D08"/>
    <w:rsid w:val="000A1DC2"/>
    <w:rsid w:val="000A2887"/>
    <w:rsid w:val="000A3608"/>
    <w:rsid w:val="000A375D"/>
    <w:rsid w:val="000A3783"/>
    <w:rsid w:val="000A7196"/>
    <w:rsid w:val="000A7C16"/>
    <w:rsid w:val="000A7F22"/>
    <w:rsid w:val="000B1C44"/>
    <w:rsid w:val="000B24A0"/>
    <w:rsid w:val="000B3121"/>
    <w:rsid w:val="000B5635"/>
    <w:rsid w:val="000C17DF"/>
    <w:rsid w:val="000C29B7"/>
    <w:rsid w:val="000C33BD"/>
    <w:rsid w:val="000C3A06"/>
    <w:rsid w:val="000C5D8B"/>
    <w:rsid w:val="000C7571"/>
    <w:rsid w:val="000D146E"/>
    <w:rsid w:val="000D18BB"/>
    <w:rsid w:val="000D3240"/>
    <w:rsid w:val="000D4E94"/>
    <w:rsid w:val="000D542A"/>
    <w:rsid w:val="000D63FE"/>
    <w:rsid w:val="000E2F14"/>
    <w:rsid w:val="000E3830"/>
    <w:rsid w:val="000E3980"/>
    <w:rsid w:val="000E4377"/>
    <w:rsid w:val="000E5C3A"/>
    <w:rsid w:val="000E62D5"/>
    <w:rsid w:val="000E6EF2"/>
    <w:rsid w:val="000F1073"/>
    <w:rsid w:val="000F2285"/>
    <w:rsid w:val="000F419F"/>
    <w:rsid w:val="000F50DF"/>
    <w:rsid w:val="000F554F"/>
    <w:rsid w:val="000F5DCC"/>
    <w:rsid w:val="000F6327"/>
    <w:rsid w:val="000F716F"/>
    <w:rsid w:val="000F74F1"/>
    <w:rsid w:val="000F7C0A"/>
    <w:rsid w:val="00101950"/>
    <w:rsid w:val="00102580"/>
    <w:rsid w:val="001046DD"/>
    <w:rsid w:val="00105D3D"/>
    <w:rsid w:val="001064C8"/>
    <w:rsid w:val="001064F8"/>
    <w:rsid w:val="00107FBC"/>
    <w:rsid w:val="001102DB"/>
    <w:rsid w:val="001102F0"/>
    <w:rsid w:val="001102FB"/>
    <w:rsid w:val="00110B13"/>
    <w:rsid w:val="00110D7E"/>
    <w:rsid w:val="001125DC"/>
    <w:rsid w:val="00114410"/>
    <w:rsid w:val="00115D11"/>
    <w:rsid w:val="001167BD"/>
    <w:rsid w:val="00116B30"/>
    <w:rsid w:val="00120691"/>
    <w:rsid w:val="001222E9"/>
    <w:rsid w:val="00122583"/>
    <w:rsid w:val="00122927"/>
    <w:rsid w:val="00122B5A"/>
    <w:rsid w:val="00122FB3"/>
    <w:rsid w:val="001233A8"/>
    <w:rsid w:val="00124C11"/>
    <w:rsid w:val="00124D92"/>
    <w:rsid w:val="001259B7"/>
    <w:rsid w:val="00125F71"/>
    <w:rsid w:val="001321B4"/>
    <w:rsid w:val="00133111"/>
    <w:rsid w:val="0013311E"/>
    <w:rsid w:val="00133B17"/>
    <w:rsid w:val="0013433A"/>
    <w:rsid w:val="00134F00"/>
    <w:rsid w:val="001365E0"/>
    <w:rsid w:val="001365EC"/>
    <w:rsid w:val="00136AF3"/>
    <w:rsid w:val="00137AF7"/>
    <w:rsid w:val="00140235"/>
    <w:rsid w:val="00143917"/>
    <w:rsid w:val="00143A47"/>
    <w:rsid w:val="00145080"/>
    <w:rsid w:val="00145C57"/>
    <w:rsid w:val="00146451"/>
    <w:rsid w:val="0014661F"/>
    <w:rsid w:val="0014770A"/>
    <w:rsid w:val="00151A84"/>
    <w:rsid w:val="00152583"/>
    <w:rsid w:val="00154A3E"/>
    <w:rsid w:val="00155212"/>
    <w:rsid w:val="001555CC"/>
    <w:rsid w:val="00155741"/>
    <w:rsid w:val="00155832"/>
    <w:rsid w:val="001563FC"/>
    <w:rsid w:val="0016011A"/>
    <w:rsid w:val="0016063F"/>
    <w:rsid w:val="00164347"/>
    <w:rsid w:val="001643CD"/>
    <w:rsid w:val="0016447A"/>
    <w:rsid w:val="001659CE"/>
    <w:rsid w:val="001661FE"/>
    <w:rsid w:val="00167CC2"/>
    <w:rsid w:val="001705B5"/>
    <w:rsid w:val="00170CED"/>
    <w:rsid w:val="00173795"/>
    <w:rsid w:val="00175360"/>
    <w:rsid w:val="00176199"/>
    <w:rsid w:val="00177222"/>
    <w:rsid w:val="0017792C"/>
    <w:rsid w:val="001803EB"/>
    <w:rsid w:val="001808E8"/>
    <w:rsid w:val="00181646"/>
    <w:rsid w:val="00181991"/>
    <w:rsid w:val="001819A2"/>
    <w:rsid w:val="00181F2B"/>
    <w:rsid w:val="0018241D"/>
    <w:rsid w:val="00184EF5"/>
    <w:rsid w:val="00185137"/>
    <w:rsid w:val="00186A17"/>
    <w:rsid w:val="00186EAB"/>
    <w:rsid w:val="00191074"/>
    <w:rsid w:val="00192AAC"/>
    <w:rsid w:val="00192B46"/>
    <w:rsid w:val="00196A10"/>
    <w:rsid w:val="001A1B86"/>
    <w:rsid w:val="001A1C02"/>
    <w:rsid w:val="001A20D6"/>
    <w:rsid w:val="001A4ADA"/>
    <w:rsid w:val="001A4B73"/>
    <w:rsid w:val="001A6013"/>
    <w:rsid w:val="001A70E1"/>
    <w:rsid w:val="001A7DB9"/>
    <w:rsid w:val="001A7EE4"/>
    <w:rsid w:val="001B0674"/>
    <w:rsid w:val="001B0B1F"/>
    <w:rsid w:val="001B19FD"/>
    <w:rsid w:val="001B220D"/>
    <w:rsid w:val="001B3F06"/>
    <w:rsid w:val="001B6240"/>
    <w:rsid w:val="001B662D"/>
    <w:rsid w:val="001B6ADB"/>
    <w:rsid w:val="001C3A87"/>
    <w:rsid w:val="001C40B2"/>
    <w:rsid w:val="001C66C3"/>
    <w:rsid w:val="001C720D"/>
    <w:rsid w:val="001D07A2"/>
    <w:rsid w:val="001D233C"/>
    <w:rsid w:val="001D4FB4"/>
    <w:rsid w:val="001D6485"/>
    <w:rsid w:val="001E06E8"/>
    <w:rsid w:val="001E19D5"/>
    <w:rsid w:val="001E2F08"/>
    <w:rsid w:val="001E35D3"/>
    <w:rsid w:val="001E3BFA"/>
    <w:rsid w:val="001F0548"/>
    <w:rsid w:val="001F2B14"/>
    <w:rsid w:val="001F38CE"/>
    <w:rsid w:val="001F4035"/>
    <w:rsid w:val="001F40F5"/>
    <w:rsid w:val="001F4241"/>
    <w:rsid w:val="001F500D"/>
    <w:rsid w:val="00200771"/>
    <w:rsid w:val="00201F37"/>
    <w:rsid w:val="00202105"/>
    <w:rsid w:val="0020246F"/>
    <w:rsid w:val="002030C8"/>
    <w:rsid w:val="00203A35"/>
    <w:rsid w:val="00211EEC"/>
    <w:rsid w:val="00215DC1"/>
    <w:rsid w:val="0021637E"/>
    <w:rsid w:val="00216F62"/>
    <w:rsid w:val="002206D1"/>
    <w:rsid w:val="0022080B"/>
    <w:rsid w:val="00221796"/>
    <w:rsid w:val="002237B6"/>
    <w:rsid w:val="00224334"/>
    <w:rsid w:val="00224E32"/>
    <w:rsid w:val="002273F9"/>
    <w:rsid w:val="002305F2"/>
    <w:rsid w:val="002309BE"/>
    <w:rsid w:val="00230C48"/>
    <w:rsid w:val="00231C4D"/>
    <w:rsid w:val="0023270C"/>
    <w:rsid w:val="002348FC"/>
    <w:rsid w:val="00236706"/>
    <w:rsid w:val="00237FCB"/>
    <w:rsid w:val="00240BFE"/>
    <w:rsid w:val="00240D34"/>
    <w:rsid w:val="00243100"/>
    <w:rsid w:val="00244256"/>
    <w:rsid w:val="00244697"/>
    <w:rsid w:val="002456C2"/>
    <w:rsid w:val="0024694B"/>
    <w:rsid w:val="002478B4"/>
    <w:rsid w:val="00251387"/>
    <w:rsid w:val="00253470"/>
    <w:rsid w:val="00255AF8"/>
    <w:rsid w:val="002608A9"/>
    <w:rsid w:val="0026139D"/>
    <w:rsid w:val="00261B71"/>
    <w:rsid w:val="002627C8"/>
    <w:rsid w:val="00262B2D"/>
    <w:rsid w:val="0026309A"/>
    <w:rsid w:val="00267A6A"/>
    <w:rsid w:val="002702BB"/>
    <w:rsid w:val="0027117F"/>
    <w:rsid w:val="00273B9C"/>
    <w:rsid w:val="002768A9"/>
    <w:rsid w:val="00276B57"/>
    <w:rsid w:val="00276B94"/>
    <w:rsid w:val="00280D72"/>
    <w:rsid w:val="00283507"/>
    <w:rsid w:val="0028517D"/>
    <w:rsid w:val="00285684"/>
    <w:rsid w:val="002870F6"/>
    <w:rsid w:val="0028791E"/>
    <w:rsid w:val="00293480"/>
    <w:rsid w:val="0029470A"/>
    <w:rsid w:val="00296777"/>
    <w:rsid w:val="00297427"/>
    <w:rsid w:val="00297820"/>
    <w:rsid w:val="002A077A"/>
    <w:rsid w:val="002A1116"/>
    <w:rsid w:val="002A1B44"/>
    <w:rsid w:val="002A241C"/>
    <w:rsid w:val="002A2474"/>
    <w:rsid w:val="002A3786"/>
    <w:rsid w:val="002A603B"/>
    <w:rsid w:val="002A76A1"/>
    <w:rsid w:val="002B1E03"/>
    <w:rsid w:val="002B2256"/>
    <w:rsid w:val="002B2EC8"/>
    <w:rsid w:val="002B3506"/>
    <w:rsid w:val="002B3789"/>
    <w:rsid w:val="002B4808"/>
    <w:rsid w:val="002B507A"/>
    <w:rsid w:val="002B6AC6"/>
    <w:rsid w:val="002B7507"/>
    <w:rsid w:val="002B7E5A"/>
    <w:rsid w:val="002C0319"/>
    <w:rsid w:val="002C117E"/>
    <w:rsid w:val="002C191D"/>
    <w:rsid w:val="002C2962"/>
    <w:rsid w:val="002C358C"/>
    <w:rsid w:val="002C4B63"/>
    <w:rsid w:val="002C6EDD"/>
    <w:rsid w:val="002C70E6"/>
    <w:rsid w:val="002D1543"/>
    <w:rsid w:val="002D28EB"/>
    <w:rsid w:val="002D39EE"/>
    <w:rsid w:val="002D3A41"/>
    <w:rsid w:val="002D3B50"/>
    <w:rsid w:val="002D4C1F"/>
    <w:rsid w:val="002D678E"/>
    <w:rsid w:val="002E0579"/>
    <w:rsid w:val="002E0D2F"/>
    <w:rsid w:val="002E1916"/>
    <w:rsid w:val="002E1D5B"/>
    <w:rsid w:val="002E2899"/>
    <w:rsid w:val="002E5220"/>
    <w:rsid w:val="002E689E"/>
    <w:rsid w:val="002E7390"/>
    <w:rsid w:val="002F0A6A"/>
    <w:rsid w:val="002F4ECC"/>
    <w:rsid w:val="002F5E36"/>
    <w:rsid w:val="002F7240"/>
    <w:rsid w:val="002F725F"/>
    <w:rsid w:val="00300C6B"/>
    <w:rsid w:val="00300D63"/>
    <w:rsid w:val="00301864"/>
    <w:rsid w:val="00304E41"/>
    <w:rsid w:val="00305347"/>
    <w:rsid w:val="00305E8F"/>
    <w:rsid w:val="003064E6"/>
    <w:rsid w:val="003067BD"/>
    <w:rsid w:val="003074E4"/>
    <w:rsid w:val="0031024A"/>
    <w:rsid w:val="00310733"/>
    <w:rsid w:val="003111CE"/>
    <w:rsid w:val="00312D52"/>
    <w:rsid w:val="00312F25"/>
    <w:rsid w:val="00313B59"/>
    <w:rsid w:val="0031483B"/>
    <w:rsid w:val="003262E1"/>
    <w:rsid w:val="00326A3A"/>
    <w:rsid w:val="00326A90"/>
    <w:rsid w:val="003303D5"/>
    <w:rsid w:val="003308BB"/>
    <w:rsid w:val="00332814"/>
    <w:rsid w:val="0033388A"/>
    <w:rsid w:val="00334490"/>
    <w:rsid w:val="00336A15"/>
    <w:rsid w:val="00336FA5"/>
    <w:rsid w:val="003406D8"/>
    <w:rsid w:val="00340B31"/>
    <w:rsid w:val="00341666"/>
    <w:rsid w:val="00341C2F"/>
    <w:rsid w:val="003430F1"/>
    <w:rsid w:val="003434F5"/>
    <w:rsid w:val="00343AF8"/>
    <w:rsid w:val="00346B33"/>
    <w:rsid w:val="0035007A"/>
    <w:rsid w:val="00351318"/>
    <w:rsid w:val="00354D93"/>
    <w:rsid w:val="00355DC0"/>
    <w:rsid w:val="00356A15"/>
    <w:rsid w:val="00357597"/>
    <w:rsid w:val="00361384"/>
    <w:rsid w:val="00361AA8"/>
    <w:rsid w:val="00363FB7"/>
    <w:rsid w:val="003640C5"/>
    <w:rsid w:val="003663F5"/>
    <w:rsid w:val="00367B19"/>
    <w:rsid w:val="00372448"/>
    <w:rsid w:val="0037247C"/>
    <w:rsid w:val="00372993"/>
    <w:rsid w:val="003732B5"/>
    <w:rsid w:val="00373932"/>
    <w:rsid w:val="0037454F"/>
    <w:rsid w:val="00374A8F"/>
    <w:rsid w:val="003757AE"/>
    <w:rsid w:val="00377492"/>
    <w:rsid w:val="00380BE4"/>
    <w:rsid w:val="00380EAC"/>
    <w:rsid w:val="00384635"/>
    <w:rsid w:val="00385476"/>
    <w:rsid w:val="00385AE4"/>
    <w:rsid w:val="0038643E"/>
    <w:rsid w:val="00386E25"/>
    <w:rsid w:val="00387185"/>
    <w:rsid w:val="00390DDE"/>
    <w:rsid w:val="00393214"/>
    <w:rsid w:val="003935B6"/>
    <w:rsid w:val="0039451A"/>
    <w:rsid w:val="00394B9F"/>
    <w:rsid w:val="00396EA9"/>
    <w:rsid w:val="00397259"/>
    <w:rsid w:val="00397B28"/>
    <w:rsid w:val="00397D0E"/>
    <w:rsid w:val="003A13D7"/>
    <w:rsid w:val="003A1645"/>
    <w:rsid w:val="003A1679"/>
    <w:rsid w:val="003A26ED"/>
    <w:rsid w:val="003A2B42"/>
    <w:rsid w:val="003A4D33"/>
    <w:rsid w:val="003A544F"/>
    <w:rsid w:val="003A5F4B"/>
    <w:rsid w:val="003A754E"/>
    <w:rsid w:val="003B2E66"/>
    <w:rsid w:val="003B4369"/>
    <w:rsid w:val="003B4B41"/>
    <w:rsid w:val="003B5609"/>
    <w:rsid w:val="003B6624"/>
    <w:rsid w:val="003B6B96"/>
    <w:rsid w:val="003B6E2C"/>
    <w:rsid w:val="003B769C"/>
    <w:rsid w:val="003C0A0E"/>
    <w:rsid w:val="003C4285"/>
    <w:rsid w:val="003C64F4"/>
    <w:rsid w:val="003C76E5"/>
    <w:rsid w:val="003D2D25"/>
    <w:rsid w:val="003D58C7"/>
    <w:rsid w:val="003D5C23"/>
    <w:rsid w:val="003D6618"/>
    <w:rsid w:val="003D69E0"/>
    <w:rsid w:val="003D6DE9"/>
    <w:rsid w:val="003E0935"/>
    <w:rsid w:val="003E1084"/>
    <w:rsid w:val="003E177A"/>
    <w:rsid w:val="003E1F30"/>
    <w:rsid w:val="003E3228"/>
    <w:rsid w:val="003E3526"/>
    <w:rsid w:val="003E5A38"/>
    <w:rsid w:val="003E6201"/>
    <w:rsid w:val="003E66A7"/>
    <w:rsid w:val="003F1704"/>
    <w:rsid w:val="003F5534"/>
    <w:rsid w:val="003F6211"/>
    <w:rsid w:val="003F6303"/>
    <w:rsid w:val="003F6AD8"/>
    <w:rsid w:val="003F7037"/>
    <w:rsid w:val="003F7E7E"/>
    <w:rsid w:val="00404621"/>
    <w:rsid w:val="0041084C"/>
    <w:rsid w:val="00410951"/>
    <w:rsid w:val="0041236C"/>
    <w:rsid w:val="00414FA4"/>
    <w:rsid w:val="00420D4B"/>
    <w:rsid w:val="00421A34"/>
    <w:rsid w:val="004247A7"/>
    <w:rsid w:val="0042564C"/>
    <w:rsid w:val="00425ABF"/>
    <w:rsid w:val="00426596"/>
    <w:rsid w:val="00426980"/>
    <w:rsid w:val="00430E39"/>
    <w:rsid w:val="00433CEC"/>
    <w:rsid w:val="004340E6"/>
    <w:rsid w:val="00434F98"/>
    <w:rsid w:val="004353DB"/>
    <w:rsid w:val="0043550C"/>
    <w:rsid w:val="00437ECF"/>
    <w:rsid w:val="00440845"/>
    <w:rsid w:val="0044284F"/>
    <w:rsid w:val="00442BC7"/>
    <w:rsid w:val="00443849"/>
    <w:rsid w:val="00445B0A"/>
    <w:rsid w:val="00447FAC"/>
    <w:rsid w:val="004516EE"/>
    <w:rsid w:val="0045227C"/>
    <w:rsid w:val="004526AC"/>
    <w:rsid w:val="00456489"/>
    <w:rsid w:val="00456739"/>
    <w:rsid w:val="00456807"/>
    <w:rsid w:val="00456BBE"/>
    <w:rsid w:val="004572B6"/>
    <w:rsid w:val="00457EE1"/>
    <w:rsid w:val="004625C3"/>
    <w:rsid w:val="00462ADC"/>
    <w:rsid w:val="00463145"/>
    <w:rsid w:val="00463359"/>
    <w:rsid w:val="00464FBF"/>
    <w:rsid w:val="004654BD"/>
    <w:rsid w:val="00466D85"/>
    <w:rsid w:val="004725CE"/>
    <w:rsid w:val="00473459"/>
    <w:rsid w:val="0047393A"/>
    <w:rsid w:val="0047475D"/>
    <w:rsid w:val="0047553D"/>
    <w:rsid w:val="00475C06"/>
    <w:rsid w:val="00480A2C"/>
    <w:rsid w:val="00480ED1"/>
    <w:rsid w:val="0048233D"/>
    <w:rsid w:val="00482809"/>
    <w:rsid w:val="00483A18"/>
    <w:rsid w:val="00484052"/>
    <w:rsid w:val="00485DD9"/>
    <w:rsid w:val="00486DBF"/>
    <w:rsid w:val="004906ED"/>
    <w:rsid w:val="00491A37"/>
    <w:rsid w:val="00491F13"/>
    <w:rsid w:val="0049236F"/>
    <w:rsid w:val="00492475"/>
    <w:rsid w:val="00492DBC"/>
    <w:rsid w:val="00493460"/>
    <w:rsid w:val="004936E1"/>
    <w:rsid w:val="00493D23"/>
    <w:rsid w:val="00493D2C"/>
    <w:rsid w:val="00494625"/>
    <w:rsid w:val="00495421"/>
    <w:rsid w:val="004958AC"/>
    <w:rsid w:val="00497D6B"/>
    <w:rsid w:val="004A07E4"/>
    <w:rsid w:val="004A08DC"/>
    <w:rsid w:val="004A09DA"/>
    <w:rsid w:val="004A0F40"/>
    <w:rsid w:val="004A2F12"/>
    <w:rsid w:val="004A3D62"/>
    <w:rsid w:val="004A5397"/>
    <w:rsid w:val="004A66C6"/>
    <w:rsid w:val="004A78C0"/>
    <w:rsid w:val="004B08C8"/>
    <w:rsid w:val="004B2D24"/>
    <w:rsid w:val="004B31A5"/>
    <w:rsid w:val="004B58A8"/>
    <w:rsid w:val="004B6BE9"/>
    <w:rsid w:val="004B7B75"/>
    <w:rsid w:val="004C1166"/>
    <w:rsid w:val="004C2820"/>
    <w:rsid w:val="004C38D3"/>
    <w:rsid w:val="004C3B14"/>
    <w:rsid w:val="004C4328"/>
    <w:rsid w:val="004C61A6"/>
    <w:rsid w:val="004D24B5"/>
    <w:rsid w:val="004D2926"/>
    <w:rsid w:val="004D2AFB"/>
    <w:rsid w:val="004D70BB"/>
    <w:rsid w:val="004D7B08"/>
    <w:rsid w:val="004D7FED"/>
    <w:rsid w:val="004E2D2C"/>
    <w:rsid w:val="004E3257"/>
    <w:rsid w:val="004E4507"/>
    <w:rsid w:val="004E4BCE"/>
    <w:rsid w:val="004E6A69"/>
    <w:rsid w:val="004F09EB"/>
    <w:rsid w:val="004F0F21"/>
    <w:rsid w:val="004F1BA6"/>
    <w:rsid w:val="004F1F62"/>
    <w:rsid w:val="004F27E3"/>
    <w:rsid w:val="004F3C07"/>
    <w:rsid w:val="004F62A1"/>
    <w:rsid w:val="004F7156"/>
    <w:rsid w:val="004F785C"/>
    <w:rsid w:val="00501CC7"/>
    <w:rsid w:val="00502576"/>
    <w:rsid w:val="005025B1"/>
    <w:rsid w:val="005028CC"/>
    <w:rsid w:val="0050445F"/>
    <w:rsid w:val="0050636E"/>
    <w:rsid w:val="0050669C"/>
    <w:rsid w:val="005105ED"/>
    <w:rsid w:val="0051269A"/>
    <w:rsid w:val="00512F0F"/>
    <w:rsid w:val="00514F11"/>
    <w:rsid w:val="005153DF"/>
    <w:rsid w:val="005172B1"/>
    <w:rsid w:val="00520059"/>
    <w:rsid w:val="005206E1"/>
    <w:rsid w:val="0052214A"/>
    <w:rsid w:val="00522ED0"/>
    <w:rsid w:val="00522F2F"/>
    <w:rsid w:val="005233AA"/>
    <w:rsid w:val="005242E1"/>
    <w:rsid w:val="00525BD6"/>
    <w:rsid w:val="00525DE8"/>
    <w:rsid w:val="00527386"/>
    <w:rsid w:val="005275CE"/>
    <w:rsid w:val="0052766B"/>
    <w:rsid w:val="00530096"/>
    <w:rsid w:val="00531314"/>
    <w:rsid w:val="00532275"/>
    <w:rsid w:val="0053329C"/>
    <w:rsid w:val="00533AEE"/>
    <w:rsid w:val="00536138"/>
    <w:rsid w:val="00537341"/>
    <w:rsid w:val="00540ACF"/>
    <w:rsid w:val="00543BEB"/>
    <w:rsid w:val="00543FDA"/>
    <w:rsid w:val="00545C8F"/>
    <w:rsid w:val="00546CB1"/>
    <w:rsid w:val="00547BB4"/>
    <w:rsid w:val="00555C12"/>
    <w:rsid w:val="00555CE9"/>
    <w:rsid w:val="0055687D"/>
    <w:rsid w:val="005576A2"/>
    <w:rsid w:val="005631CC"/>
    <w:rsid w:val="00565705"/>
    <w:rsid w:val="00565F64"/>
    <w:rsid w:val="005660B9"/>
    <w:rsid w:val="005662B5"/>
    <w:rsid w:val="005663E2"/>
    <w:rsid w:val="00572DF4"/>
    <w:rsid w:val="00573150"/>
    <w:rsid w:val="00577DE8"/>
    <w:rsid w:val="00580290"/>
    <w:rsid w:val="00582EA4"/>
    <w:rsid w:val="005847FF"/>
    <w:rsid w:val="00585D87"/>
    <w:rsid w:val="00586102"/>
    <w:rsid w:val="00587DEA"/>
    <w:rsid w:val="00590511"/>
    <w:rsid w:val="0059209D"/>
    <w:rsid w:val="00592389"/>
    <w:rsid w:val="00594609"/>
    <w:rsid w:val="00594FAA"/>
    <w:rsid w:val="00595173"/>
    <w:rsid w:val="00596955"/>
    <w:rsid w:val="005A008F"/>
    <w:rsid w:val="005A043D"/>
    <w:rsid w:val="005A112A"/>
    <w:rsid w:val="005A2583"/>
    <w:rsid w:val="005A7AE0"/>
    <w:rsid w:val="005B09AC"/>
    <w:rsid w:val="005B1358"/>
    <w:rsid w:val="005B1D48"/>
    <w:rsid w:val="005B2240"/>
    <w:rsid w:val="005B364A"/>
    <w:rsid w:val="005B4300"/>
    <w:rsid w:val="005B439E"/>
    <w:rsid w:val="005B4667"/>
    <w:rsid w:val="005B4E17"/>
    <w:rsid w:val="005B76D6"/>
    <w:rsid w:val="005C0568"/>
    <w:rsid w:val="005C1659"/>
    <w:rsid w:val="005C23E4"/>
    <w:rsid w:val="005C3FC3"/>
    <w:rsid w:val="005C4055"/>
    <w:rsid w:val="005C4834"/>
    <w:rsid w:val="005C514D"/>
    <w:rsid w:val="005C518D"/>
    <w:rsid w:val="005C698D"/>
    <w:rsid w:val="005C7A76"/>
    <w:rsid w:val="005D1ACB"/>
    <w:rsid w:val="005D22E0"/>
    <w:rsid w:val="005D4142"/>
    <w:rsid w:val="005D63C1"/>
    <w:rsid w:val="005D7B26"/>
    <w:rsid w:val="005E4831"/>
    <w:rsid w:val="005E525E"/>
    <w:rsid w:val="005E54B0"/>
    <w:rsid w:val="005E7896"/>
    <w:rsid w:val="005F16CA"/>
    <w:rsid w:val="005F1CDA"/>
    <w:rsid w:val="005F1DB7"/>
    <w:rsid w:val="005F3310"/>
    <w:rsid w:val="005F3958"/>
    <w:rsid w:val="006002A3"/>
    <w:rsid w:val="00602420"/>
    <w:rsid w:val="006027A4"/>
    <w:rsid w:val="006030D1"/>
    <w:rsid w:val="006048BA"/>
    <w:rsid w:val="0060499F"/>
    <w:rsid w:val="00605100"/>
    <w:rsid w:val="006056E9"/>
    <w:rsid w:val="006068AB"/>
    <w:rsid w:val="00610511"/>
    <w:rsid w:val="00610B3A"/>
    <w:rsid w:val="00611CA3"/>
    <w:rsid w:val="00611D0A"/>
    <w:rsid w:val="0061251C"/>
    <w:rsid w:val="0061714E"/>
    <w:rsid w:val="00617460"/>
    <w:rsid w:val="00617859"/>
    <w:rsid w:val="00617E9F"/>
    <w:rsid w:val="00621A81"/>
    <w:rsid w:val="00622757"/>
    <w:rsid w:val="00622F9A"/>
    <w:rsid w:val="00623285"/>
    <w:rsid w:val="00623422"/>
    <w:rsid w:val="00623824"/>
    <w:rsid w:val="00631241"/>
    <w:rsid w:val="006312E1"/>
    <w:rsid w:val="00632829"/>
    <w:rsid w:val="00632AFE"/>
    <w:rsid w:val="00636AAF"/>
    <w:rsid w:val="00637718"/>
    <w:rsid w:val="00642B6E"/>
    <w:rsid w:val="00642D75"/>
    <w:rsid w:val="0064361A"/>
    <w:rsid w:val="00643DAC"/>
    <w:rsid w:val="0064420F"/>
    <w:rsid w:val="00645421"/>
    <w:rsid w:val="00646D80"/>
    <w:rsid w:val="006509A6"/>
    <w:rsid w:val="006509D7"/>
    <w:rsid w:val="00652660"/>
    <w:rsid w:val="006559FA"/>
    <w:rsid w:val="006571CA"/>
    <w:rsid w:val="00657665"/>
    <w:rsid w:val="00660984"/>
    <w:rsid w:val="00660B8B"/>
    <w:rsid w:val="006618CE"/>
    <w:rsid w:val="00661CC5"/>
    <w:rsid w:val="00666E0B"/>
    <w:rsid w:val="006700D9"/>
    <w:rsid w:val="0067132E"/>
    <w:rsid w:val="00671933"/>
    <w:rsid w:val="00672861"/>
    <w:rsid w:val="00672906"/>
    <w:rsid w:val="00673684"/>
    <w:rsid w:val="00674241"/>
    <w:rsid w:val="0067774A"/>
    <w:rsid w:val="006809F3"/>
    <w:rsid w:val="0068150F"/>
    <w:rsid w:val="00681A13"/>
    <w:rsid w:val="00682793"/>
    <w:rsid w:val="00682D85"/>
    <w:rsid w:val="00685077"/>
    <w:rsid w:val="0068563F"/>
    <w:rsid w:val="00695480"/>
    <w:rsid w:val="00696D57"/>
    <w:rsid w:val="006973BE"/>
    <w:rsid w:val="006A0ACC"/>
    <w:rsid w:val="006A0C63"/>
    <w:rsid w:val="006A0D08"/>
    <w:rsid w:val="006A2A93"/>
    <w:rsid w:val="006A4E48"/>
    <w:rsid w:val="006A4E92"/>
    <w:rsid w:val="006A74A3"/>
    <w:rsid w:val="006A7BF5"/>
    <w:rsid w:val="006B002A"/>
    <w:rsid w:val="006B0C51"/>
    <w:rsid w:val="006B155E"/>
    <w:rsid w:val="006B2DC7"/>
    <w:rsid w:val="006B4D63"/>
    <w:rsid w:val="006B5090"/>
    <w:rsid w:val="006B600E"/>
    <w:rsid w:val="006C0C9F"/>
    <w:rsid w:val="006C1075"/>
    <w:rsid w:val="006C18CC"/>
    <w:rsid w:val="006C2F4C"/>
    <w:rsid w:val="006C4951"/>
    <w:rsid w:val="006C54B0"/>
    <w:rsid w:val="006C754B"/>
    <w:rsid w:val="006D4303"/>
    <w:rsid w:val="006D56BD"/>
    <w:rsid w:val="006E1440"/>
    <w:rsid w:val="006E17C7"/>
    <w:rsid w:val="006E2191"/>
    <w:rsid w:val="006E35BF"/>
    <w:rsid w:val="006E40A5"/>
    <w:rsid w:val="006E434D"/>
    <w:rsid w:val="006E57AE"/>
    <w:rsid w:val="006E7778"/>
    <w:rsid w:val="006E7E2B"/>
    <w:rsid w:val="006E7F48"/>
    <w:rsid w:val="006F1895"/>
    <w:rsid w:val="006F4A51"/>
    <w:rsid w:val="006F73C9"/>
    <w:rsid w:val="00700218"/>
    <w:rsid w:val="007026C2"/>
    <w:rsid w:val="007028E4"/>
    <w:rsid w:val="00704D96"/>
    <w:rsid w:val="00706C64"/>
    <w:rsid w:val="00710129"/>
    <w:rsid w:val="00714555"/>
    <w:rsid w:val="00714797"/>
    <w:rsid w:val="00715B80"/>
    <w:rsid w:val="007204EC"/>
    <w:rsid w:val="00720689"/>
    <w:rsid w:val="00721CA5"/>
    <w:rsid w:val="007258B0"/>
    <w:rsid w:val="00730213"/>
    <w:rsid w:val="00735A7A"/>
    <w:rsid w:val="007404F9"/>
    <w:rsid w:val="00740527"/>
    <w:rsid w:val="00740768"/>
    <w:rsid w:val="007408C8"/>
    <w:rsid w:val="00746320"/>
    <w:rsid w:val="00746A9E"/>
    <w:rsid w:val="00746B0D"/>
    <w:rsid w:val="0074782D"/>
    <w:rsid w:val="0074793F"/>
    <w:rsid w:val="00747C80"/>
    <w:rsid w:val="00750722"/>
    <w:rsid w:val="0075075D"/>
    <w:rsid w:val="0075201A"/>
    <w:rsid w:val="007531BC"/>
    <w:rsid w:val="007544A8"/>
    <w:rsid w:val="007601BC"/>
    <w:rsid w:val="00762C1E"/>
    <w:rsid w:val="00763663"/>
    <w:rsid w:val="007650B8"/>
    <w:rsid w:val="00765CFE"/>
    <w:rsid w:val="00767027"/>
    <w:rsid w:val="007676F2"/>
    <w:rsid w:val="00770AD0"/>
    <w:rsid w:val="00773B85"/>
    <w:rsid w:val="00773CBA"/>
    <w:rsid w:val="00782440"/>
    <w:rsid w:val="00784245"/>
    <w:rsid w:val="00787260"/>
    <w:rsid w:val="00787A23"/>
    <w:rsid w:val="00793C0C"/>
    <w:rsid w:val="00793F32"/>
    <w:rsid w:val="00794120"/>
    <w:rsid w:val="0079481B"/>
    <w:rsid w:val="00795CA5"/>
    <w:rsid w:val="007A576E"/>
    <w:rsid w:val="007A6C30"/>
    <w:rsid w:val="007C0090"/>
    <w:rsid w:val="007C0F95"/>
    <w:rsid w:val="007C46C0"/>
    <w:rsid w:val="007C5FCD"/>
    <w:rsid w:val="007C6490"/>
    <w:rsid w:val="007C7F38"/>
    <w:rsid w:val="007D0B31"/>
    <w:rsid w:val="007D0E1A"/>
    <w:rsid w:val="007D19B2"/>
    <w:rsid w:val="007D45E9"/>
    <w:rsid w:val="007D6B23"/>
    <w:rsid w:val="007D710B"/>
    <w:rsid w:val="007E02DC"/>
    <w:rsid w:val="007E0662"/>
    <w:rsid w:val="007E07FF"/>
    <w:rsid w:val="007E37F4"/>
    <w:rsid w:val="007E4DBD"/>
    <w:rsid w:val="007E5E34"/>
    <w:rsid w:val="007E6158"/>
    <w:rsid w:val="007E68D3"/>
    <w:rsid w:val="007E71CD"/>
    <w:rsid w:val="007E7CAC"/>
    <w:rsid w:val="007F0A9B"/>
    <w:rsid w:val="007F0F58"/>
    <w:rsid w:val="007F49C8"/>
    <w:rsid w:val="007F7BB1"/>
    <w:rsid w:val="0080065F"/>
    <w:rsid w:val="00803F9E"/>
    <w:rsid w:val="00804F42"/>
    <w:rsid w:val="00807415"/>
    <w:rsid w:val="00807549"/>
    <w:rsid w:val="00807734"/>
    <w:rsid w:val="008079B4"/>
    <w:rsid w:val="008102C6"/>
    <w:rsid w:val="00810BE2"/>
    <w:rsid w:val="00811015"/>
    <w:rsid w:val="0081226D"/>
    <w:rsid w:val="00812BDB"/>
    <w:rsid w:val="00814139"/>
    <w:rsid w:val="008150AB"/>
    <w:rsid w:val="00816E96"/>
    <w:rsid w:val="00817774"/>
    <w:rsid w:val="00820C61"/>
    <w:rsid w:val="00820F2E"/>
    <w:rsid w:val="0082296F"/>
    <w:rsid w:val="00827516"/>
    <w:rsid w:val="00827C8E"/>
    <w:rsid w:val="00830AA7"/>
    <w:rsid w:val="0083111E"/>
    <w:rsid w:val="0083227B"/>
    <w:rsid w:val="00833178"/>
    <w:rsid w:val="00834D81"/>
    <w:rsid w:val="008355FA"/>
    <w:rsid w:val="0083605F"/>
    <w:rsid w:val="008360DA"/>
    <w:rsid w:val="008373B6"/>
    <w:rsid w:val="008422F4"/>
    <w:rsid w:val="008438BC"/>
    <w:rsid w:val="00844625"/>
    <w:rsid w:val="0084472A"/>
    <w:rsid w:val="0084489C"/>
    <w:rsid w:val="00845B5D"/>
    <w:rsid w:val="00846766"/>
    <w:rsid w:val="00847C81"/>
    <w:rsid w:val="0085105B"/>
    <w:rsid w:val="008535C6"/>
    <w:rsid w:val="008559EA"/>
    <w:rsid w:val="00855E04"/>
    <w:rsid w:val="00856FE5"/>
    <w:rsid w:val="0085763E"/>
    <w:rsid w:val="00857BF2"/>
    <w:rsid w:val="00862845"/>
    <w:rsid w:val="00862DDF"/>
    <w:rsid w:val="008639BF"/>
    <w:rsid w:val="00864DC5"/>
    <w:rsid w:val="0086541D"/>
    <w:rsid w:val="008667DE"/>
    <w:rsid w:val="008677A2"/>
    <w:rsid w:val="00867AD1"/>
    <w:rsid w:val="00870496"/>
    <w:rsid w:val="00871047"/>
    <w:rsid w:val="00871120"/>
    <w:rsid w:val="00872091"/>
    <w:rsid w:val="008724E6"/>
    <w:rsid w:val="00876539"/>
    <w:rsid w:val="00876976"/>
    <w:rsid w:val="00883124"/>
    <w:rsid w:val="00884F88"/>
    <w:rsid w:val="008861D4"/>
    <w:rsid w:val="00886DBC"/>
    <w:rsid w:val="008912BA"/>
    <w:rsid w:val="00891D3E"/>
    <w:rsid w:val="00891E64"/>
    <w:rsid w:val="00893ECA"/>
    <w:rsid w:val="00896C55"/>
    <w:rsid w:val="00897DAD"/>
    <w:rsid w:val="008A0ED3"/>
    <w:rsid w:val="008A10DB"/>
    <w:rsid w:val="008A45E7"/>
    <w:rsid w:val="008A5767"/>
    <w:rsid w:val="008A6789"/>
    <w:rsid w:val="008A67C3"/>
    <w:rsid w:val="008A6C37"/>
    <w:rsid w:val="008A76CB"/>
    <w:rsid w:val="008A7B39"/>
    <w:rsid w:val="008B0085"/>
    <w:rsid w:val="008B1093"/>
    <w:rsid w:val="008B190B"/>
    <w:rsid w:val="008B3C88"/>
    <w:rsid w:val="008B4871"/>
    <w:rsid w:val="008B4DED"/>
    <w:rsid w:val="008C0D7F"/>
    <w:rsid w:val="008C0DD1"/>
    <w:rsid w:val="008C3C22"/>
    <w:rsid w:val="008C54F7"/>
    <w:rsid w:val="008C5CA6"/>
    <w:rsid w:val="008D056B"/>
    <w:rsid w:val="008D20D7"/>
    <w:rsid w:val="008D24DA"/>
    <w:rsid w:val="008D5C62"/>
    <w:rsid w:val="008D654D"/>
    <w:rsid w:val="008D6E19"/>
    <w:rsid w:val="008E0C1A"/>
    <w:rsid w:val="008E1EC6"/>
    <w:rsid w:val="008E698A"/>
    <w:rsid w:val="008E6D41"/>
    <w:rsid w:val="008E7024"/>
    <w:rsid w:val="008E7061"/>
    <w:rsid w:val="008F3A59"/>
    <w:rsid w:val="008F734E"/>
    <w:rsid w:val="0090041E"/>
    <w:rsid w:val="009020C9"/>
    <w:rsid w:val="009101C2"/>
    <w:rsid w:val="00910BA1"/>
    <w:rsid w:val="00911AED"/>
    <w:rsid w:val="00911FF1"/>
    <w:rsid w:val="00913B91"/>
    <w:rsid w:val="009217E6"/>
    <w:rsid w:val="009226C5"/>
    <w:rsid w:val="00922C20"/>
    <w:rsid w:val="0092404D"/>
    <w:rsid w:val="00924E7D"/>
    <w:rsid w:val="00926434"/>
    <w:rsid w:val="009275CC"/>
    <w:rsid w:val="00930591"/>
    <w:rsid w:val="009320BA"/>
    <w:rsid w:val="00933EEC"/>
    <w:rsid w:val="0093585E"/>
    <w:rsid w:val="00936C5A"/>
    <w:rsid w:val="00937EAE"/>
    <w:rsid w:val="009436C3"/>
    <w:rsid w:val="009441AB"/>
    <w:rsid w:val="009453C2"/>
    <w:rsid w:val="00946FD3"/>
    <w:rsid w:val="009479E4"/>
    <w:rsid w:val="0095080B"/>
    <w:rsid w:val="009552FD"/>
    <w:rsid w:val="00955B84"/>
    <w:rsid w:val="00955FED"/>
    <w:rsid w:val="0095630C"/>
    <w:rsid w:val="00956841"/>
    <w:rsid w:val="00956CCE"/>
    <w:rsid w:val="00957218"/>
    <w:rsid w:val="00957A68"/>
    <w:rsid w:val="00962C5B"/>
    <w:rsid w:val="00965870"/>
    <w:rsid w:val="00965F88"/>
    <w:rsid w:val="009661D0"/>
    <w:rsid w:val="00966703"/>
    <w:rsid w:val="00966726"/>
    <w:rsid w:val="009672FC"/>
    <w:rsid w:val="00967ADA"/>
    <w:rsid w:val="00971BAF"/>
    <w:rsid w:val="00974AF1"/>
    <w:rsid w:val="00975993"/>
    <w:rsid w:val="00981016"/>
    <w:rsid w:val="00982565"/>
    <w:rsid w:val="009825F3"/>
    <w:rsid w:val="0098263A"/>
    <w:rsid w:val="00983C1D"/>
    <w:rsid w:val="0098470D"/>
    <w:rsid w:val="00985594"/>
    <w:rsid w:val="009870CB"/>
    <w:rsid w:val="00991F14"/>
    <w:rsid w:val="00994075"/>
    <w:rsid w:val="0099408B"/>
    <w:rsid w:val="00995AD7"/>
    <w:rsid w:val="00995CBD"/>
    <w:rsid w:val="00997920"/>
    <w:rsid w:val="009A4183"/>
    <w:rsid w:val="009A4A3F"/>
    <w:rsid w:val="009B0090"/>
    <w:rsid w:val="009B3C92"/>
    <w:rsid w:val="009B4128"/>
    <w:rsid w:val="009B52C8"/>
    <w:rsid w:val="009B5436"/>
    <w:rsid w:val="009B7778"/>
    <w:rsid w:val="009B79C7"/>
    <w:rsid w:val="009C0FCA"/>
    <w:rsid w:val="009C1C3F"/>
    <w:rsid w:val="009C2D0A"/>
    <w:rsid w:val="009C3EBF"/>
    <w:rsid w:val="009C6424"/>
    <w:rsid w:val="009C6735"/>
    <w:rsid w:val="009D0691"/>
    <w:rsid w:val="009D0CC6"/>
    <w:rsid w:val="009D10AD"/>
    <w:rsid w:val="009D1DDB"/>
    <w:rsid w:val="009D3F74"/>
    <w:rsid w:val="009D46E5"/>
    <w:rsid w:val="009D4F89"/>
    <w:rsid w:val="009D5602"/>
    <w:rsid w:val="009D56CE"/>
    <w:rsid w:val="009D5967"/>
    <w:rsid w:val="009D69A0"/>
    <w:rsid w:val="009D6C80"/>
    <w:rsid w:val="009D744C"/>
    <w:rsid w:val="009E08BE"/>
    <w:rsid w:val="009E3D64"/>
    <w:rsid w:val="009E3F93"/>
    <w:rsid w:val="009E4192"/>
    <w:rsid w:val="009E4CE6"/>
    <w:rsid w:val="009E5256"/>
    <w:rsid w:val="009E60E6"/>
    <w:rsid w:val="009E6A58"/>
    <w:rsid w:val="009E7656"/>
    <w:rsid w:val="009F17A0"/>
    <w:rsid w:val="009F2563"/>
    <w:rsid w:val="009F307B"/>
    <w:rsid w:val="009F3E74"/>
    <w:rsid w:val="009F414A"/>
    <w:rsid w:val="00A00C16"/>
    <w:rsid w:val="00A037BB"/>
    <w:rsid w:val="00A04173"/>
    <w:rsid w:val="00A0684B"/>
    <w:rsid w:val="00A06900"/>
    <w:rsid w:val="00A06B3C"/>
    <w:rsid w:val="00A11533"/>
    <w:rsid w:val="00A12066"/>
    <w:rsid w:val="00A124A2"/>
    <w:rsid w:val="00A13652"/>
    <w:rsid w:val="00A1411C"/>
    <w:rsid w:val="00A1432D"/>
    <w:rsid w:val="00A16866"/>
    <w:rsid w:val="00A16BC1"/>
    <w:rsid w:val="00A20064"/>
    <w:rsid w:val="00A20DE6"/>
    <w:rsid w:val="00A242AF"/>
    <w:rsid w:val="00A242D3"/>
    <w:rsid w:val="00A27B20"/>
    <w:rsid w:val="00A3039D"/>
    <w:rsid w:val="00A31CB8"/>
    <w:rsid w:val="00A31CCA"/>
    <w:rsid w:val="00A32119"/>
    <w:rsid w:val="00A33871"/>
    <w:rsid w:val="00A356BD"/>
    <w:rsid w:val="00A35C21"/>
    <w:rsid w:val="00A36D3D"/>
    <w:rsid w:val="00A36D60"/>
    <w:rsid w:val="00A36E80"/>
    <w:rsid w:val="00A37071"/>
    <w:rsid w:val="00A373EC"/>
    <w:rsid w:val="00A37865"/>
    <w:rsid w:val="00A403CD"/>
    <w:rsid w:val="00A412D8"/>
    <w:rsid w:val="00A43F08"/>
    <w:rsid w:val="00A45471"/>
    <w:rsid w:val="00A45B82"/>
    <w:rsid w:val="00A46FD8"/>
    <w:rsid w:val="00A477D3"/>
    <w:rsid w:val="00A51093"/>
    <w:rsid w:val="00A51F2E"/>
    <w:rsid w:val="00A52D75"/>
    <w:rsid w:val="00A5584B"/>
    <w:rsid w:val="00A56CBD"/>
    <w:rsid w:val="00A6017E"/>
    <w:rsid w:val="00A607AB"/>
    <w:rsid w:val="00A607F2"/>
    <w:rsid w:val="00A60F5C"/>
    <w:rsid w:val="00A62FD7"/>
    <w:rsid w:val="00A636B4"/>
    <w:rsid w:val="00A63DEC"/>
    <w:rsid w:val="00A63E59"/>
    <w:rsid w:val="00A64D3E"/>
    <w:rsid w:val="00A6513F"/>
    <w:rsid w:val="00A66BEC"/>
    <w:rsid w:val="00A671EA"/>
    <w:rsid w:val="00A673CE"/>
    <w:rsid w:val="00A70319"/>
    <w:rsid w:val="00A70B6B"/>
    <w:rsid w:val="00A71C81"/>
    <w:rsid w:val="00A72835"/>
    <w:rsid w:val="00A72B74"/>
    <w:rsid w:val="00A72C33"/>
    <w:rsid w:val="00A72FF7"/>
    <w:rsid w:val="00A7647C"/>
    <w:rsid w:val="00A77149"/>
    <w:rsid w:val="00A77569"/>
    <w:rsid w:val="00A77FF4"/>
    <w:rsid w:val="00A80C98"/>
    <w:rsid w:val="00A81B16"/>
    <w:rsid w:val="00A82B7F"/>
    <w:rsid w:val="00A82BE8"/>
    <w:rsid w:val="00A82DC9"/>
    <w:rsid w:val="00A852FB"/>
    <w:rsid w:val="00A85577"/>
    <w:rsid w:val="00A86B05"/>
    <w:rsid w:val="00A912FC"/>
    <w:rsid w:val="00A933AA"/>
    <w:rsid w:val="00A95775"/>
    <w:rsid w:val="00A95C17"/>
    <w:rsid w:val="00A96458"/>
    <w:rsid w:val="00A96BF1"/>
    <w:rsid w:val="00A97A79"/>
    <w:rsid w:val="00AA05EF"/>
    <w:rsid w:val="00AA0D9D"/>
    <w:rsid w:val="00AA11C7"/>
    <w:rsid w:val="00AA1BCB"/>
    <w:rsid w:val="00AA38F3"/>
    <w:rsid w:val="00AA45F8"/>
    <w:rsid w:val="00AA47EA"/>
    <w:rsid w:val="00AA495D"/>
    <w:rsid w:val="00AA663F"/>
    <w:rsid w:val="00AA7D69"/>
    <w:rsid w:val="00AA7FB4"/>
    <w:rsid w:val="00AB0FB4"/>
    <w:rsid w:val="00AB1FEA"/>
    <w:rsid w:val="00AB2330"/>
    <w:rsid w:val="00AB3E1A"/>
    <w:rsid w:val="00AB55B4"/>
    <w:rsid w:val="00AB7441"/>
    <w:rsid w:val="00AB7D15"/>
    <w:rsid w:val="00AC1EAA"/>
    <w:rsid w:val="00AC3EE5"/>
    <w:rsid w:val="00AC5903"/>
    <w:rsid w:val="00AC65BC"/>
    <w:rsid w:val="00AC7349"/>
    <w:rsid w:val="00AC79BE"/>
    <w:rsid w:val="00AD04D2"/>
    <w:rsid w:val="00AD110B"/>
    <w:rsid w:val="00AD2095"/>
    <w:rsid w:val="00AD3039"/>
    <w:rsid w:val="00AD3934"/>
    <w:rsid w:val="00AD5194"/>
    <w:rsid w:val="00AD5C65"/>
    <w:rsid w:val="00AD60C8"/>
    <w:rsid w:val="00AD6940"/>
    <w:rsid w:val="00AE3957"/>
    <w:rsid w:val="00AE4E9B"/>
    <w:rsid w:val="00AE51DC"/>
    <w:rsid w:val="00AE6667"/>
    <w:rsid w:val="00AE7D06"/>
    <w:rsid w:val="00AF1176"/>
    <w:rsid w:val="00AF2D17"/>
    <w:rsid w:val="00AF4891"/>
    <w:rsid w:val="00AF7914"/>
    <w:rsid w:val="00AF7BA2"/>
    <w:rsid w:val="00B0136B"/>
    <w:rsid w:val="00B01640"/>
    <w:rsid w:val="00B017B7"/>
    <w:rsid w:val="00B02238"/>
    <w:rsid w:val="00B02291"/>
    <w:rsid w:val="00B03D46"/>
    <w:rsid w:val="00B04572"/>
    <w:rsid w:val="00B04713"/>
    <w:rsid w:val="00B06362"/>
    <w:rsid w:val="00B105EE"/>
    <w:rsid w:val="00B1094D"/>
    <w:rsid w:val="00B10F93"/>
    <w:rsid w:val="00B117CE"/>
    <w:rsid w:val="00B148B7"/>
    <w:rsid w:val="00B155DF"/>
    <w:rsid w:val="00B163F0"/>
    <w:rsid w:val="00B202F7"/>
    <w:rsid w:val="00B20688"/>
    <w:rsid w:val="00B21514"/>
    <w:rsid w:val="00B23C01"/>
    <w:rsid w:val="00B23FF7"/>
    <w:rsid w:val="00B255FB"/>
    <w:rsid w:val="00B2590B"/>
    <w:rsid w:val="00B26158"/>
    <w:rsid w:val="00B27599"/>
    <w:rsid w:val="00B30362"/>
    <w:rsid w:val="00B30793"/>
    <w:rsid w:val="00B30FC8"/>
    <w:rsid w:val="00B31185"/>
    <w:rsid w:val="00B3359E"/>
    <w:rsid w:val="00B3433C"/>
    <w:rsid w:val="00B4002E"/>
    <w:rsid w:val="00B402A6"/>
    <w:rsid w:val="00B40425"/>
    <w:rsid w:val="00B406F6"/>
    <w:rsid w:val="00B41805"/>
    <w:rsid w:val="00B42227"/>
    <w:rsid w:val="00B426DB"/>
    <w:rsid w:val="00B433C5"/>
    <w:rsid w:val="00B44C4C"/>
    <w:rsid w:val="00B51EDA"/>
    <w:rsid w:val="00B5577F"/>
    <w:rsid w:val="00B559AE"/>
    <w:rsid w:val="00B55B5E"/>
    <w:rsid w:val="00B566D3"/>
    <w:rsid w:val="00B601FD"/>
    <w:rsid w:val="00B6070B"/>
    <w:rsid w:val="00B60C65"/>
    <w:rsid w:val="00B61026"/>
    <w:rsid w:val="00B6173C"/>
    <w:rsid w:val="00B631CA"/>
    <w:rsid w:val="00B63584"/>
    <w:rsid w:val="00B65030"/>
    <w:rsid w:val="00B665CD"/>
    <w:rsid w:val="00B72635"/>
    <w:rsid w:val="00B72A12"/>
    <w:rsid w:val="00B7426E"/>
    <w:rsid w:val="00B74729"/>
    <w:rsid w:val="00B74DD6"/>
    <w:rsid w:val="00B75206"/>
    <w:rsid w:val="00B75DA8"/>
    <w:rsid w:val="00B76BAC"/>
    <w:rsid w:val="00B771CF"/>
    <w:rsid w:val="00B80D4A"/>
    <w:rsid w:val="00B82298"/>
    <w:rsid w:val="00B83125"/>
    <w:rsid w:val="00B8533E"/>
    <w:rsid w:val="00B85488"/>
    <w:rsid w:val="00B90E33"/>
    <w:rsid w:val="00B910E8"/>
    <w:rsid w:val="00B92474"/>
    <w:rsid w:val="00B92974"/>
    <w:rsid w:val="00B937C8"/>
    <w:rsid w:val="00B95EDD"/>
    <w:rsid w:val="00B9615E"/>
    <w:rsid w:val="00B962C7"/>
    <w:rsid w:val="00B9708F"/>
    <w:rsid w:val="00B976FF"/>
    <w:rsid w:val="00B97AC2"/>
    <w:rsid w:val="00B97AD4"/>
    <w:rsid w:val="00BA22CE"/>
    <w:rsid w:val="00BA2419"/>
    <w:rsid w:val="00BA3C45"/>
    <w:rsid w:val="00BA41A9"/>
    <w:rsid w:val="00BA48CA"/>
    <w:rsid w:val="00BA6042"/>
    <w:rsid w:val="00BA71B5"/>
    <w:rsid w:val="00BB1EA6"/>
    <w:rsid w:val="00BB2A90"/>
    <w:rsid w:val="00BB4DF7"/>
    <w:rsid w:val="00BB5E2B"/>
    <w:rsid w:val="00BB637F"/>
    <w:rsid w:val="00BC01F6"/>
    <w:rsid w:val="00BC0A42"/>
    <w:rsid w:val="00BC1396"/>
    <w:rsid w:val="00BC1989"/>
    <w:rsid w:val="00BC3427"/>
    <w:rsid w:val="00BC4AFD"/>
    <w:rsid w:val="00BC7C0B"/>
    <w:rsid w:val="00BD2476"/>
    <w:rsid w:val="00BD4258"/>
    <w:rsid w:val="00BD48CF"/>
    <w:rsid w:val="00BD5C95"/>
    <w:rsid w:val="00BE147A"/>
    <w:rsid w:val="00BE14DE"/>
    <w:rsid w:val="00BE2241"/>
    <w:rsid w:val="00BE4CEB"/>
    <w:rsid w:val="00BE5D08"/>
    <w:rsid w:val="00BE703C"/>
    <w:rsid w:val="00BE7165"/>
    <w:rsid w:val="00BE7D3C"/>
    <w:rsid w:val="00BF361B"/>
    <w:rsid w:val="00BF3D3B"/>
    <w:rsid w:val="00BF4A35"/>
    <w:rsid w:val="00BF4DF9"/>
    <w:rsid w:val="00BF511F"/>
    <w:rsid w:val="00BF6B82"/>
    <w:rsid w:val="00BF7FD5"/>
    <w:rsid w:val="00C00795"/>
    <w:rsid w:val="00C00F33"/>
    <w:rsid w:val="00C01F33"/>
    <w:rsid w:val="00C02FD1"/>
    <w:rsid w:val="00C0320A"/>
    <w:rsid w:val="00C03D33"/>
    <w:rsid w:val="00C073DB"/>
    <w:rsid w:val="00C10315"/>
    <w:rsid w:val="00C1037E"/>
    <w:rsid w:val="00C1239B"/>
    <w:rsid w:val="00C13314"/>
    <w:rsid w:val="00C13D88"/>
    <w:rsid w:val="00C14EC5"/>
    <w:rsid w:val="00C15627"/>
    <w:rsid w:val="00C23044"/>
    <w:rsid w:val="00C243A6"/>
    <w:rsid w:val="00C24C59"/>
    <w:rsid w:val="00C27F1D"/>
    <w:rsid w:val="00C310F4"/>
    <w:rsid w:val="00C329A5"/>
    <w:rsid w:val="00C33FF5"/>
    <w:rsid w:val="00C341A0"/>
    <w:rsid w:val="00C342D7"/>
    <w:rsid w:val="00C34693"/>
    <w:rsid w:val="00C35D5A"/>
    <w:rsid w:val="00C369B7"/>
    <w:rsid w:val="00C43009"/>
    <w:rsid w:val="00C435F0"/>
    <w:rsid w:val="00C45A37"/>
    <w:rsid w:val="00C466D3"/>
    <w:rsid w:val="00C46CA3"/>
    <w:rsid w:val="00C50094"/>
    <w:rsid w:val="00C51000"/>
    <w:rsid w:val="00C5248D"/>
    <w:rsid w:val="00C547FD"/>
    <w:rsid w:val="00C57102"/>
    <w:rsid w:val="00C57B48"/>
    <w:rsid w:val="00C60677"/>
    <w:rsid w:val="00C64410"/>
    <w:rsid w:val="00C64525"/>
    <w:rsid w:val="00C71243"/>
    <w:rsid w:val="00C7284D"/>
    <w:rsid w:val="00C72898"/>
    <w:rsid w:val="00C74034"/>
    <w:rsid w:val="00C75743"/>
    <w:rsid w:val="00C8046D"/>
    <w:rsid w:val="00C817A1"/>
    <w:rsid w:val="00C82BFE"/>
    <w:rsid w:val="00C82F9B"/>
    <w:rsid w:val="00C8361E"/>
    <w:rsid w:val="00C83CD3"/>
    <w:rsid w:val="00C86CF5"/>
    <w:rsid w:val="00C904F3"/>
    <w:rsid w:val="00C9087A"/>
    <w:rsid w:val="00C90E35"/>
    <w:rsid w:val="00C91893"/>
    <w:rsid w:val="00C921D9"/>
    <w:rsid w:val="00C94073"/>
    <w:rsid w:val="00C9458C"/>
    <w:rsid w:val="00C94EEC"/>
    <w:rsid w:val="00C96444"/>
    <w:rsid w:val="00C96D9A"/>
    <w:rsid w:val="00C96E53"/>
    <w:rsid w:val="00CA1F19"/>
    <w:rsid w:val="00CA2CCF"/>
    <w:rsid w:val="00CA369B"/>
    <w:rsid w:val="00CA5DCF"/>
    <w:rsid w:val="00CA6E40"/>
    <w:rsid w:val="00CA7D86"/>
    <w:rsid w:val="00CB1903"/>
    <w:rsid w:val="00CB19FB"/>
    <w:rsid w:val="00CB532C"/>
    <w:rsid w:val="00CB59D6"/>
    <w:rsid w:val="00CB613D"/>
    <w:rsid w:val="00CB6E1D"/>
    <w:rsid w:val="00CB7745"/>
    <w:rsid w:val="00CB777E"/>
    <w:rsid w:val="00CB7C36"/>
    <w:rsid w:val="00CC0D20"/>
    <w:rsid w:val="00CC1C4A"/>
    <w:rsid w:val="00CC2D14"/>
    <w:rsid w:val="00CC38C8"/>
    <w:rsid w:val="00CC3B19"/>
    <w:rsid w:val="00CC42D3"/>
    <w:rsid w:val="00CC4545"/>
    <w:rsid w:val="00CC4991"/>
    <w:rsid w:val="00CC52EE"/>
    <w:rsid w:val="00CC5E73"/>
    <w:rsid w:val="00CD3B62"/>
    <w:rsid w:val="00CD5319"/>
    <w:rsid w:val="00CD5381"/>
    <w:rsid w:val="00CD5B3F"/>
    <w:rsid w:val="00CE0392"/>
    <w:rsid w:val="00CE3B8B"/>
    <w:rsid w:val="00CE3ED6"/>
    <w:rsid w:val="00CE4622"/>
    <w:rsid w:val="00CE5712"/>
    <w:rsid w:val="00CE75E9"/>
    <w:rsid w:val="00CE7D1B"/>
    <w:rsid w:val="00CF0060"/>
    <w:rsid w:val="00CF18B5"/>
    <w:rsid w:val="00CF2698"/>
    <w:rsid w:val="00CF75FE"/>
    <w:rsid w:val="00CF7A77"/>
    <w:rsid w:val="00D02CDF"/>
    <w:rsid w:val="00D02EDC"/>
    <w:rsid w:val="00D03BDF"/>
    <w:rsid w:val="00D04767"/>
    <w:rsid w:val="00D04BCD"/>
    <w:rsid w:val="00D05241"/>
    <w:rsid w:val="00D06B62"/>
    <w:rsid w:val="00D0758F"/>
    <w:rsid w:val="00D0791F"/>
    <w:rsid w:val="00D1187A"/>
    <w:rsid w:val="00D12931"/>
    <w:rsid w:val="00D145D9"/>
    <w:rsid w:val="00D153B4"/>
    <w:rsid w:val="00D15DA1"/>
    <w:rsid w:val="00D16518"/>
    <w:rsid w:val="00D16975"/>
    <w:rsid w:val="00D16BEF"/>
    <w:rsid w:val="00D17B37"/>
    <w:rsid w:val="00D20125"/>
    <w:rsid w:val="00D25F65"/>
    <w:rsid w:val="00D301EF"/>
    <w:rsid w:val="00D31BE6"/>
    <w:rsid w:val="00D324F1"/>
    <w:rsid w:val="00D32E61"/>
    <w:rsid w:val="00D36BF3"/>
    <w:rsid w:val="00D40A3E"/>
    <w:rsid w:val="00D41FB2"/>
    <w:rsid w:val="00D42BCE"/>
    <w:rsid w:val="00D42CA8"/>
    <w:rsid w:val="00D47002"/>
    <w:rsid w:val="00D478FE"/>
    <w:rsid w:val="00D516DA"/>
    <w:rsid w:val="00D51F28"/>
    <w:rsid w:val="00D53F0D"/>
    <w:rsid w:val="00D60188"/>
    <w:rsid w:val="00D605E2"/>
    <w:rsid w:val="00D62F4B"/>
    <w:rsid w:val="00D635D0"/>
    <w:rsid w:val="00D64F7D"/>
    <w:rsid w:val="00D65A5F"/>
    <w:rsid w:val="00D67077"/>
    <w:rsid w:val="00D67B13"/>
    <w:rsid w:val="00D71082"/>
    <w:rsid w:val="00D73301"/>
    <w:rsid w:val="00D74BA4"/>
    <w:rsid w:val="00D7518A"/>
    <w:rsid w:val="00D77871"/>
    <w:rsid w:val="00D82ABF"/>
    <w:rsid w:val="00D82C8F"/>
    <w:rsid w:val="00D85F17"/>
    <w:rsid w:val="00D863A8"/>
    <w:rsid w:val="00D86803"/>
    <w:rsid w:val="00D8762F"/>
    <w:rsid w:val="00D8795B"/>
    <w:rsid w:val="00D93041"/>
    <w:rsid w:val="00D97209"/>
    <w:rsid w:val="00D97481"/>
    <w:rsid w:val="00DA0E6E"/>
    <w:rsid w:val="00DA1A0C"/>
    <w:rsid w:val="00DA2365"/>
    <w:rsid w:val="00DA2AE3"/>
    <w:rsid w:val="00DA31F3"/>
    <w:rsid w:val="00DA54E9"/>
    <w:rsid w:val="00DA5AA6"/>
    <w:rsid w:val="00DA6011"/>
    <w:rsid w:val="00DA6428"/>
    <w:rsid w:val="00DA6A5E"/>
    <w:rsid w:val="00DB073C"/>
    <w:rsid w:val="00DB1497"/>
    <w:rsid w:val="00DB1A84"/>
    <w:rsid w:val="00DB2E14"/>
    <w:rsid w:val="00DB672C"/>
    <w:rsid w:val="00DC06AE"/>
    <w:rsid w:val="00DC147E"/>
    <w:rsid w:val="00DC232D"/>
    <w:rsid w:val="00DC3B93"/>
    <w:rsid w:val="00DC51F6"/>
    <w:rsid w:val="00DC57E2"/>
    <w:rsid w:val="00DC59B3"/>
    <w:rsid w:val="00DD0994"/>
    <w:rsid w:val="00DD2959"/>
    <w:rsid w:val="00DD3D34"/>
    <w:rsid w:val="00DD4DAB"/>
    <w:rsid w:val="00DD55AF"/>
    <w:rsid w:val="00DD6635"/>
    <w:rsid w:val="00DE2779"/>
    <w:rsid w:val="00DE30F3"/>
    <w:rsid w:val="00DE4EF4"/>
    <w:rsid w:val="00DE6152"/>
    <w:rsid w:val="00DE70B3"/>
    <w:rsid w:val="00DE7281"/>
    <w:rsid w:val="00DF01C1"/>
    <w:rsid w:val="00DF0480"/>
    <w:rsid w:val="00DF0850"/>
    <w:rsid w:val="00DF0AB6"/>
    <w:rsid w:val="00DF0F80"/>
    <w:rsid w:val="00DF1059"/>
    <w:rsid w:val="00DF19B8"/>
    <w:rsid w:val="00DF2E7E"/>
    <w:rsid w:val="00DF398E"/>
    <w:rsid w:val="00DF47EF"/>
    <w:rsid w:val="00DF53DA"/>
    <w:rsid w:val="00DF5D16"/>
    <w:rsid w:val="00DF71ED"/>
    <w:rsid w:val="00E0248A"/>
    <w:rsid w:val="00E04500"/>
    <w:rsid w:val="00E0476C"/>
    <w:rsid w:val="00E047BF"/>
    <w:rsid w:val="00E04DD6"/>
    <w:rsid w:val="00E06858"/>
    <w:rsid w:val="00E10523"/>
    <w:rsid w:val="00E144AE"/>
    <w:rsid w:val="00E15122"/>
    <w:rsid w:val="00E15257"/>
    <w:rsid w:val="00E15790"/>
    <w:rsid w:val="00E163F0"/>
    <w:rsid w:val="00E17126"/>
    <w:rsid w:val="00E177A2"/>
    <w:rsid w:val="00E2380F"/>
    <w:rsid w:val="00E23B70"/>
    <w:rsid w:val="00E26036"/>
    <w:rsid w:val="00E27020"/>
    <w:rsid w:val="00E306FC"/>
    <w:rsid w:val="00E347DD"/>
    <w:rsid w:val="00E35B04"/>
    <w:rsid w:val="00E36DDC"/>
    <w:rsid w:val="00E3759E"/>
    <w:rsid w:val="00E37F35"/>
    <w:rsid w:val="00E41C9C"/>
    <w:rsid w:val="00E41EAD"/>
    <w:rsid w:val="00E43592"/>
    <w:rsid w:val="00E45137"/>
    <w:rsid w:val="00E46B03"/>
    <w:rsid w:val="00E50EFC"/>
    <w:rsid w:val="00E536B1"/>
    <w:rsid w:val="00E53E8D"/>
    <w:rsid w:val="00E54889"/>
    <w:rsid w:val="00E562EB"/>
    <w:rsid w:val="00E564B2"/>
    <w:rsid w:val="00E5694A"/>
    <w:rsid w:val="00E613E1"/>
    <w:rsid w:val="00E639E0"/>
    <w:rsid w:val="00E6488D"/>
    <w:rsid w:val="00E64F0A"/>
    <w:rsid w:val="00E652E0"/>
    <w:rsid w:val="00E71291"/>
    <w:rsid w:val="00E71613"/>
    <w:rsid w:val="00E719F6"/>
    <w:rsid w:val="00E71C5D"/>
    <w:rsid w:val="00E71D87"/>
    <w:rsid w:val="00E71EBD"/>
    <w:rsid w:val="00E74D7B"/>
    <w:rsid w:val="00E75CCD"/>
    <w:rsid w:val="00E775A5"/>
    <w:rsid w:val="00E77A1B"/>
    <w:rsid w:val="00E77FF2"/>
    <w:rsid w:val="00E80223"/>
    <w:rsid w:val="00E85844"/>
    <w:rsid w:val="00E8654F"/>
    <w:rsid w:val="00E86594"/>
    <w:rsid w:val="00E86E86"/>
    <w:rsid w:val="00E8715E"/>
    <w:rsid w:val="00E90497"/>
    <w:rsid w:val="00E9179E"/>
    <w:rsid w:val="00E91CCE"/>
    <w:rsid w:val="00E95BE9"/>
    <w:rsid w:val="00E978A8"/>
    <w:rsid w:val="00E97C1C"/>
    <w:rsid w:val="00E97F59"/>
    <w:rsid w:val="00EA2F25"/>
    <w:rsid w:val="00EA4FBB"/>
    <w:rsid w:val="00EA5A35"/>
    <w:rsid w:val="00EA5D41"/>
    <w:rsid w:val="00EA63BC"/>
    <w:rsid w:val="00EA6878"/>
    <w:rsid w:val="00EA716C"/>
    <w:rsid w:val="00EB12A0"/>
    <w:rsid w:val="00EB1974"/>
    <w:rsid w:val="00EB1F20"/>
    <w:rsid w:val="00EB3602"/>
    <w:rsid w:val="00EB377D"/>
    <w:rsid w:val="00EB3963"/>
    <w:rsid w:val="00EB4F38"/>
    <w:rsid w:val="00EB59A8"/>
    <w:rsid w:val="00EB5C35"/>
    <w:rsid w:val="00EB5D0A"/>
    <w:rsid w:val="00EC0CF5"/>
    <w:rsid w:val="00EC20F4"/>
    <w:rsid w:val="00EC24FA"/>
    <w:rsid w:val="00EC3497"/>
    <w:rsid w:val="00EC428B"/>
    <w:rsid w:val="00EC4E2A"/>
    <w:rsid w:val="00EC6188"/>
    <w:rsid w:val="00ED2032"/>
    <w:rsid w:val="00ED21C4"/>
    <w:rsid w:val="00ED2512"/>
    <w:rsid w:val="00ED388B"/>
    <w:rsid w:val="00ED465E"/>
    <w:rsid w:val="00ED475C"/>
    <w:rsid w:val="00ED6FDB"/>
    <w:rsid w:val="00EE068D"/>
    <w:rsid w:val="00EE1291"/>
    <w:rsid w:val="00EE198B"/>
    <w:rsid w:val="00EE1D16"/>
    <w:rsid w:val="00EE2580"/>
    <w:rsid w:val="00EE4E09"/>
    <w:rsid w:val="00EE526C"/>
    <w:rsid w:val="00EE5A14"/>
    <w:rsid w:val="00EF26A9"/>
    <w:rsid w:val="00EF45CE"/>
    <w:rsid w:val="00F00246"/>
    <w:rsid w:val="00F02EF0"/>
    <w:rsid w:val="00F0360B"/>
    <w:rsid w:val="00F038EB"/>
    <w:rsid w:val="00F05EFF"/>
    <w:rsid w:val="00F066BC"/>
    <w:rsid w:val="00F06E2A"/>
    <w:rsid w:val="00F07CA6"/>
    <w:rsid w:val="00F1378A"/>
    <w:rsid w:val="00F14F3E"/>
    <w:rsid w:val="00F158F3"/>
    <w:rsid w:val="00F159C1"/>
    <w:rsid w:val="00F16630"/>
    <w:rsid w:val="00F16769"/>
    <w:rsid w:val="00F177D8"/>
    <w:rsid w:val="00F214AD"/>
    <w:rsid w:val="00F23783"/>
    <w:rsid w:val="00F2491C"/>
    <w:rsid w:val="00F263AC"/>
    <w:rsid w:val="00F27D55"/>
    <w:rsid w:val="00F31BCE"/>
    <w:rsid w:val="00F324C9"/>
    <w:rsid w:val="00F32BFD"/>
    <w:rsid w:val="00F34E7C"/>
    <w:rsid w:val="00F360B6"/>
    <w:rsid w:val="00F37160"/>
    <w:rsid w:val="00F37B22"/>
    <w:rsid w:val="00F405CE"/>
    <w:rsid w:val="00F410EC"/>
    <w:rsid w:val="00F41F68"/>
    <w:rsid w:val="00F424AA"/>
    <w:rsid w:val="00F43DE1"/>
    <w:rsid w:val="00F43FD4"/>
    <w:rsid w:val="00F508FE"/>
    <w:rsid w:val="00F51D43"/>
    <w:rsid w:val="00F538E3"/>
    <w:rsid w:val="00F5483A"/>
    <w:rsid w:val="00F55CC9"/>
    <w:rsid w:val="00F56460"/>
    <w:rsid w:val="00F61589"/>
    <w:rsid w:val="00F61E8B"/>
    <w:rsid w:val="00F6350B"/>
    <w:rsid w:val="00F6635B"/>
    <w:rsid w:val="00F667DC"/>
    <w:rsid w:val="00F67E78"/>
    <w:rsid w:val="00F70566"/>
    <w:rsid w:val="00F7085F"/>
    <w:rsid w:val="00F71295"/>
    <w:rsid w:val="00F717A1"/>
    <w:rsid w:val="00F717D6"/>
    <w:rsid w:val="00F721E4"/>
    <w:rsid w:val="00F726C4"/>
    <w:rsid w:val="00F72CB8"/>
    <w:rsid w:val="00F73C01"/>
    <w:rsid w:val="00F73F87"/>
    <w:rsid w:val="00F773DD"/>
    <w:rsid w:val="00F82CAD"/>
    <w:rsid w:val="00F83E6C"/>
    <w:rsid w:val="00F845D4"/>
    <w:rsid w:val="00F84820"/>
    <w:rsid w:val="00F8501B"/>
    <w:rsid w:val="00F85698"/>
    <w:rsid w:val="00F87990"/>
    <w:rsid w:val="00F903C3"/>
    <w:rsid w:val="00F91460"/>
    <w:rsid w:val="00F91561"/>
    <w:rsid w:val="00F93357"/>
    <w:rsid w:val="00F9490D"/>
    <w:rsid w:val="00F97201"/>
    <w:rsid w:val="00FA1DEA"/>
    <w:rsid w:val="00FA4B24"/>
    <w:rsid w:val="00FA54DD"/>
    <w:rsid w:val="00FA784A"/>
    <w:rsid w:val="00FB0062"/>
    <w:rsid w:val="00FB040B"/>
    <w:rsid w:val="00FB13B2"/>
    <w:rsid w:val="00FB1707"/>
    <w:rsid w:val="00FB34BA"/>
    <w:rsid w:val="00FB3846"/>
    <w:rsid w:val="00FB3DB2"/>
    <w:rsid w:val="00FB4D4B"/>
    <w:rsid w:val="00FB61DE"/>
    <w:rsid w:val="00FB626E"/>
    <w:rsid w:val="00FB62AB"/>
    <w:rsid w:val="00FB65B8"/>
    <w:rsid w:val="00FB6888"/>
    <w:rsid w:val="00FB7088"/>
    <w:rsid w:val="00FB7FA0"/>
    <w:rsid w:val="00FC1B32"/>
    <w:rsid w:val="00FC2310"/>
    <w:rsid w:val="00FC2DE1"/>
    <w:rsid w:val="00FC2FA5"/>
    <w:rsid w:val="00FC398F"/>
    <w:rsid w:val="00FC48F7"/>
    <w:rsid w:val="00FC4EBB"/>
    <w:rsid w:val="00FC52FC"/>
    <w:rsid w:val="00FC5597"/>
    <w:rsid w:val="00FC639A"/>
    <w:rsid w:val="00FC668C"/>
    <w:rsid w:val="00FC67B4"/>
    <w:rsid w:val="00FC7224"/>
    <w:rsid w:val="00FD009C"/>
    <w:rsid w:val="00FD0309"/>
    <w:rsid w:val="00FD098B"/>
    <w:rsid w:val="00FD39ED"/>
    <w:rsid w:val="00FD3FC5"/>
    <w:rsid w:val="00FD4103"/>
    <w:rsid w:val="00FD4633"/>
    <w:rsid w:val="00FD73C7"/>
    <w:rsid w:val="00FE1951"/>
    <w:rsid w:val="00FE3785"/>
    <w:rsid w:val="00FE4827"/>
    <w:rsid w:val="00FE4A66"/>
    <w:rsid w:val="00FE7DD4"/>
    <w:rsid w:val="00FF1218"/>
    <w:rsid w:val="00FF25F4"/>
    <w:rsid w:val="00FF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4C85FA-B75B-47F7-BB8C-6001BDC2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9E0"/>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F845D4"/>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sq-AL"/>
    </w:rPr>
  </w:style>
  <w:style w:type="paragraph" w:styleId="Heading2">
    <w:name w:val="heading 2"/>
    <w:basedOn w:val="Normal"/>
    <w:next w:val="Normal"/>
    <w:link w:val="Heading2Char"/>
    <w:uiPriority w:val="9"/>
    <w:unhideWhenUsed/>
    <w:qFormat/>
    <w:rsid w:val="00BD24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2E739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2E2899"/>
    <w:pPr>
      <w:keepNext/>
      <w:keepLines/>
      <w:widowControl w:val="0"/>
      <w:spacing w:before="80" w:after="40"/>
      <w:outlineLvl w:val="3"/>
    </w:pPr>
    <w:rPr>
      <w:rFonts w:ascii="Arial Unicode MS" w:eastAsiaTheme="majorEastAsia" w:hAnsi="Arial Unicode MS" w:cstheme="majorBidi"/>
      <w:i/>
      <w:iCs/>
      <w:color w:val="365F91" w:themeColor="accent1" w:themeShade="BF"/>
      <w:sz w:val="24"/>
      <w:szCs w:val="24"/>
      <w:lang w:val="it-IT" w:eastAsia="it-IT" w:bidi="it-IT"/>
    </w:rPr>
  </w:style>
  <w:style w:type="paragraph" w:styleId="Heading5">
    <w:name w:val="heading 5"/>
    <w:basedOn w:val="Normal"/>
    <w:next w:val="Normal"/>
    <w:link w:val="Heading5Char"/>
    <w:unhideWhenUsed/>
    <w:qFormat/>
    <w:rsid w:val="006E40A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912FC"/>
    <w:pPr>
      <w:keepNext/>
      <w:keepLines/>
      <w:spacing w:before="200"/>
      <w:outlineLvl w:val="5"/>
    </w:pPr>
    <w:rPr>
      <w:rFonts w:asciiTheme="majorHAnsi" w:eastAsiaTheme="majorEastAsia" w:hAnsiTheme="majorHAnsi" w:cstheme="majorBidi"/>
      <w:i/>
      <w:iCs/>
      <w:color w:val="243F60" w:themeColor="accent1" w:themeShade="7F"/>
      <w:sz w:val="24"/>
      <w:szCs w:val="24"/>
      <w:lang w:val="sq-AL" w:bidi="en-US"/>
    </w:rPr>
  </w:style>
  <w:style w:type="paragraph" w:styleId="Heading7">
    <w:name w:val="heading 7"/>
    <w:basedOn w:val="Normal"/>
    <w:next w:val="Normal"/>
    <w:link w:val="Heading7Char"/>
    <w:uiPriority w:val="9"/>
    <w:semiHidden/>
    <w:unhideWhenUsed/>
    <w:qFormat/>
    <w:rsid w:val="002E2899"/>
    <w:pPr>
      <w:keepNext/>
      <w:keepLines/>
      <w:widowControl w:val="0"/>
      <w:spacing w:before="40"/>
      <w:outlineLvl w:val="6"/>
    </w:pPr>
    <w:rPr>
      <w:rFonts w:ascii="Arial Unicode MS" w:eastAsiaTheme="majorEastAsia" w:hAnsi="Arial Unicode MS" w:cstheme="majorBidi"/>
      <w:color w:val="595959" w:themeColor="text1" w:themeTint="A6"/>
      <w:sz w:val="24"/>
      <w:szCs w:val="24"/>
      <w:lang w:val="it-IT" w:eastAsia="it-IT" w:bidi="it-IT"/>
    </w:rPr>
  </w:style>
  <w:style w:type="paragraph" w:styleId="Heading8">
    <w:name w:val="heading 8"/>
    <w:basedOn w:val="Normal"/>
    <w:next w:val="Normal"/>
    <w:link w:val="Heading8Char"/>
    <w:unhideWhenUsed/>
    <w:qFormat/>
    <w:rsid w:val="00A912FC"/>
    <w:pPr>
      <w:keepNext/>
      <w:keepLines/>
      <w:spacing w:before="40"/>
      <w:outlineLvl w:val="7"/>
    </w:pPr>
    <w:rPr>
      <w:rFonts w:asciiTheme="majorHAnsi" w:eastAsiaTheme="majorEastAsia" w:hAnsiTheme="majorHAnsi" w:cstheme="majorBidi"/>
      <w:color w:val="272727" w:themeColor="text1" w:themeTint="D8"/>
      <w:sz w:val="21"/>
      <w:szCs w:val="21"/>
      <w:lang w:val="sq-AL" w:bidi="en-US"/>
    </w:rPr>
  </w:style>
  <w:style w:type="paragraph" w:styleId="Heading9">
    <w:name w:val="heading 9"/>
    <w:basedOn w:val="Normal"/>
    <w:next w:val="Normal"/>
    <w:link w:val="Heading9Char"/>
    <w:uiPriority w:val="9"/>
    <w:semiHidden/>
    <w:unhideWhenUsed/>
    <w:qFormat/>
    <w:rsid w:val="002E2899"/>
    <w:pPr>
      <w:keepNext/>
      <w:keepLines/>
      <w:widowControl w:val="0"/>
      <w:outlineLvl w:val="8"/>
    </w:pPr>
    <w:rPr>
      <w:rFonts w:ascii="Arial Unicode MS" w:eastAsiaTheme="majorEastAsia" w:hAnsi="Arial Unicode MS" w:cstheme="majorBidi"/>
      <w:color w:val="272727" w:themeColor="text1" w:themeTint="D8"/>
      <w:sz w:val="24"/>
      <w:szCs w:val="24"/>
      <w:lang w:val="it-IT" w:eastAsia="it-IT" w:bidi="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3D69E0"/>
    <w:pPr>
      <w:jc w:val="center"/>
    </w:pPr>
    <w:rPr>
      <w:rFonts w:ascii="Bookman Old Style" w:hAnsi="Bookman Old Style"/>
      <w:b/>
      <w:bCs/>
      <w:noProof/>
      <w:sz w:val="28"/>
      <w:szCs w:val="24"/>
      <w:lang w:val="en-GB"/>
    </w:rPr>
  </w:style>
  <w:style w:type="paragraph" w:styleId="Title">
    <w:name w:val="Title"/>
    <w:aliases w:val=" Char"/>
    <w:basedOn w:val="Normal"/>
    <w:link w:val="TitleChar"/>
    <w:qFormat/>
    <w:rsid w:val="003D69E0"/>
    <w:pPr>
      <w:jc w:val="center"/>
    </w:pPr>
    <w:rPr>
      <w:sz w:val="28"/>
      <w:szCs w:val="28"/>
    </w:rPr>
  </w:style>
  <w:style w:type="character" w:customStyle="1" w:styleId="TitleChar">
    <w:name w:val="Title Char"/>
    <w:aliases w:val=" Char Char1"/>
    <w:basedOn w:val="DefaultParagraphFont"/>
    <w:link w:val="Title"/>
    <w:rsid w:val="003D69E0"/>
    <w:rPr>
      <w:rFonts w:ascii="Times New Roman" w:eastAsia="Times New Roman" w:hAnsi="Times New Roman" w:cs="Times New Roman"/>
      <w:sz w:val="28"/>
      <w:szCs w:val="28"/>
      <w:lang w:val="en-US"/>
    </w:rPr>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List Paragraph 1"/>
    <w:basedOn w:val="Normal"/>
    <w:link w:val="ListParagraphChar"/>
    <w:uiPriority w:val="34"/>
    <w:qFormat/>
    <w:rsid w:val="003D69E0"/>
    <w:pPr>
      <w:ind w:left="720"/>
      <w:contextualSpacing/>
    </w:pPr>
  </w:style>
  <w:style w:type="paragraph" w:customStyle="1" w:styleId="StyleStyleCentered">
    <w:name w:val="Style Style + Centered"/>
    <w:basedOn w:val="Normal"/>
    <w:qFormat/>
    <w:rsid w:val="003D69E0"/>
    <w:pPr>
      <w:widowControl w:val="0"/>
      <w:autoSpaceDE w:val="0"/>
      <w:autoSpaceDN w:val="0"/>
      <w:adjustRightInd w:val="0"/>
      <w:jc w:val="center"/>
    </w:pPr>
    <w:rPr>
      <w:sz w:val="24"/>
    </w:rPr>
  </w:style>
  <w:style w:type="paragraph" w:styleId="Footer">
    <w:name w:val="footer"/>
    <w:basedOn w:val="Normal"/>
    <w:link w:val="FooterChar"/>
    <w:uiPriority w:val="99"/>
    <w:unhideWhenUsed/>
    <w:rsid w:val="003D69E0"/>
    <w:pPr>
      <w:tabs>
        <w:tab w:val="center" w:pos="4513"/>
        <w:tab w:val="right" w:pos="9026"/>
      </w:tabs>
    </w:pPr>
  </w:style>
  <w:style w:type="character" w:customStyle="1" w:styleId="FooterChar">
    <w:name w:val="Footer Char"/>
    <w:basedOn w:val="DefaultParagraphFont"/>
    <w:link w:val="Footer"/>
    <w:uiPriority w:val="99"/>
    <w:rsid w:val="003D69E0"/>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3D69E0"/>
    <w:rPr>
      <w:rFonts w:ascii="Tahoma" w:hAnsi="Tahoma" w:cs="Tahoma"/>
      <w:sz w:val="16"/>
      <w:szCs w:val="16"/>
    </w:rPr>
  </w:style>
  <w:style w:type="character" w:customStyle="1" w:styleId="BalloonTextChar">
    <w:name w:val="Balloon Text Char"/>
    <w:basedOn w:val="DefaultParagraphFont"/>
    <w:link w:val="BalloonText"/>
    <w:uiPriority w:val="99"/>
    <w:semiHidden/>
    <w:rsid w:val="003D69E0"/>
    <w:rPr>
      <w:rFonts w:ascii="Tahoma" w:eastAsia="Times New Roman" w:hAnsi="Tahoma" w:cs="Tahoma"/>
      <w:sz w:val="16"/>
      <w:szCs w:val="16"/>
      <w:lang w:val="en-US"/>
    </w:rPr>
  </w:style>
  <w:style w:type="character" w:customStyle="1" w:styleId="Heading2Char">
    <w:name w:val="Heading 2 Char"/>
    <w:basedOn w:val="DefaultParagraphFont"/>
    <w:link w:val="Heading2"/>
    <w:uiPriority w:val="9"/>
    <w:rsid w:val="00BD2476"/>
    <w:rPr>
      <w:rFonts w:asciiTheme="majorHAnsi" w:eastAsiaTheme="majorEastAsia" w:hAnsiTheme="majorHAnsi" w:cstheme="majorBidi"/>
      <w:b/>
      <w:bCs/>
      <w:color w:val="4F81BD" w:themeColor="accent1"/>
      <w:sz w:val="26"/>
      <w:szCs w:val="26"/>
      <w:lang w:val="en-US"/>
    </w:rPr>
  </w:style>
  <w:style w:type="paragraph" w:customStyle="1" w:styleId="Style10">
    <w:name w:val="Style10"/>
    <w:basedOn w:val="Normal"/>
    <w:qFormat/>
    <w:rsid w:val="006E7E2B"/>
    <w:pPr>
      <w:ind w:left="4320" w:hanging="2520"/>
      <w:jc w:val="both"/>
    </w:pPr>
    <w:rPr>
      <w:sz w:val="24"/>
      <w:szCs w:val="24"/>
      <w:lang w:val="sq-AL"/>
    </w:rPr>
  </w:style>
  <w:style w:type="character" w:customStyle="1" w:styleId="Heading5Char">
    <w:name w:val="Heading 5 Char"/>
    <w:basedOn w:val="DefaultParagraphFont"/>
    <w:link w:val="Heading5"/>
    <w:rsid w:val="006E40A5"/>
    <w:rPr>
      <w:rFonts w:asciiTheme="majorHAnsi" w:eastAsiaTheme="majorEastAsia" w:hAnsiTheme="majorHAnsi" w:cstheme="majorBidi"/>
      <w:color w:val="243F60" w:themeColor="accent1" w:themeShade="7F"/>
      <w:sz w:val="20"/>
      <w:szCs w:val="20"/>
      <w:lang w:val="en-US"/>
    </w:rPr>
  </w:style>
  <w:style w:type="paragraph" w:customStyle="1" w:styleId="Style4">
    <w:name w:val="Style4"/>
    <w:basedOn w:val="Normal"/>
    <w:qFormat/>
    <w:rsid w:val="006E40A5"/>
    <w:pPr>
      <w:jc w:val="center"/>
    </w:pPr>
    <w:rPr>
      <w:sz w:val="24"/>
      <w:szCs w:val="24"/>
      <w:lang w:val="sq-AL"/>
    </w:r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basedOn w:val="DefaultParagraphFont"/>
    <w:link w:val="ListParagraph"/>
    <w:uiPriority w:val="34"/>
    <w:qFormat/>
    <w:locked/>
    <w:rsid w:val="00621A81"/>
    <w:rPr>
      <w:rFonts w:ascii="Times New Roman" w:eastAsia="Times New Roman" w:hAnsi="Times New Roman" w:cs="Times New Roman"/>
      <w:sz w:val="20"/>
      <w:szCs w:val="20"/>
      <w:lang w:val="en-US"/>
    </w:rPr>
  </w:style>
  <w:style w:type="paragraph" w:styleId="FootnoteText">
    <w:name w:val="footnote text"/>
    <w:aliases w:val="Footnote Text Char1 Char Char Char,Footnote Text Char Char Char Char Char,single space,footnote text,fn,FOOTNOTES,Footnote Text Char1,Footnote Text Char2 Char,Footnote Text Char1 Char Char,Footnote Text Char2 Char Char Char, Char Char,Char"/>
    <w:basedOn w:val="Normal"/>
    <w:link w:val="FootnoteTextChar"/>
    <w:uiPriority w:val="99"/>
    <w:unhideWhenUsed/>
    <w:qFormat/>
    <w:rsid w:val="002F0A6A"/>
  </w:style>
  <w:style w:type="character" w:customStyle="1" w:styleId="FootnoteTextChar">
    <w:name w:val="Footnote Text Char"/>
    <w:aliases w:val="Footnote Text Char1 Char Char Char Char,Footnote Text Char Char Char Char Char Char,single space Char,footnote text Char,fn Char,FOOTNOTES Char,Footnote Text Char1 Char,Footnote Text Char2 Char Char,Footnote Text Char1 Char Char Char1"/>
    <w:basedOn w:val="DefaultParagraphFont"/>
    <w:link w:val="FootnoteText"/>
    <w:uiPriority w:val="99"/>
    <w:qFormat/>
    <w:rsid w:val="002F0A6A"/>
    <w:rPr>
      <w:rFonts w:ascii="Times New Roman" w:eastAsia="Times New Roman" w:hAnsi="Times New Roman" w:cs="Times New Roman"/>
      <w:sz w:val="20"/>
      <w:szCs w:val="20"/>
      <w:lang w:val="en-US"/>
    </w:rPr>
  </w:style>
  <w:style w:type="character" w:styleId="FootnoteReference">
    <w:name w:val="footnote reference"/>
    <w:aliases w:val="Rimando nota a piè di pagina2,BVI fnr,Footnote symbol,Footnote Reference Arial,Car Char Car Char Car Char Char Char Char Char Char Char,Footnote Refernece Char Char,Footnote Refernece Char,ftref,callout,fr,BVI fnr Char,titre, titre"/>
    <w:basedOn w:val="DefaultParagraphFont"/>
    <w:link w:val="Char2"/>
    <w:uiPriority w:val="99"/>
    <w:unhideWhenUsed/>
    <w:qFormat/>
    <w:rsid w:val="002F0A6A"/>
    <w:rPr>
      <w:vertAlign w:val="superscript"/>
    </w:rPr>
  </w:style>
  <w:style w:type="paragraph" w:customStyle="1" w:styleId="Default">
    <w:name w:val="Default"/>
    <w:rsid w:val="00122927"/>
    <w:pPr>
      <w:autoSpaceDE w:val="0"/>
      <w:autoSpaceDN w:val="0"/>
      <w:adjustRightInd w:val="0"/>
      <w:spacing w:after="0" w:line="240" w:lineRule="auto"/>
    </w:pPr>
    <w:rPr>
      <w:rFonts w:ascii="Garamond" w:eastAsia="Calibri" w:hAnsi="Garamond" w:cs="Garamond"/>
      <w:color w:val="000000"/>
      <w:sz w:val="24"/>
      <w:szCs w:val="24"/>
      <w:lang w:val="en-US"/>
    </w:rPr>
  </w:style>
  <w:style w:type="character" w:customStyle="1" w:styleId="Bodytext">
    <w:name w:val="Body text_"/>
    <w:basedOn w:val="DefaultParagraphFont"/>
    <w:link w:val="BodyText1"/>
    <w:rsid w:val="00122927"/>
    <w:rPr>
      <w:rFonts w:ascii="Bookman Old Style" w:eastAsia="Bookman Old Style" w:hAnsi="Bookman Old Style" w:cs="Bookman Old Style"/>
      <w:sz w:val="26"/>
      <w:szCs w:val="26"/>
      <w:shd w:val="clear" w:color="auto" w:fill="FFFFFF"/>
    </w:rPr>
  </w:style>
  <w:style w:type="paragraph" w:customStyle="1" w:styleId="BodyText1">
    <w:name w:val="Body Text1"/>
    <w:basedOn w:val="Normal"/>
    <w:link w:val="Bodytext"/>
    <w:qFormat/>
    <w:rsid w:val="00122927"/>
    <w:pPr>
      <w:widowControl w:val="0"/>
      <w:shd w:val="clear" w:color="auto" w:fill="FFFFFF"/>
      <w:spacing w:line="314" w:lineRule="exact"/>
      <w:ind w:hanging="400"/>
      <w:jc w:val="both"/>
    </w:pPr>
    <w:rPr>
      <w:rFonts w:ascii="Bookman Old Style" w:eastAsia="Bookman Old Style" w:hAnsi="Bookman Old Style" w:cs="Bookman Old Style"/>
      <w:sz w:val="26"/>
      <w:szCs w:val="26"/>
      <w:lang w:val="sq-AL"/>
    </w:rPr>
  </w:style>
  <w:style w:type="paragraph" w:styleId="BodyText0">
    <w:name w:val="Body Text"/>
    <w:basedOn w:val="Normal"/>
    <w:link w:val="BodyTextChar"/>
    <w:uiPriority w:val="99"/>
    <w:unhideWhenUsed/>
    <w:qFormat/>
    <w:rsid w:val="002E7390"/>
    <w:pPr>
      <w:spacing w:after="120"/>
    </w:pPr>
    <w:rPr>
      <w:rFonts w:eastAsia="MS Mincho"/>
      <w:sz w:val="24"/>
      <w:szCs w:val="24"/>
    </w:rPr>
  </w:style>
  <w:style w:type="character" w:customStyle="1" w:styleId="BodyTextChar">
    <w:name w:val="Body Text Char"/>
    <w:basedOn w:val="DefaultParagraphFont"/>
    <w:link w:val="BodyText0"/>
    <w:uiPriority w:val="99"/>
    <w:rsid w:val="002E7390"/>
    <w:rPr>
      <w:rFonts w:ascii="Times New Roman" w:eastAsia="MS Mincho" w:hAnsi="Times New Roman" w:cs="Times New Roman"/>
      <w:sz w:val="24"/>
      <w:szCs w:val="24"/>
    </w:rPr>
  </w:style>
  <w:style w:type="character" w:customStyle="1" w:styleId="Heading3Char">
    <w:name w:val="Heading 3 Char"/>
    <w:basedOn w:val="DefaultParagraphFont"/>
    <w:link w:val="Heading3"/>
    <w:rsid w:val="002E7390"/>
    <w:rPr>
      <w:rFonts w:asciiTheme="majorHAnsi" w:eastAsiaTheme="majorEastAsia" w:hAnsiTheme="majorHAnsi" w:cstheme="majorBidi"/>
      <w:b/>
      <w:bCs/>
      <w:color w:val="4F81BD" w:themeColor="accent1"/>
      <w:sz w:val="20"/>
      <w:szCs w:val="20"/>
      <w:lang w:val="en-US"/>
    </w:rPr>
  </w:style>
  <w:style w:type="character" w:styleId="PlaceholderText">
    <w:name w:val="Placeholder Text"/>
    <w:basedOn w:val="DefaultParagraphFont"/>
    <w:uiPriority w:val="99"/>
    <w:semiHidden/>
    <w:rsid w:val="007C5FCD"/>
    <w:rPr>
      <w:color w:val="808080"/>
    </w:rPr>
  </w:style>
  <w:style w:type="paragraph" w:styleId="BodyTextIndent3">
    <w:name w:val="Body Text Indent 3"/>
    <w:basedOn w:val="Normal"/>
    <w:link w:val="BodyTextIndent3Char"/>
    <w:uiPriority w:val="99"/>
    <w:unhideWhenUsed/>
    <w:rsid w:val="00CD5B3F"/>
    <w:pPr>
      <w:spacing w:after="120"/>
      <w:ind w:left="360"/>
    </w:pPr>
    <w:rPr>
      <w:sz w:val="16"/>
      <w:szCs w:val="16"/>
    </w:rPr>
  </w:style>
  <w:style w:type="character" w:customStyle="1" w:styleId="BodyTextIndent3Char">
    <w:name w:val="Body Text Indent 3 Char"/>
    <w:basedOn w:val="DefaultParagraphFont"/>
    <w:link w:val="BodyTextIndent3"/>
    <w:uiPriority w:val="99"/>
    <w:rsid w:val="00CD5B3F"/>
    <w:rPr>
      <w:rFonts w:ascii="Times New Roman" w:eastAsia="Times New Roman" w:hAnsi="Times New Roman" w:cs="Times New Roman"/>
      <w:sz w:val="16"/>
      <w:szCs w:val="16"/>
      <w:lang w:val="en-US"/>
    </w:rPr>
  </w:style>
  <w:style w:type="paragraph" w:styleId="BodyTextIndent">
    <w:name w:val="Body Text Indent"/>
    <w:basedOn w:val="Normal"/>
    <w:link w:val="BodyTextIndentChar"/>
    <w:uiPriority w:val="99"/>
    <w:unhideWhenUsed/>
    <w:rsid w:val="00CD5B3F"/>
    <w:pPr>
      <w:spacing w:after="120"/>
      <w:ind w:left="360"/>
    </w:pPr>
  </w:style>
  <w:style w:type="character" w:customStyle="1" w:styleId="BodyTextIndentChar">
    <w:name w:val="Body Text Indent Char"/>
    <w:basedOn w:val="DefaultParagraphFont"/>
    <w:link w:val="BodyTextIndent"/>
    <w:uiPriority w:val="99"/>
    <w:rsid w:val="00CD5B3F"/>
    <w:rPr>
      <w:rFonts w:ascii="Times New Roman" w:eastAsia="Times New Roman" w:hAnsi="Times New Roman" w:cs="Times New Roman"/>
      <w:sz w:val="20"/>
      <w:szCs w:val="20"/>
      <w:lang w:val="en-US"/>
    </w:rPr>
  </w:style>
  <w:style w:type="character" w:customStyle="1" w:styleId="bodytext2">
    <w:name w:val="bodytext"/>
    <w:basedOn w:val="DefaultParagraphFont"/>
    <w:rsid w:val="00F508FE"/>
  </w:style>
  <w:style w:type="character" w:styleId="Strong">
    <w:name w:val="Strong"/>
    <w:basedOn w:val="DefaultParagraphFont"/>
    <w:uiPriority w:val="22"/>
    <w:qFormat/>
    <w:rsid w:val="00F508FE"/>
    <w:rPr>
      <w:b/>
      <w:bCs/>
    </w:rPr>
  </w:style>
  <w:style w:type="character" w:customStyle="1" w:styleId="FontStyle11">
    <w:name w:val="Font Style11"/>
    <w:basedOn w:val="DefaultParagraphFont"/>
    <w:uiPriority w:val="99"/>
    <w:rsid w:val="0055687D"/>
    <w:rPr>
      <w:b/>
      <w:bCs/>
    </w:rPr>
  </w:style>
  <w:style w:type="character" w:customStyle="1" w:styleId="FontStyle13">
    <w:name w:val="Font Style13"/>
    <w:basedOn w:val="DefaultParagraphFont"/>
    <w:uiPriority w:val="99"/>
    <w:rsid w:val="0055687D"/>
    <w:rPr>
      <w:sz w:val="18"/>
      <w:szCs w:val="18"/>
    </w:rPr>
  </w:style>
  <w:style w:type="character" w:customStyle="1" w:styleId="FontStyle19">
    <w:name w:val="Font Style19"/>
    <w:basedOn w:val="DefaultParagraphFont"/>
    <w:uiPriority w:val="99"/>
    <w:rsid w:val="0055687D"/>
    <w:rPr>
      <w:sz w:val="16"/>
      <w:szCs w:val="16"/>
    </w:rPr>
  </w:style>
  <w:style w:type="character" w:customStyle="1" w:styleId="FontStyle12">
    <w:name w:val="Font Style12"/>
    <w:basedOn w:val="DefaultParagraphFont"/>
    <w:uiPriority w:val="99"/>
    <w:rsid w:val="0055687D"/>
    <w:rPr>
      <w:b/>
      <w:bCs/>
      <w:sz w:val="18"/>
      <w:szCs w:val="18"/>
    </w:rPr>
  </w:style>
  <w:style w:type="paragraph" w:customStyle="1" w:styleId="Style2">
    <w:name w:val="Style2"/>
    <w:basedOn w:val="Normal"/>
    <w:uiPriority w:val="99"/>
    <w:rsid w:val="0055687D"/>
    <w:pPr>
      <w:autoSpaceDE w:val="0"/>
      <w:autoSpaceDN w:val="0"/>
      <w:adjustRightInd w:val="0"/>
      <w:spacing w:line="212" w:lineRule="exact"/>
      <w:jc w:val="both"/>
    </w:pPr>
    <w:rPr>
      <w:rFonts w:eastAsiaTheme="minorHAnsi"/>
      <w:sz w:val="24"/>
      <w:szCs w:val="24"/>
    </w:rPr>
  </w:style>
  <w:style w:type="character" w:customStyle="1" w:styleId="FontStyle16">
    <w:name w:val="Font Style16"/>
    <w:basedOn w:val="DefaultParagraphFont"/>
    <w:uiPriority w:val="99"/>
    <w:rsid w:val="0055687D"/>
    <w:rPr>
      <w:rFonts w:ascii="Book Antiqua" w:hAnsi="Book Antiqua" w:cs="Book Antiqua"/>
      <w:sz w:val="22"/>
      <w:szCs w:val="22"/>
    </w:rPr>
  </w:style>
  <w:style w:type="character" w:customStyle="1" w:styleId="a">
    <w:name w:val="a"/>
    <w:basedOn w:val="DefaultParagraphFont"/>
    <w:uiPriority w:val="99"/>
    <w:rsid w:val="0055687D"/>
  </w:style>
  <w:style w:type="character" w:customStyle="1" w:styleId="markedcontent">
    <w:name w:val="markedcontent"/>
    <w:basedOn w:val="DefaultParagraphFont"/>
    <w:rsid w:val="00DA2AE3"/>
  </w:style>
  <w:style w:type="paragraph" w:styleId="NoSpacing">
    <w:name w:val="No Spacing"/>
    <w:basedOn w:val="Normal"/>
    <w:link w:val="NoSpacingChar"/>
    <w:uiPriority w:val="1"/>
    <w:qFormat/>
    <w:rsid w:val="008B4871"/>
    <w:pPr>
      <w:spacing w:before="100" w:beforeAutospacing="1" w:after="100" w:afterAutospacing="1"/>
    </w:pPr>
    <w:rPr>
      <w:sz w:val="24"/>
      <w:szCs w:val="24"/>
      <w:lang w:val="sq-AL" w:eastAsia="sq-AL"/>
    </w:rPr>
  </w:style>
  <w:style w:type="character" w:customStyle="1" w:styleId="NoSpacingChar">
    <w:name w:val="No Spacing Char"/>
    <w:link w:val="NoSpacing"/>
    <w:uiPriority w:val="1"/>
    <w:locked/>
    <w:rsid w:val="008B4871"/>
    <w:rPr>
      <w:rFonts w:ascii="Times New Roman" w:eastAsia="Times New Roman" w:hAnsi="Times New Roman" w:cs="Times New Roman"/>
      <w:sz w:val="24"/>
      <w:szCs w:val="24"/>
      <w:lang w:eastAsia="sq-AL"/>
    </w:rPr>
  </w:style>
  <w:style w:type="paragraph" w:styleId="Header">
    <w:name w:val="header"/>
    <w:basedOn w:val="Normal"/>
    <w:link w:val="HeaderChar"/>
    <w:uiPriority w:val="99"/>
    <w:unhideWhenUsed/>
    <w:rsid w:val="00FC48F7"/>
    <w:pPr>
      <w:tabs>
        <w:tab w:val="center" w:pos="4680"/>
        <w:tab w:val="right" w:pos="9360"/>
      </w:tabs>
    </w:pPr>
  </w:style>
  <w:style w:type="character" w:customStyle="1" w:styleId="HeaderChar">
    <w:name w:val="Header Char"/>
    <w:basedOn w:val="DefaultParagraphFont"/>
    <w:link w:val="Header"/>
    <w:uiPriority w:val="99"/>
    <w:rsid w:val="00FC48F7"/>
    <w:rPr>
      <w:rFonts w:ascii="Times New Roman" w:eastAsia="Times New Roman" w:hAnsi="Times New Roman" w:cs="Times New Roman"/>
      <w:sz w:val="20"/>
      <w:szCs w:val="20"/>
      <w:lang w:val="en-US"/>
    </w:rPr>
  </w:style>
  <w:style w:type="character" w:customStyle="1" w:styleId="bodytext13bookmanoldstyle">
    <w:name w:val="bodytext13bookmanoldstyle"/>
    <w:basedOn w:val="DefaultParagraphFont"/>
    <w:rsid w:val="00386E25"/>
  </w:style>
  <w:style w:type="character" w:customStyle="1" w:styleId="BodytextExact">
    <w:name w:val="Body text Exact"/>
    <w:rsid w:val="00A124A2"/>
    <w:rPr>
      <w:rFonts w:ascii="Times New Roman" w:eastAsia="Times New Roman" w:hAnsi="Times New Roman" w:cs="Times New Roman"/>
      <w:b w:val="0"/>
      <w:bCs w:val="0"/>
      <w:i w:val="0"/>
      <w:iCs w:val="0"/>
      <w:smallCaps w:val="0"/>
      <w:strike w:val="0"/>
      <w:spacing w:val="3"/>
      <w:sz w:val="26"/>
      <w:szCs w:val="26"/>
      <w:u w:val="none"/>
      <w:lang w:val="it-IT" w:eastAsia="it-IT" w:bidi="it-IT"/>
    </w:rPr>
  </w:style>
  <w:style w:type="table" w:styleId="TableGrid">
    <w:name w:val="Table Grid"/>
    <w:basedOn w:val="TableNormal"/>
    <w:uiPriority w:val="39"/>
    <w:rsid w:val="00501C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Normal (Web) Char Char Char Char"/>
    <w:basedOn w:val="Normal"/>
    <w:uiPriority w:val="99"/>
    <w:unhideWhenUsed/>
    <w:rsid w:val="00501CC7"/>
    <w:pPr>
      <w:spacing w:before="100" w:beforeAutospacing="1" w:after="100" w:afterAutospacing="1"/>
    </w:pPr>
    <w:rPr>
      <w:sz w:val="24"/>
      <w:szCs w:val="24"/>
    </w:rPr>
  </w:style>
  <w:style w:type="numbering" w:customStyle="1" w:styleId="NoList1">
    <w:name w:val="No List1"/>
    <w:next w:val="NoList"/>
    <w:uiPriority w:val="99"/>
    <w:semiHidden/>
    <w:unhideWhenUsed/>
    <w:rsid w:val="00501CC7"/>
  </w:style>
  <w:style w:type="numbering" w:customStyle="1" w:styleId="NoList11">
    <w:name w:val="No List11"/>
    <w:next w:val="NoList"/>
    <w:uiPriority w:val="99"/>
    <w:semiHidden/>
    <w:unhideWhenUsed/>
    <w:rsid w:val="00501CC7"/>
  </w:style>
  <w:style w:type="character" w:styleId="Hyperlink">
    <w:name w:val="Hyperlink"/>
    <w:basedOn w:val="DefaultParagraphFont"/>
    <w:uiPriority w:val="99"/>
    <w:unhideWhenUsed/>
    <w:rsid w:val="00501CC7"/>
    <w:rPr>
      <w:color w:val="0000FF"/>
      <w:u w:val="single"/>
    </w:rPr>
  </w:style>
  <w:style w:type="character" w:customStyle="1" w:styleId="ams">
    <w:name w:val="ams"/>
    <w:basedOn w:val="DefaultParagraphFont"/>
    <w:rsid w:val="00501CC7"/>
  </w:style>
  <w:style w:type="character" w:styleId="CommentReference">
    <w:name w:val="annotation reference"/>
    <w:basedOn w:val="DefaultParagraphFont"/>
    <w:uiPriority w:val="99"/>
    <w:semiHidden/>
    <w:unhideWhenUsed/>
    <w:rsid w:val="00501CC7"/>
    <w:rPr>
      <w:sz w:val="16"/>
      <w:szCs w:val="16"/>
    </w:rPr>
  </w:style>
  <w:style w:type="paragraph" w:styleId="CommentText">
    <w:name w:val="annotation text"/>
    <w:basedOn w:val="Normal"/>
    <w:link w:val="CommentTextChar"/>
    <w:uiPriority w:val="99"/>
    <w:unhideWhenUsed/>
    <w:rsid w:val="00501CC7"/>
    <w:pPr>
      <w:spacing w:after="160"/>
    </w:pPr>
    <w:rPr>
      <w:rFonts w:asciiTheme="minorHAnsi" w:eastAsiaTheme="minorHAnsi" w:hAnsiTheme="minorHAnsi" w:cstheme="minorBidi"/>
      <w:lang w:val="sq-AL"/>
    </w:rPr>
  </w:style>
  <w:style w:type="character" w:customStyle="1" w:styleId="CommentTextChar">
    <w:name w:val="Comment Text Char"/>
    <w:basedOn w:val="DefaultParagraphFont"/>
    <w:link w:val="CommentText"/>
    <w:uiPriority w:val="99"/>
    <w:rsid w:val="00501CC7"/>
    <w:rPr>
      <w:sz w:val="20"/>
      <w:szCs w:val="20"/>
    </w:rPr>
  </w:style>
  <w:style w:type="paragraph" w:styleId="CommentSubject">
    <w:name w:val="annotation subject"/>
    <w:basedOn w:val="CommentText"/>
    <w:next w:val="CommentText"/>
    <w:link w:val="CommentSubjectChar"/>
    <w:uiPriority w:val="99"/>
    <w:semiHidden/>
    <w:unhideWhenUsed/>
    <w:rsid w:val="00501CC7"/>
    <w:rPr>
      <w:b/>
      <w:bCs/>
    </w:rPr>
  </w:style>
  <w:style w:type="character" w:customStyle="1" w:styleId="CommentSubjectChar">
    <w:name w:val="Comment Subject Char"/>
    <w:basedOn w:val="CommentTextChar"/>
    <w:link w:val="CommentSubject"/>
    <w:uiPriority w:val="99"/>
    <w:semiHidden/>
    <w:rsid w:val="00501CC7"/>
    <w:rPr>
      <w:b/>
      <w:bCs/>
      <w:sz w:val="20"/>
      <w:szCs w:val="20"/>
    </w:rPr>
  </w:style>
  <w:style w:type="character" w:customStyle="1" w:styleId="Heading1Char">
    <w:name w:val="Heading 1 Char"/>
    <w:basedOn w:val="DefaultParagraphFont"/>
    <w:link w:val="Heading1"/>
    <w:uiPriority w:val="9"/>
    <w:rsid w:val="00F845D4"/>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DefaultParagraphFont"/>
    <w:uiPriority w:val="99"/>
    <w:semiHidden/>
    <w:unhideWhenUsed/>
    <w:rsid w:val="00F845D4"/>
    <w:rPr>
      <w:color w:val="605E5C"/>
      <w:shd w:val="clear" w:color="auto" w:fill="E1DFDD"/>
    </w:rPr>
  </w:style>
  <w:style w:type="paragraph" w:customStyle="1" w:styleId="stylejustifiedleft025hanging025">
    <w:name w:val="stylejustifiedleft025hanging025"/>
    <w:basedOn w:val="Normal"/>
    <w:rsid w:val="00F845D4"/>
    <w:pPr>
      <w:spacing w:before="100" w:beforeAutospacing="1" w:after="100" w:afterAutospacing="1"/>
    </w:pPr>
    <w:rPr>
      <w:sz w:val="24"/>
      <w:szCs w:val="24"/>
    </w:rPr>
  </w:style>
  <w:style w:type="character" w:styleId="Emphasis">
    <w:name w:val="Emphasis"/>
    <w:basedOn w:val="DefaultParagraphFont"/>
    <w:uiPriority w:val="20"/>
    <w:qFormat/>
    <w:rsid w:val="00F845D4"/>
    <w:rPr>
      <w:i/>
      <w:iCs/>
    </w:rPr>
  </w:style>
  <w:style w:type="paragraph" w:customStyle="1" w:styleId="bodytext10">
    <w:name w:val="bodytext1"/>
    <w:basedOn w:val="Normal"/>
    <w:rsid w:val="00F845D4"/>
    <w:pPr>
      <w:spacing w:before="100" w:beforeAutospacing="1" w:after="100" w:afterAutospacing="1"/>
    </w:pPr>
    <w:rPr>
      <w:sz w:val="24"/>
      <w:szCs w:val="24"/>
    </w:rPr>
  </w:style>
  <w:style w:type="paragraph" w:customStyle="1" w:styleId="bodytext3">
    <w:name w:val="bodytext3"/>
    <w:basedOn w:val="Normal"/>
    <w:rsid w:val="00F845D4"/>
    <w:pPr>
      <w:spacing w:before="100" w:beforeAutospacing="1" w:after="100" w:afterAutospacing="1"/>
    </w:pPr>
    <w:rPr>
      <w:sz w:val="24"/>
      <w:szCs w:val="24"/>
    </w:rPr>
  </w:style>
  <w:style w:type="paragraph" w:customStyle="1" w:styleId="bodytext20">
    <w:name w:val="bodytext20"/>
    <w:basedOn w:val="Normal"/>
    <w:rsid w:val="00F845D4"/>
    <w:pPr>
      <w:spacing w:before="100" w:beforeAutospacing="1" w:after="100" w:afterAutospacing="1"/>
    </w:pPr>
    <w:rPr>
      <w:sz w:val="24"/>
      <w:szCs w:val="24"/>
    </w:rPr>
  </w:style>
  <w:style w:type="paragraph" w:styleId="ListBullet">
    <w:name w:val="List Bullet"/>
    <w:basedOn w:val="Normal"/>
    <w:uiPriority w:val="99"/>
    <w:unhideWhenUsed/>
    <w:rsid w:val="00F845D4"/>
    <w:pPr>
      <w:numPr>
        <w:numId w:val="1"/>
      </w:numPr>
      <w:contextualSpacing/>
    </w:pPr>
  </w:style>
  <w:style w:type="character" w:customStyle="1" w:styleId="Bodytext4">
    <w:name w:val="Body text (4)"/>
    <w:basedOn w:val="DefaultParagraphFont"/>
    <w:rsid w:val="00A82B7F"/>
    <w:rPr>
      <w:rFonts w:ascii="Times New Roman" w:eastAsia="Times New Roman" w:hAnsi="Times New Roman" w:cs="Times New Roman" w:hint="default"/>
      <w:b/>
      <w:bCs/>
      <w:i/>
      <w:iCs/>
      <w:smallCaps w:val="0"/>
      <w:color w:val="000000"/>
      <w:spacing w:val="0"/>
      <w:w w:val="100"/>
      <w:position w:val="0"/>
      <w:sz w:val="23"/>
      <w:szCs w:val="23"/>
      <w:u w:val="single"/>
      <w:lang w:val="sq-AL"/>
    </w:rPr>
  </w:style>
  <w:style w:type="character" w:customStyle="1" w:styleId="FontStyle32">
    <w:name w:val="Font Style32"/>
    <w:basedOn w:val="DefaultParagraphFont"/>
    <w:uiPriority w:val="99"/>
    <w:rsid w:val="007C0090"/>
    <w:rPr>
      <w:rFonts w:ascii="Times New Roman" w:hAnsi="Times New Roman" w:cs="Times New Roman"/>
      <w:sz w:val="22"/>
      <w:szCs w:val="22"/>
    </w:rPr>
  </w:style>
  <w:style w:type="paragraph" w:customStyle="1" w:styleId="BodyText21">
    <w:name w:val="Body Text2"/>
    <w:basedOn w:val="Normal"/>
    <w:rsid w:val="00ED2032"/>
    <w:pPr>
      <w:widowControl w:val="0"/>
      <w:shd w:val="clear" w:color="auto" w:fill="FFFFFF"/>
      <w:spacing w:before="60" w:after="180" w:line="320" w:lineRule="exact"/>
      <w:jc w:val="both"/>
    </w:pPr>
    <w:rPr>
      <w:sz w:val="23"/>
      <w:szCs w:val="23"/>
      <w:lang w:val="sq-AL"/>
    </w:rPr>
  </w:style>
  <w:style w:type="character" w:customStyle="1" w:styleId="BodytextBold">
    <w:name w:val="Body text + Bold"/>
    <w:aliases w:val="Italic,Spacing 1 pt,Body text + Times New Roman,11.5 pt,Spacing 0 pt,11 pt,Body text (4) + 16 pt,Body text (5) + 16 pt,Body text + 15 pt,Body text + 4.5 pt,Body text (5) + Times New Roman,21.5 pt,Spacing 0 pt Exact"/>
    <w:basedOn w:val="DefaultParagraphFont"/>
    <w:rsid w:val="00ED2032"/>
    <w:rPr>
      <w:rFonts w:ascii="Times New Roman" w:eastAsia="Times New Roman" w:hAnsi="Times New Roman" w:cs="Times New Roman"/>
      <w:b/>
      <w:bCs/>
      <w:color w:val="000000"/>
      <w:spacing w:val="0"/>
      <w:w w:val="100"/>
      <w:position w:val="0"/>
      <w:sz w:val="20"/>
      <w:szCs w:val="20"/>
      <w:shd w:val="clear" w:color="auto" w:fill="FFFFFF"/>
      <w:lang w:val="sq-AL"/>
    </w:rPr>
  </w:style>
  <w:style w:type="paragraph" w:customStyle="1" w:styleId="yiv7940849161msonormal">
    <w:name w:val="yiv7940849161msonormal"/>
    <w:basedOn w:val="Normal"/>
    <w:rsid w:val="00AF4891"/>
    <w:pPr>
      <w:spacing w:before="100" w:beforeAutospacing="1" w:after="100" w:afterAutospacing="1"/>
    </w:pPr>
    <w:rPr>
      <w:sz w:val="24"/>
      <w:szCs w:val="24"/>
      <w:lang w:val="sq-AL" w:eastAsia="sq-AL"/>
    </w:rPr>
  </w:style>
  <w:style w:type="paragraph" w:customStyle="1" w:styleId="yiv7940849161gmail-msonormal">
    <w:name w:val="yiv7940849161gmail-msonormal"/>
    <w:basedOn w:val="Normal"/>
    <w:rsid w:val="00AF4891"/>
    <w:pPr>
      <w:spacing w:before="100" w:beforeAutospacing="1" w:after="100" w:afterAutospacing="1"/>
    </w:pPr>
    <w:rPr>
      <w:sz w:val="24"/>
      <w:szCs w:val="24"/>
      <w:lang w:val="sq-AL" w:eastAsia="sq-AL"/>
    </w:rPr>
  </w:style>
  <w:style w:type="table" w:customStyle="1" w:styleId="TableGrid1">
    <w:name w:val="Table Grid1"/>
    <w:basedOn w:val="TableNormal"/>
    <w:uiPriority w:val="39"/>
    <w:rsid w:val="00AF4891"/>
    <w:pPr>
      <w:spacing w:after="0" w:line="240" w:lineRule="auto"/>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DefaultParagraphFont"/>
    <w:link w:val="Footnote20"/>
    <w:uiPriority w:val="99"/>
    <w:rsid w:val="00AF4891"/>
    <w:rPr>
      <w:sz w:val="19"/>
      <w:szCs w:val="19"/>
      <w:shd w:val="clear" w:color="auto" w:fill="FFFFFF"/>
    </w:rPr>
  </w:style>
  <w:style w:type="character" w:customStyle="1" w:styleId="Footnote">
    <w:name w:val="Footnote_"/>
    <w:basedOn w:val="DefaultParagraphFont"/>
    <w:link w:val="Footnote1"/>
    <w:uiPriority w:val="99"/>
    <w:rsid w:val="00AF4891"/>
    <w:rPr>
      <w:i/>
      <w:iCs/>
      <w:sz w:val="19"/>
      <w:szCs w:val="19"/>
      <w:shd w:val="clear" w:color="auto" w:fill="FFFFFF"/>
    </w:rPr>
  </w:style>
  <w:style w:type="character" w:customStyle="1" w:styleId="FootnoteNotItalic">
    <w:name w:val="Footnote + Not Italic"/>
    <w:basedOn w:val="Footnote"/>
    <w:uiPriority w:val="99"/>
    <w:rsid w:val="00AF4891"/>
    <w:rPr>
      <w:i w:val="0"/>
      <w:iCs w:val="0"/>
      <w:sz w:val="19"/>
      <w:szCs w:val="19"/>
      <w:shd w:val="clear" w:color="auto" w:fill="FFFFFF"/>
    </w:rPr>
  </w:style>
  <w:style w:type="character" w:customStyle="1" w:styleId="Footnote0">
    <w:name w:val="Footnote"/>
    <w:basedOn w:val="Footnote"/>
    <w:uiPriority w:val="99"/>
    <w:rsid w:val="00AF4891"/>
    <w:rPr>
      <w:i/>
      <w:iCs/>
      <w:sz w:val="19"/>
      <w:szCs w:val="19"/>
      <w:shd w:val="clear" w:color="auto" w:fill="FFFFFF"/>
    </w:rPr>
  </w:style>
  <w:style w:type="character" w:customStyle="1" w:styleId="Footnote2Italic">
    <w:name w:val="Footnote (2) + Italic"/>
    <w:basedOn w:val="Footnote2"/>
    <w:uiPriority w:val="99"/>
    <w:rsid w:val="00AF4891"/>
    <w:rPr>
      <w:i/>
      <w:iCs/>
      <w:sz w:val="19"/>
      <w:szCs w:val="19"/>
      <w:shd w:val="clear" w:color="auto" w:fill="FFFFFF"/>
    </w:rPr>
  </w:style>
  <w:style w:type="character" w:customStyle="1" w:styleId="Footnote29pt">
    <w:name w:val="Footnote (2) + 9 pt"/>
    <w:basedOn w:val="Footnote2"/>
    <w:uiPriority w:val="99"/>
    <w:rsid w:val="00AF4891"/>
    <w:rPr>
      <w:sz w:val="18"/>
      <w:szCs w:val="18"/>
      <w:shd w:val="clear" w:color="auto" w:fill="FFFFFF"/>
    </w:rPr>
  </w:style>
  <w:style w:type="character" w:customStyle="1" w:styleId="BodyTextChar1">
    <w:name w:val="Body Text Char1"/>
    <w:basedOn w:val="DefaultParagraphFont"/>
    <w:uiPriority w:val="99"/>
    <w:rsid w:val="00AF4891"/>
    <w:rPr>
      <w:rFonts w:ascii="Times New Roman" w:hAnsi="Times New Roman" w:cs="Times New Roman"/>
      <w:sz w:val="23"/>
      <w:szCs w:val="23"/>
      <w:u w:val="none"/>
    </w:rPr>
  </w:style>
  <w:style w:type="character" w:customStyle="1" w:styleId="BodytextGeorgia">
    <w:name w:val="Body text + Georgia"/>
    <w:aliases w:val="9.5 pt"/>
    <w:basedOn w:val="BodyTextChar1"/>
    <w:uiPriority w:val="99"/>
    <w:rsid w:val="00AF4891"/>
    <w:rPr>
      <w:rFonts w:ascii="Georgia" w:hAnsi="Georgia" w:cs="Georgia"/>
      <w:sz w:val="19"/>
      <w:szCs w:val="19"/>
      <w:u w:val="none"/>
    </w:rPr>
  </w:style>
  <w:style w:type="character" w:customStyle="1" w:styleId="BodytextItalic">
    <w:name w:val="Body text + Italic"/>
    <w:basedOn w:val="BodyTextChar1"/>
    <w:rsid w:val="00AF4891"/>
    <w:rPr>
      <w:rFonts w:ascii="Times New Roman" w:hAnsi="Times New Roman" w:cs="Times New Roman"/>
      <w:i/>
      <w:iCs/>
      <w:sz w:val="23"/>
      <w:szCs w:val="23"/>
      <w:u w:val="none"/>
    </w:rPr>
  </w:style>
  <w:style w:type="character" w:customStyle="1" w:styleId="Bodytext22">
    <w:name w:val="Body text (2)_"/>
    <w:basedOn w:val="DefaultParagraphFont"/>
    <w:link w:val="Bodytext210"/>
    <w:rsid w:val="00AF4891"/>
    <w:rPr>
      <w:i/>
      <w:iCs/>
      <w:sz w:val="23"/>
      <w:szCs w:val="23"/>
      <w:shd w:val="clear" w:color="auto" w:fill="FFFFFF"/>
    </w:rPr>
  </w:style>
  <w:style w:type="character" w:customStyle="1" w:styleId="Bodytext2NotItalic">
    <w:name w:val="Body text (2) + Not Italic"/>
    <w:basedOn w:val="Bodytext22"/>
    <w:uiPriority w:val="99"/>
    <w:rsid w:val="00AF4891"/>
    <w:rPr>
      <w:i w:val="0"/>
      <w:iCs w:val="0"/>
      <w:sz w:val="23"/>
      <w:szCs w:val="23"/>
      <w:shd w:val="clear" w:color="auto" w:fill="FFFFFF"/>
    </w:rPr>
  </w:style>
  <w:style w:type="character" w:customStyle="1" w:styleId="Bodytext23">
    <w:name w:val="Body text (2)"/>
    <w:basedOn w:val="Bodytext22"/>
    <w:uiPriority w:val="99"/>
    <w:rsid w:val="00AF4891"/>
    <w:rPr>
      <w:i/>
      <w:iCs/>
      <w:sz w:val="23"/>
      <w:szCs w:val="23"/>
      <w:u w:val="single"/>
      <w:shd w:val="clear" w:color="auto" w:fill="FFFFFF"/>
    </w:rPr>
  </w:style>
  <w:style w:type="character" w:customStyle="1" w:styleId="Bodytext2Georgia">
    <w:name w:val="Body text (2) + Georgia"/>
    <w:aliases w:val="9.5 pt3,Not Italic,Body text (3) + 15 pt"/>
    <w:basedOn w:val="Bodytext22"/>
    <w:rsid w:val="00AF4891"/>
    <w:rPr>
      <w:rFonts w:ascii="Georgia" w:hAnsi="Georgia" w:cs="Georgia"/>
      <w:i w:val="0"/>
      <w:iCs w:val="0"/>
      <w:sz w:val="19"/>
      <w:szCs w:val="19"/>
      <w:shd w:val="clear" w:color="auto" w:fill="FFFFFF"/>
    </w:rPr>
  </w:style>
  <w:style w:type="character" w:customStyle="1" w:styleId="Bodytext2NotItalic1">
    <w:name w:val="Body text (2) + Not Italic1"/>
    <w:basedOn w:val="Bodytext22"/>
    <w:uiPriority w:val="99"/>
    <w:rsid w:val="00AF4891"/>
    <w:rPr>
      <w:i w:val="0"/>
      <w:iCs w:val="0"/>
      <w:sz w:val="23"/>
      <w:szCs w:val="23"/>
      <w:u w:val="single"/>
      <w:shd w:val="clear" w:color="auto" w:fill="FFFFFF"/>
    </w:rPr>
  </w:style>
  <w:style w:type="character" w:customStyle="1" w:styleId="BodytextGeorgia2">
    <w:name w:val="Body text + Georgia2"/>
    <w:aliases w:val="9.5 pt2"/>
    <w:basedOn w:val="BodyTextChar1"/>
    <w:uiPriority w:val="99"/>
    <w:rsid w:val="00AF4891"/>
    <w:rPr>
      <w:rFonts w:ascii="Georgia" w:hAnsi="Georgia" w:cs="Georgia"/>
      <w:sz w:val="19"/>
      <w:szCs w:val="19"/>
      <w:u w:val="none"/>
    </w:rPr>
  </w:style>
  <w:style w:type="character" w:customStyle="1" w:styleId="BodytextItalic1">
    <w:name w:val="Body text + Italic1"/>
    <w:basedOn w:val="BodyTextChar1"/>
    <w:uiPriority w:val="99"/>
    <w:rsid w:val="00AF4891"/>
    <w:rPr>
      <w:rFonts w:ascii="Times New Roman" w:hAnsi="Times New Roman" w:cs="Times New Roman"/>
      <w:i/>
      <w:iCs/>
      <w:sz w:val="23"/>
      <w:szCs w:val="23"/>
      <w:u w:val="none"/>
    </w:rPr>
  </w:style>
  <w:style w:type="paragraph" w:customStyle="1" w:styleId="Footnote20">
    <w:name w:val="Footnote (2)"/>
    <w:basedOn w:val="Normal"/>
    <w:link w:val="Footnote2"/>
    <w:uiPriority w:val="99"/>
    <w:rsid w:val="00AF4891"/>
    <w:pPr>
      <w:widowControl w:val="0"/>
      <w:shd w:val="clear" w:color="auto" w:fill="FFFFFF"/>
      <w:spacing w:line="230" w:lineRule="exact"/>
    </w:pPr>
    <w:rPr>
      <w:rFonts w:asciiTheme="minorHAnsi" w:eastAsiaTheme="minorHAnsi" w:hAnsiTheme="minorHAnsi" w:cstheme="minorBidi"/>
      <w:sz w:val="19"/>
      <w:szCs w:val="19"/>
      <w:lang w:val="sq-AL"/>
    </w:rPr>
  </w:style>
  <w:style w:type="paragraph" w:customStyle="1" w:styleId="Footnote1">
    <w:name w:val="Footnote1"/>
    <w:basedOn w:val="Normal"/>
    <w:link w:val="Footnote"/>
    <w:uiPriority w:val="99"/>
    <w:rsid w:val="00AF4891"/>
    <w:pPr>
      <w:widowControl w:val="0"/>
      <w:shd w:val="clear" w:color="auto" w:fill="FFFFFF"/>
      <w:spacing w:line="230" w:lineRule="exact"/>
      <w:jc w:val="both"/>
    </w:pPr>
    <w:rPr>
      <w:rFonts w:asciiTheme="minorHAnsi" w:eastAsiaTheme="minorHAnsi" w:hAnsiTheme="minorHAnsi" w:cstheme="minorBidi"/>
      <w:i/>
      <w:iCs/>
      <w:sz w:val="19"/>
      <w:szCs w:val="19"/>
      <w:lang w:val="sq-AL"/>
    </w:rPr>
  </w:style>
  <w:style w:type="paragraph" w:customStyle="1" w:styleId="Bodytext210">
    <w:name w:val="Body text (2)1"/>
    <w:basedOn w:val="Normal"/>
    <w:link w:val="Bodytext22"/>
    <w:uiPriority w:val="99"/>
    <w:rsid w:val="00AF4891"/>
    <w:pPr>
      <w:widowControl w:val="0"/>
      <w:shd w:val="clear" w:color="auto" w:fill="FFFFFF"/>
      <w:spacing w:line="317" w:lineRule="exact"/>
      <w:jc w:val="both"/>
    </w:pPr>
    <w:rPr>
      <w:rFonts w:asciiTheme="minorHAnsi" w:eastAsiaTheme="minorHAnsi" w:hAnsiTheme="minorHAnsi" w:cstheme="minorBidi"/>
      <w:i/>
      <w:iCs/>
      <w:sz w:val="23"/>
      <w:szCs w:val="23"/>
      <w:lang w:val="sq-AL"/>
    </w:rPr>
  </w:style>
  <w:style w:type="paragraph" w:customStyle="1" w:styleId="metushistyle">
    <w:name w:val="metushi style"/>
    <w:basedOn w:val="NoSpacing"/>
    <w:qFormat/>
    <w:rsid w:val="00177222"/>
    <w:pPr>
      <w:numPr>
        <w:numId w:val="2"/>
      </w:numPr>
      <w:tabs>
        <w:tab w:val="num" w:pos="360"/>
      </w:tabs>
      <w:spacing w:before="0" w:beforeAutospacing="0" w:after="0" w:afterAutospacing="0"/>
      <w:ind w:left="426" w:firstLine="0"/>
      <w:jc w:val="both"/>
    </w:pPr>
    <w:rPr>
      <w:rFonts w:eastAsiaTheme="minorHAnsi"/>
      <w:szCs w:val="32"/>
      <w:lang w:eastAsia="en-US" w:bidi="en-US"/>
    </w:rPr>
  </w:style>
  <w:style w:type="character" w:customStyle="1" w:styleId="Bodytext40">
    <w:name w:val="Body text (4)_"/>
    <w:basedOn w:val="DefaultParagraphFont"/>
    <w:locked/>
    <w:rsid w:val="00462ADC"/>
    <w:rPr>
      <w:rFonts w:ascii="Times New Roman" w:eastAsia="Times New Roman" w:hAnsi="Times New Roman" w:cs="Times New Roman"/>
      <w:i/>
      <w:iCs/>
      <w:shd w:val="clear" w:color="auto" w:fill="FFFFFF"/>
    </w:rPr>
  </w:style>
  <w:style w:type="character" w:customStyle="1" w:styleId="Bodytext4NotItalic">
    <w:name w:val="Body text (4) + Not Italic"/>
    <w:basedOn w:val="Bodytext40"/>
    <w:rsid w:val="00462ADC"/>
    <w:rPr>
      <w:rFonts w:ascii="Times New Roman" w:eastAsia="Times New Roman" w:hAnsi="Times New Roman" w:cs="Times New Roman"/>
      <w:i/>
      <w:iCs/>
      <w:color w:val="000000"/>
      <w:spacing w:val="0"/>
      <w:w w:val="100"/>
      <w:position w:val="0"/>
      <w:shd w:val="clear" w:color="auto" w:fill="FFFFFF"/>
      <w:lang w:val="it-IT" w:eastAsia="it-IT" w:bidi="it-IT"/>
    </w:rPr>
  </w:style>
  <w:style w:type="character" w:customStyle="1" w:styleId="Bodytext30">
    <w:name w:val="Body text (3)_"/>
    <w:basedOn w:val="DefaultParagraphFont"/>
    <w:link w:val="Bodytext31"/>
    <w:locked/>
    <w:rsid w:val="00EB12A0"/>
    <w:rPr>
      <w:rFonts w:ascii="Times New Roman" w:eastAsia="Times New Roman" w:hAnsi="Times New Roman" w:cs="Times New Roman"/>
      <w:b/>
      <w:bCs/>
      <w:shd w:val="clear" w:color="auto" w:fill="FFFFFF"/>
    </w:rPr>
  </w:style>
  <w:style w:type="paragraph" w:customStyle="1" w:styleId="Bodytext31">
    <w:name w:val="Body text (3)"/>
    <w:basedOn w:val="Normal"/>
    <w:link w:val="Bodytext30"/>
    <w:rsid w:val="00EB12A0"/>
    <w:pPr>
      <w:widowControl w:val="0"/>
      <w:shd w:val="clear" w:color="auto" w:fill="FFFFFF"/>
      <w:spacing w:line="298" w:lineRule="exact"/>
      <w:jc w:val="center"/>
    </w:pPr>
    <w:rPr>
      <w:b/>
      <w:bCs/>
      <w:sz w:val="22"/>
      <w:szCs w:val="22"/>
      <w:lang w:val="sq-AL"/>
    </w:rPr>
  </w:style>
  <w:style w:type="paragraph" w:customStyle="1" w:styleId="paragraph-point">
    <w:name w:val="paragraph-point"/>
    <w:basedOn w:val="Normal"/>
    <w:rsid w:val="00DA6A5E"/>
    <w:pPr>
      <w:spacing w:before="100" w:beforeAutospacing="1" w:after="100" w:afterAutospacing="1"/>
    </w:pPr>
    <w:rPr>
      <w:sz w:val="24"/>
      <w:szCs w:val="24"/>
    </w:rPr>
  </w:style>
  <w:style w:type="paragraph" w:customStyle="1" w:styleId="paragrafi">
    <w:name w:val="paragrafi"/>
    <w:basedOn w:val="Normal"/>
    <w:rsid w:val="00DA6A5E"/>
    <w:pPr>
      <w:spacing w:before="100" w:beforeAutospacing="1" w:after="100" w:afterAutospacing="1"/>
    </w:pPr>
    <w:rPr>
      <w:sz w:val="24"/>
      <w:szCs w:val="24"/>
    </w:rPr>
  </w:style>
  <w:style w:type="paragraph" w:customStyle="1" w:styleId="yiv9454664525gmail-msonormal">
    <w:name w:val="yiv9454664525gmail-msonormal"/>
    <w:basedOn w:val="Normal"/>
    <w:rsid w:val="00D36BF3"/>
    <w:pPr>
      <w:spacing w:before="100" w:beforeAutospacing="1" w:after="100" w:afterAutospacing="1"/>
    </w:pPr>
    <w:rPr>
      <w:sz w:val="24"/>
      <w:szCs w:val="24"/>
      <w:lang w:val="sq-AL" w:eastAsia="sq-AL"/>
    </w:rPr>
  </w:style>
  <w:style w:type="paragraph" w:customStyle="1" w:styleId="yiv9454664525msonormal">
    <w:name w:val="yiv9454664525msonormal"/>
    <w:basedOn w:val="Normal"/>
    <w:rsid w:val="00D36BF3"/>
    <w:pPr>
      <w:spacing w:before="100" w:beforeAutospacing="1" w:after="100" w:afterAutospacing="1"/>
    </w:pPr>
    <w:rPr>
      <w:sz w:val="24"/>
      <w:szCs w:val="24"/>
      <w:lang w:val="sq-AL" w:eastAsia="sq-AL"/>
    </w:rPr>
  </w:style>
  <w:style w:type="character" w:customStyle="1" w:styleId="bodytextspacing-1pt">
    <w:name w:val="bodytextspacing-1pt"/>
    <w:basedOn w:val="DefaultParagraphFont"/>
    <w:rsid w:val="00D36BF3"/>
  </w:style>
  <w:style w:type="paragraph" w:customStyle="1" w:styleId="Char2">
    <w:name w:val="Char2"/>
    <w:basedOn w:val="Normal"/>
    <w:link w:val="FootnoteReference"/>
    <w:uiPriority w:val="99"/>
    <w:qFormat/>
    <w:rsid w:val="0002687E"/>
    <w:pPr>
      <w:spacing w:after="160" w:line="240" w:lineRule="exact"/>
    </w:pPr>
    <w:rPr>
      <w:rFonts w:asciiTheme="minorHAnsi" w:eastAsiaTheme="minorHAnsi" w:hAnsiTheme="minorHAnsi" w:cstheme="minorBidi"/>
      <w:sz w:val="22"/>
      <w:szCs w:val="22"/>
      <w:vertAlign w:val="superscript"/>
      <w:lang w:val="sq-AL"/>
    </w:rPr>
  </w:style>
  <w:style w:type="character" w:customStyle="1" w:styleId="Heading6Char">
    <w:name w:val="Heading 6 Char"/>
    <w:basedOn w:val="DefaultParagraphFont"/>
    <w:link w:val="Heading6"/>
    <w:uiPriority w:val="9"/>
    <w:rsid w:val="00A912FC"/>
    <w:rPr>
      <w:rFonts w:asciiTheme="majorHAnsi" w:eastAsiaTheme="majorEastAsia" w:hAnsiTheme="majorHAnsi" w:cstheme="majorBidi"/>
      <w:i/>
      <w:iCs/>
      <w:color w:val="243F60" w:themeColor="accent1" w:themeShade="7F"/>
      <w:sz w:val="24"/>
      <w:szCs w:val="24"/>
      <w:lang w:bidi="en-US"/>
    </w:rPr>
  </w:style>
  <w:style w:type="character" w:customStyle="1" w:styleId="Heading8Char">
    <w:name w:val="Heading 8 Char"/>
    <w:basedOn w:val="DefaultParagraphFont"/>
    <w:link w:val="Heading8"/>
    <w:rsid w:val="00A912FC"/>
    <w:rPr>
      <w:rFonts w:asciiTheme="majorHAnsi" w:eastAsiaTheme="majorEastAsia" w:hAnsiTheme="majorHAnsi" w:cstheme="majorBidi"/>
      <w:color w:val="272727" w:themeColor="text1" w:themeTint="D8"/>
      <w:sz w:val="21"/>
      <w:szCs w:val="21"/>
      <w:lang w:bidi="en-US"/>
    </w:rPr>
  </w:style>
  <w:style w:type="character" w:customStyle="1" w:styleId="UnresolvedMention1">
    <w:name w:val="Unresolved Mention1"/>
    <w:basedOn w:val="DefaultParagraphFont"/>
    <w:uiPriority w:val="99"/>
    <w:semiHidden/>
    <w:unhideWhenUsed/>
    <w:rsid w:val="00262B2D"/>
    <w:rPr>
      <w:color w:val="605E5C"/>
      <w:shd w:val="clear" w:color="auto" w:fill="E1DFDD"/>
    </w:rPr>
  </w:style>
  <w:style w:type="character" w:styleId="IntenseEmphasis">
    <w:name w:val="Intense Emphasis"/>
    <w:uiPriority w:val="21"/>
    <w:qFormat/>
    <w:rsid w:val="0095080B"/>
    <w:rPr>
      <w:rFonts w:cs="Times New Roman"/>
      <w:b/>
      <w:bCs/>
      <w:i/>
      <w:iCs/>
      <w:color w:val="4F81BD"/>
    </w:rPr>
  </w:style>
  <w:style w:type="character" w:customStyle="1" w:styleId="FontStyle46">
    <w:name w:val="Font Style46"/>
    <w:uiPriority w:val="99"/>
    <w:rsid w:val="0095080B"/>
    <w:rPr>
      <w:rFonts w:ascii="Bookman Old Style" w:hAnsi="Bookman Old Style" w:cs="Bookman Old Style"/>
      <w:sz w:val="20"/>
      <w:szCs w:val="20"/>
    </w:rPr>
  </w:style>
  <w:style w:type="character" w:customStyle="1" w:styleId="Heading4Char">
    <w:name w:val="Heading 4 Char"/>
    <w:basedOn w:val="DefaultParagraphFont"/>
    <w:link w:val="Heading4"/>
    <w:rsid w:val="002E2899"/>
    <w:rPr>
      <w:rFonts w:ascii="Arial Unicode MS" w:eastAsiaTheme="majorEastAsia" w:hAnsi="Arial Unicode MS" w:cstheme="majorBidi"/>
      <w:i/>
      <w:iCs/>
      <w:color w:val="365F91" w:themeColor="accent1" w:themeShade="BF"/>
      <w:sz w:val="24"/>
      <w:szCs w:val="24"/>
      <w:lang w:val="it-IT" w:eastAsia="it-IT" w:bidi="it-IT"/>
    </w:rPr>
  </w:style>
  <w:style w:type="character" w:customStyle="1" w:styleId="Heading7Char">
    <w:name w:val="Heading 7 Char"/>
    <w:basedOn w:val="DefaultParagraphFont"/>
    <w:link w:val="Heading7"/>
    <w:uiPriority w:val="9"/>
    <w:semiHidden/>
    <w:rsid w:val="002E2899"/>
    <w:rPr>
      <w:rFonts w:ascii="Arial Unicode MS" w:eastAsiaTheme="majorEastAsia" w:hAnsi="Arial Unicode MS" w:cstheme="majorBidi"/>
      <w:color w:val="595959" w:themeColor="text1" w:themeTint="A6"/>
      <w:sz w:val="24"/>
      <w:szCs w:val="24"/>
      <w:lang w:val="it-IT" w:eastAsia="it-IT" w:bidi="it-IT"/>
    </w:rPr>
  </w:style>
  <w:style w:type="character" w:customStyle="1" w:styleId="Heading9Char">
    <w:name w:val="Heading 9 Char"/>
    <w:basedOn w:val="DefaultParagraphFont"/>
    <w:link w:val="Heading9"/>
    <w:uiPriority w:val="9"/>
    <w:semiHidden/>
    <w:rsid w:val="002E2899"/>
    <w:rPr>
      <w:rFonts w:ascii="Arial Unicode MS" w:eastAsiaTheme="majorEastAsia" w:hAnsi="Arial Unicode MS" w:cstheme="majorBidi"/>
      <w:color w:val="272727" w:themeColor="text1" w:themeTint="D8"/>
      <w:sz w:val="24"/>
      <w:szCs w:val="24"/>
      <w:lang w:val="it-IT" w:eastAsia="it-IT" w:bidi="it-IT"/>
    </w:rPr>
  </w:style>
  <w:style w:type="character" w:styleId="FollowedHyperlink">
    <w:name w:val="FollowedHyperlink"/>
    <w:basedOn w:val="DefaultParagraphFont"/>
    <w:uiPriority w:val="99"/>
    <w:semiHidden/>
    <w:unhideWhenUsed/>
    <w:rsid w:val="002E2899"/>
    <w:rPr>
      <w:color w:val="800080"/>
      <w:u w:val="single"/>
    </w:rPr>
  </w:style>
  <w:style w:type="paragraph" w:customStyle="1" w:styleId="msonormal0">
    <w:name w:val="msonormal"/>
    <w:basedOn w:val="Normal"/>
    <w:uiPriority w:val="99"/>
    <w:semiHidden/>
    <w:rsid w:val="002E2899"/>
    <w:pPr>
      <w:widowControl w:val="0"/>
    </w:pPr>
    <w:rPr>
      <w:color w:val="000000"/>
      <w:sz w:val="24"/>
      <w:szCs w:val="24"/>
      <w:lang w:val="it-IT" w:eastAsia="it-IT" w:bidi="it-IT"/>
    </w:rPr>
  </w:style>
  <w:style w:type="paragraph" w:styleId="Subtitle">
    <w:name w:val="Subtitle"/>
    <w:basedOn w:val="Normal"/>
    <w:next w:val="Normal"/>
    <w:link w:val="SubtitleChar"/>
    <w:qFormat/>
    <w:rsid w:val="002E2899"/>
    <w:pPr>
      <w:widowControl w:val="0"/>
    </w:pPr>
    <w:rPr>
      <w:rFonts w:ascii="Arial Unicode MS" w:eastAsiaTheme="majorEastAsia" w:hAnsi="Arial Unicode MS" w:cstheme="majorBidi"/>
      <w:color w:val="595959" w:themeColor="text1" w:themeTint="A6"/>
      <w:spacing w:val="15"/>
      <w:sz w:val="28"/>
      <w:szCs w:val="28"/>
      <w:lang w:val="it-IT" w:eastAsia="it-IT" w:bidi="it-IT"/>
    </w:rPr>
  </w:style>
  <w:style w:type="character" w:customStyle="1" w:styleId="SubtitleChar">
    <w:name w:val="Subtitle Char"/>
    <w:basedOn w:val="DefaultParagraphFont"/>
    <w:link w:val="Subtitle"/>
    <w:rsid w:val="002E2899"/>
    <w:rPr>
      <w:rFonts w:ascii="Arial Unicode MS" w:eastAsiaTheme="majorEastAsia" w:hAnsi="Arial Unicode MS" w:cstheme="majorBidi"/>
      <w:color w:val="595959" w:themeColor="text1" w:themeTint="A6"/>
      <w:spacing w:val="15"/>
      <w:sz w:val="28"/>
      <w:szCs w:val="28"/>
      <w:lang w:val="it-IT" w:eastAsia="it-IT" w:bidi="it-IT"/>
    </w:rPr>
  </w:style>
  <w:style w:type="paragraph" w:styleId="Quote">
    <w:name w:val="Quote"/>
    <w:basedOn w:val="Normal"/>
    <w:next w:val="Normal"/>
    <w:link w:val="QuoteChar"/>
    <w:uiPriority w:val="29"/>
    <w:qFormat/>
    <w:rsid w:val="002E2899"/>
    <w:pPr>
      <w:widowControl w:val="0"/>
      <w:spacing w:before="160"/>
      <w:jc w:val="center"/>
    </w:pPr>
    <w:rPr>
      <w:rFonts w:ascii="Arial Unicode MS" w:hAnsi="Arial Unicode MS"/>
      <w:i/>
      <w:iCs/>
      <w:color w:val="404040" w:themeColor="text1" w:themeTint="BF"/>
      <w:sz w:val="24"/>
      <w:szCs w:val="24"/>
      <w:lang w:val="it-IT" w:eastAsia="it-IT" w:bidi="it-IT"/>
    </w:rPr>
  </w:style>
  <w:style w:type="character" w:customStyle="1" w:styleId="QuoteChar">
    <w:name w:val="Quote Char"/>
    <w:basedOn w:val="DefaultParagraphFont"/>
    <w:link w:val="Quote"/>
    <w:uiPriority w:val="29"/>
    <w:rsid w:val="002E2899"/>
    <w:rPr>
      <w:rFonts w:ascii="Arial Unicode MS" w:eastAsia="Times New Roman" w:hAnsi="Arial Unicode MS" w:cs="Times New Roman"/>
      <w:i/>
      <w:iCs/>
      <w:color w:val="404040" w:themeColor="text1" w:themeTint="BF"/>
      <w:sz w:val="24"/>
      <w:szCs w:val="24"/>
      <w:lang w:val="it-IT" w:eastAsia="it-IT" w:bidi="it-IT"/>
    </w:rPr>
  </w:style>
  <w:style w:type="paragraph" w:styleId="IntenseQuote">
    <w:name w:val="Intense Quote"/>
    <w:basedOn w:val="Normal"/>
    <w:next w:val="Normal"/>
    <w:link w:val="IntenseQuoteChar"/>
    <w:uiPriority w:val="30"/>
    <w:qFormat/>
    <w:rsid w:val="002E2899"/>
    <w:pPr>
      <w:widowControl w:val="0"/>
      <w:pBdr>
        <w:top w:val="single" w:sz="4" w:space="10" w:color="365F91" w:themeColor="accent1" w:themeShade="BF"/>
        <w:bottom w:val="single" w:sz="4" w:space="10" w:color="365F91" w:themeColor="accent1" w:themeShade="BF"/>
      </w:pBdr>
      <w:spacing w:before="360" w:after="360"/>
      <w:ind w:left="864" w:right="864"/>
      <w:jc w:val="center"/>
    </w:pPr>
    <w:rPr>
      <w:rFonts w:ascii="Arial Unicode MS" w:hAnsi="Arial Unicode MS"/>
      <w:i/>
      <w:iCs/>
      <w:color w:val="365F91" w:themeColor="accent1" w:themeShade="BF"/>
      <w:sz w:val="24"/>
      <w:szCs w:val="24"/>
      <w:lang w:val="it-IT" w:eastAsia="it-IT" w:bidi="it-IT"/>
    </w:rPr>
  </w:style>
  <w:style w:type="character" w:customStyle="1" w:styleId="IntenseQuoteChar">
    <w:name w:val="Intense Quote Char"/>
    <w:basedOn w:val="DefaultParagraphFont"/>
    <w:link w:val="IntenseQuote"/>
    <w:uiPriority w:val="30"/>
    <w:rsid w:val="002E2899"/>
    <w:rPr>
      <w:rFonts w:ascii="Arial Unicode MS" w:eastAsia="Times New Roman" w:hAnsi="Arial Unicode MS" w:cs="Times New Roman"/>
      <w:i/>
      <w:iCs/>
      <w:color w:val="365F91" w:themeColor="accent1" w:themeShade="BF"/>
      <w:sz w:val="24"/>
      <w:szCs w:val="24"/>
      <w:lang w:val="it-IT" w:eastAsia="it-IT" w:bidi="it-IT"/>
    </w:rPr>
  </w:style>
  <w:style w:type="character" w:customStyle="1" w:styleId="Bodytext5">
    <w:name w:val="Body text (5)_"/>
    <w:basedOn w:val="DefaultParagraphFont"/>
    <w:link w:val="Bodytext50"/>
    <w:locked/>
    <w:rsid w:val="002E2899"/>
    <w:rPr>
      <w:rFonts w:ascii="Times New Roman" w:eastAsia="Times New Roman" w:hAnsi="Times New Roman" w:cs="Times New Roman"/>
      <w:i/>
      <w:iCs/>
      <w:shd w:val="clear" w:color="auto" w:fill="FFFFFF"/>
    </w:rPr>
  </w:style>
  <w:style w:type="paragraph" w:customStyle="1" w:styleId="Bodytext50">
    <w:name w:val="Body text (5)"/>
    <w:basedOn w:val="Normal"/>
    <w:link w:val="Bodytext5"/>
    <w:rsid w:val="002E2899"/>
    <w:pPr>
      <w:widowControl w:val="0"/>
      <w:shd w:val="clear" w:color="auto" w:fill="FFFFFF"/>
      <w:spacing w:line="802" w:lineRule="exact"/>
      <w:jc w:val="both"/>
    </w:pPr>
    <w:rPr>
      <w:i/>
      <w:iCs/>
      <w:sz w:val="22"/>
      <w:szCs w:val="22"/>
      <w:lang w:val="sq-AL"/>
    </w:rPr>
  </w:style>
  <w:style w:type="character" w:customStyle="1" w:styleId="Bodytext7">
    <w:name w:val="Body text (7)_"/>
    <w:basedOn w:val="DefaultParagraphFont"/>
    <w:link w:val="Bodytext70"/>
    <w:locked/>
    <w:rsid w:val="002E2899"/>
    <w:rPr>
      <w:rFonts w:ascii="Times New Roman" w:eastAsia="Times New Roman" w:hAnsi="Times New Roman" w:cs="Times New Roman"/>
      <w:b/>
      <w:bCs/>
      <w:i/>
      <w:iCs/>
      <w:shd w:val="clear" w:color="auto" w:fill="FFFFFF"/>
    </w:rPr>
  </w:style>
  <w:style w:type="paragraph" w:customStyle="1" w:styleId="Bodytext70">
    <w:name w:val="Body text (7)"/>
    <w:basedOn w:val="Normal"/>
    <w:link w:val="Bodytext7"/>
    <w:rsid w:val="002E2899"/>
    <w:pPr>
      <w:widowControl w:val="0"/>
      <w:shd w:val="clear" w:color="auto" w:fill="FFFFFF"/>
      <w:spacing w:before="360" w:line="398" w:lineRule="exact"/>
      <w:jc w:val="both"/>
    </w:pPr>
    <w:rPr>
      <w:b/>
      <w:bCs/>
      <w:i/>
      <w:iCs/>
      <w:sz w:val="22"/>
      <w:szCs w:val="22"/>
      <w:lang w:val="sq-AL"/>
    </w:rPr>
  </w:style>
  <w:style w:type="paragraph" w:customStyle="1" w:styleId="a2">
    <w:name w:val="a2"/>
    <w:basedOn w:val="Normal"/>
    <w:uiPriority w:val="99"/>
    <w:semiHidden/>
    <w:rsid w:val="002E2899"/>
    <w:pPr>
      <w:spacing w:before="100" w:beforeAutospacing="1" w:after="100" w:afterAutospacing="1"/>
      <w:jc w:val="both"/>
    </w:pPr>
    <w:rPr>
      <w:sz w:val="24"/>
      <w:szCs w:val="24"/>
    </w:rPr>
  </w:style>
  <w:style w:type="paragraph" w:customStyle="1" w:styleId="TableParagraph">
    <w:name w:val="Table Paragraph"/>
    <w:basedOn w:val="Normal"/>
    <w:uiPriority w:val="1"/>
    <w:semiHidden/>
    <w:qFormat/>
    <w:rsid w:val="002E2899"/>
    <w:pPr>
      <w:widowControl w:val="0"/>
      <w:autoSpaceDE w:val="0"/>
      <w:autoSpaceDN w:val="0"/>
      <w:spacing w:line="263" w:lineRule="exact"/>
      <w:ind w:left="9"/>
      <w:jc w:val="center"/>
    </w:pPr>
    <w:rPr>
      <w:sz w:val="22"/>
      <w:szCs w:val="22"/>
      <w:lang w:val="sq-AL"/>
    </w:rPr>
  </w:style>
  <w:style w:type="character" w:styleId="IntenseReference">
    <w:name w:val="Intense Reference"/>
    <w:basedOn w:val="DefaultParagraphFont"/>
    <w:uiPriority w:val="32"/>
    <w:qFormat/>
    <w:rsid w:val="002E2899"/>
    <w:rPr>
      <w:b/>
      <w:bCs/>
      <w:smallCaps/>
      <w:color w:val="365F91" w:themeColor="accent1" w:themeShade="BF"/>
      <w:spacing w:val="5"/>
    </w:rPr>
  </w:style>
  <w:style w:type="character" w:customStyle="1" w:styleId="Bodytext3Spacing3pt">
    <w:name w:val="Body text (3) + Spacing 3 pt"/>
    <w:basedOn w:val="Bodytext30"/>
    <w:rsid w:val="002E2899"/>
    <w:rPr>
      <w:rFonts w:ascii="Times New Roman" w:eastAsia="Times New Roman" w:hAnsi="Times New Roman" w:cs="Times New Roman"/>
      <w:b/>
      <w:bCs/>
      <w:color w:val="000000"/>
      <w:spacing w:val="60"/>
      <w:w w:val="100"/>
      <w:position w:val="0"/>
      <w:shd w:val="clear" w:color="auto" w:fill="FFFFFF"/>
      <w:lang w:val="it-IT" w:eastAsia="it-IT" w:bidi="it-IT"/>
    </w:rPr>
  </w:style>
  <w:style w:type="character" w:customStyle="1" w:styleId="Bodytext4Exact">
    <w:name w:val="Body text (4) Exact"/>
    <w:basedOn w:val="DefaultParagraphFont"/>
    <w:rsid w:val="002E2899"/>
    <w:rPr>
      <w:rFonts w:ascii="Times New Roman" w:eastAsia="Times New Roman" w:hAnsi="Times New Roman" w:cs="Times New Roman" w:hint="default"/>
      <w:b w:val="0"/>
      <w:bCs w:val="0"/>
      <w:i/>
      <w:iCs/>
      <w:smallCaps w:val="0"/>
      <w:strike w:val="0"/>
      <w:dstrike w:val="0"/>
      <w:sz w:val="22"/>
      <w:szCs w:val="22"/>
      <w:u w:val="none"/>
      <w:effect w:val="none"/>
    </w:rPr>
  </w:style>
  <w:style w:type="character" w:customStyle="1" w:styleId="f41">
    <w:name w:val="f41"/>
    <w:basedOn w:val="DefaultParagraphFont"/>
    <w:rsid w:val="002E2899"/>
    <w:rPr>
      <w:rFonts w:ascii="Calibri" w:hAnsi="Calibri" w:cs="Calibri" w:hint="default"/>
      <w:sz w:val="22"/>
      <w:szCs w:val="22"/>
    </w:rPr>
  </w:style>
  <w:style w:type="character" w:customStyle="1" w:styleId="qu">
    <w:name w:val="qu"/>
    <w:basedOn w:val="DefaultParagraphFont"/>
    <w:rsid w:val="002E2899"/>
  </w:style>
  <w:style w:type="character" w:customStyle="1" w:styleId="gd">
    <w:name w:val="gd"/>
    <w:basedOn w:val="DefaultParagraphFont"/>
    <w:rsid w:val="002E2899"/>
  </w:style>
  <w:style w:type="character" w:customStyle="1" w:styleId="go">
    <w:name w:val="go"/>
    <w:basedOn w:val="DefaultParagraphFont"/>
    <w:rsid w:val="002E2899"/>
  </w:style>
  <w:style w:type="character" w:customStyle="1" w:styleId="g3">
    <w:name w:val="g3"/>
    <w:basedOn w:val="DefaultParagraphFont"/>
    <w:rsid w:val="002E2899"/>
  </w:style>
  <w:style w:type="character" w:customStyle="1" w:styleId="hb">
    <w:name w:val="hb"/>
    <w:basedOn w:val="DefaultParagraphFont"/>
    <w:rsid w:val="002E2899"/>
  </w:style>
  <w:style w:type="character" w:customStyle="1" w:styleId="g2">
    <w:name w:val="g2"/>
    <w:basedOn w:val="DefaultParagraphFont"/>
    <w:rsid w:val="002E2899"/>
  </w:style>
  <w:style w:type="character" w:styleId="SubtleEmphasis">
    <w:name w:val="Subtle Emphasis"/>
    <w:uiPriority w:val="19"/>
    <w:qFormat/>
    <w:rsid w:val="00251387"/>
    <w:rPr>
      <w:i/>
      <w:iCs/>
      <w:color w:val="808080" w:themeColor="text1" w:themeTint="7F"/>
    </w:rPr>
  </w:style>
  <w:style w:type="character" w:styleId="SubtleReference">
    <w:name w:val="Subtle Reference"/>
    <w:uiPriority w:val="31"/>
    <w:qFormat/>
    <w:rsid w:val="00251387"/>
    <w:rPr>
      <w:smallCaps/>
      <w:color w:val="C0504D" w:themeColor="accent2"/>
      <w:u w:val="single"/>
    </w:rPr>
  </w:style>
  <w:style w:type="character" w:styleId="BookTitle">
    <w:name w:val="Book Title"/>
    <w:uiPriority w:val="33"/>
    <w:qFormat/>
    <w:rsid w:val="00251387"/>
    <w:rPr>
      <w:b/>
      <w:bCs/>
      <w:smallCaps/>
      <w:spacing w:val="5"/>
    </w:rPr>
  </w:style>
  <w:style w:type="paragraph" w:styleId="TOCHeading">
    <w:name w:val="TOC Heading"/>
    <w:basedOn w:val="Heading1"/>
    <w:next w:val="Normal"/>
    <w:uiPriority w:val="39"/>
    <w:semiHidden/>
    <w:unhideWhenUsed/>
    <w:qFormat/>
    <w:rsid w:val="00251387"/>
    <w:pPr>
      <w:keepLines w:val="0"/>
      <w:spacing w:after="60" w:line="240" w:lineRule="auto"/>
      <w:outlineLvl w:val="9"/>
    </w:pPr>
    <w:rPr>
      <w:b/>
      <w:bCs/>
      <w:color w:val="auto"/>
      <w:kern w:val="32"/>
      <w:lang w:val="en-US"/>
    </w:rPr>
  </w:style>
  <w:style w:type="paragraph" w:customStyle="1" w:styleId="StyleJustifiedLeft125Hanging175After4pt">
    <w:name w:val="Style Justified Left:  1.25&quot; Hanging:  1.75&quot; After:  4 pt"/>
    <w:basedOn w:val="Normal"/>
    <w:autoRedefine/>
    <w:uiPriority w:val="99"/>
    <w:qFormat/>
    <w:rsid w:val="00251387"/>
    <w:pPr>
      <w:spacing w:after="80"/>
      <w:ind w:left="4320" w:hanging="2520"/>
    </w:pPr>
    <w:rPr>
      <w:rFonts w:eastAsia="MS Mincho"/>
      <w:sz w:val="24"/>
      <w:szCs w:val="24"/>
    </w:rPr>
  </w:style>
  <w:style w:type="paragraph" w:customStyle="1" w:styleId="StyleCenteredAfter4pt">
    <w:name w:val="Style Centered After:  4 pt"/>
    <w:basedOn w:val="Normal"/>
    <w:link w:val="StyleCenteredAfter4ptChar"/>
    <w:autoRedefine/>
    <w:rsid w:val="00251387"/>
    <w:pPr>
      <w:spacing w:after="80"/>
      <w:jc w:val="center"/>
    </w:pPr>
    <w:rPr>
      <w:rFonts w:eastAsia="MS Mincho"/>
      <w:sz w:val="24"/>
      <w:szCs w:val="28"/>
    </w:rPr>
  </w:style>
  <w:style w:type="character" w:customStyle="1" w:styleId="StyleCenteredAfter4ptChar">
    <w:name w:val="Style Centered After:  4 pt Char"/>
    <w:link w:val="StyleCenteredAfter4pt"/>
    <w:locked/>
    <w:rsid w:val="00251387"/>
    <w:rPr>
      <w:rFonts w:ascii="Times New Roman" w:eastAsia="MS Mincho" w:hAnsi="Times New Roman" w:cs="Times New Roman"/>
      <w:sz w:val="24"/>
      <w:szCs w:val="28"/>
      <w:lang w:val="en-US"/>
    </w:rPr>
  </w:style>
  <w:style w:type="paragraph" w:customStyle="1" w:styleId="StyleBoldJustified">
    <w:name w:val="Style Bold Justified"/>
    <w:basedOn w:val="Normal"/>
    <w:autoRedefine/>
    <w:rsid w:val="00251387"/>
    <w:rPr>
      <w:rFonts w:eastAsia="MS Mincho"/>
      <w:b/>
    </w:rPr>
  </w:style>
  <w:style w:type="paragraph" w:customStyle="1" w:styleId="Style12ptJustifiedFirstline05">
    <w:name w:val="Style 12 pt Justified First line:  0.5&quot;"/>
    <w:basedOn w:val="Normal"/>
    <w:autoRedefine/>
    <w:rsid w:val="00251387"/>
    <w:pPr>
      <w:ind w:firstLine="720"/>
    </w:pPr>
    <w:rPr>
      <w:sz w:val="28"/>
      <w:szCs w:val="28"/>
      <w:lang w:val="sq-AL"/>
    </w:rPr>
  </w:style>
  <w:style w:type="character" w:customStyle="1" w:styleId="BodytextNotItalic">
    <w:name w:val="Body text + Not Italic"/>
    <w:basedOn w:val="Bodytext"/>
    <w:rsid w:val="00251387"/>
    <w:rPr>
      <w:rFonts w:ascii="Bookman Old Style" w:eastAsia="Times New Roman" w:hAnsi="Bookman Old Style" w:cs="Times New Roman"/>
      <w:i/>
      <w:iCs/>
      <w:color w:val="000000"/>
      <w:spacing w:val="0"/>
      <w:w w:val="100"/>
      <w:position w:val="0"/>
      <w:sz w:val="32"/>
      <w:szCs w:val="32"/>
      <w:shd w:val="clear" w:color="auto" w:fill="FFFFFF"/>
      <w:lang w:val="it-IT" w:eastAsia="it-IT" w:bidi="it-IT"/>
    </w:rPr>
  </w:style>
  <w:style w:type="character" w:customStyle="1" w:styleId="BodytextScale80">
    <w:name w:val="Body text + Scale 80%"/>
    <w:basedOn w:val="Bodytext"/>
    <w:rsid w:val="00251387"/>
    <w:rPr>
      <w:rFonts w:ascii="Bookman Old Style" w:eastAsia="Times New Roman" w:hAnsi="Bookman Old Style" w:cs="Times New Roman"/>
      <w:b w:val="0"/>
      <w:bCs w:val="0"/>
      <w:i w:val="0"/>
      <w:iCs w:val="0"/>
      <w:smallCaps w:val="0"/>
      <w:strike w:val="0"/>
      <w:color w:val="000000"/>
      <w:spacing w:val="0"/>
      <w:w w:val="80"/>
      <w:position w:val="0"/>
      <w:sz w:val="30"/>
      <w:szCs w:val="30"/>
      <w:u w:val="none"/>
      <w:shd w:val="clear" w:color="auto" w:fill="FFFFFF"/>
      <w:lang w:val="sq-AL" w:eastAsia="sq-AL" w:bidi="sq-AL"/>
    </w:rPr>
  </w:style>
  <w:style w:type="character" w:customStyle="1" w:styleId="Bodytext3Italic">
    <w:name w:val="Body text (3) + Italic"/>
    <w:basedOn w:val="Bodytext30"/>
    <w:rsid w:val="00251387"/>
    <w:rPr>
      <w:rFonts w:ascii="Times New Roman" w:eastAsia="Times New Roman" w:hAnsi="Times New Roman" w:cs="Times New Roman"/>
      <w:b/>
      <w:bCs/>
      <w:i/>
      <w:iCs/>
      <w:smallCaps w:val="0"/>
      <w:strike w:val="0"/>
      <w:color w:val="000000"/>
      <w:spacing w:val="0"/>
      <w:w w:val="100"/>
      <w:position w:val="0"/>
      <w:sz w:val="30"/>
      <w:szCs w:val="30"/>
      <w:u w:val="none"/>
      <w:shd w:val="clear" w:color="auto" w:fill="FFFFFF"/>
      <w:lang w:val="sq-AL" w:eastAsia="sq-AL" w:bidi="sq-AL"/>
    </w:rPr>
  </w:style>
  <w:style w:type="paragraph" w:styleId="BodyText32">
    <w:name w:val="Body Text 3"/>
    <w:basedOn w:val="Normal"/>
    <w:link w:val="BodyText3Char"/>
    <w:unhideWhenUsed/>
    <w:rsid w:val="00251387"/>
    <w:pPr>
      <w:spacing w:after="120"/>
    </w:pPr>
    <w:rPr>
      <w:rFonts w:eastAsia="MS Mincho"/>
      <w:sz w:val="16"/>
      <w:szCs w:val="16"/>
    </w:rPr>
  </w:style>
  <w:style w:type="character" w:customStyle="1" w:styleId="BodyText3Char">
    <w:name w:val="Body Text 3 Char"/>
    <w:basedOn w:val="DefaultParagraphFont"/>
    <w:link w:val="BodyText32"/>
    <w:rsid w:val="00251387"/>
    <w:rPr>
      <w:rFonts w:ascii="Times New Roman" w:eastAsia="MS Mincho" w:hAnsi="Times New Roman" w:cs="Times New Roman"/>
      <w:sz w:val="16"/>
      <w:szCs w:val="16"/>
      <w:lang w:val="en-US"/>
    </w:rPr>
  </w:style>
  <w:style w:type="paragraph" w:customStyle="1" w:styleId="StyleStyleTimesNewRoman14ptJustifiedFirstline05Aft">
    <w:name w:val="Style Style Times New Roman 14 pt Justified First line:  0.5&quot; + Aft..."/>
    <w:basedOn w:val="Normal"/>
    <w:autoRedefine/>
    <w:qFormat/>
    <w:rsid w:val="00251387"/>
    <w:pPr>
      <w:widowControl w:val="0"/>
      <w:ind w:left="1440"/>
      <w:jc w:val="both"/>
    </w:pPr>
    <w:rPr>
      <w:snapToGrid w:val="0"/>
      <w:sz w:val="24"/>
      <w:szCs w:val="24"/>
    </w:rPr>
  </w:style>
  <w:style w:type="character" w:customStyle="1" w:styleId="Heading10">
    <w:name w:val="Heading #1_"/>
    <w:link w:val="Heading11"/>
    <w:rsid w:val="00251387"/>
    <w:rPr>
      <w:b/>
      <w:bCs/>
      <w:shd w:val="clear" w:color="auto" w:fill="FFFFFF"/>
    </w:rPr>
  </w:style>
  <w:style w:type="paragraph" w:customStyle="1" w:styleId="Heading11">
    <w:name w:val="Heading #1"/>
    <w:basedOn w:val="Normal"/>
    <w:link w:val="Heading10"/>
    <w:rsid w:val="00251387"/>
    <w:pPr>
      <w:widowControl w:val="0"/>
      <w:shd w:val="clear" w:color="auto" w:fill="FFFFFF"/>
      <w:spacing w:before="240" w:after="120" w:line="240" w:lineRule="atLeast"/>
      <w:ind w:hanging="420"/>
      <w:jc w:val="both"/>
      <w:outlineLvl w:val="0"/>
    </w:pPr>
    <w:rPr>
      <w:rFonts w:asciiTheme="minorHAnsi" w:eastAsiaTheme="minorHAnsi" w:hAnsiTheme="minorHAnsi" w:cstheme="minorBidi"/>
      <w:b/>
      <w:bCs/>
      <w:sz w:val="22"/>
      <w:szCs w:val="22"/>
      <w:lang w:val="sq-AL"/>
    </w:rPr>
  </w:style>
  <w:style w:type="character" w:customStyle="1" w:styleId="Bodytext2Italic">
    <w:name w:val="Body text (2) + Italic"/>
    <w:rsid w:val="00251387"/>
    <w:rPr>
      <w:i/>
      <w:iCs/>
      <w:shd w:val="clear" w:color="auto" w:fill="FFFFFF"/>
      <w:lang w:val="en-US" w:eastAsia="en-US"/>
    </w:rPr>
  </w:style>
  <w:style w:type="character" w:customStyle="1" w:styleId="Bodytext3Spacing3pt1">
    <w:name w:val="Body text (3) + Spacing 3 pt1"/>
    <w:uiPriority w:val="99"/>
    <w:rsid w:val="00251387"/>
    <w:rPr>
      <w:rFonts w:ascii="Times New Roman" w:hAnsi="Times New Roman" w:cs="Times New Roman"/>
      <w:b/>
      <w:bCs/>
      <w:spacing w:val="60"/>
      <w:sz w:val="33"/>
      <w:szCs w:val="33"/>
      <w:u w:val="none"/>
      <w:shd w:val="clear" w:color="auto" w:fill="FFFFFF"/>
    </w:rPr>
  </w:style>
  <w:style w:type="paragraph" w:customStyle="1" w:styleId="StyleCenteredAfter4pt2">
    <w:name w:val="Style Centered After:  4 pt2"/>
    <w:basedOn w:val="Normal"/>
    <w:autoRedefine/>
    <w:rsid w:val="00251387"/>
    <w:pPr>
      <w:spacing w:line="276" w:lineRule="auto"/>
      <w:jc w:val="both"/>
    </w:pPr>
    <w:rPr>
      <w:sz w:val="24"/>
      <w:szCs w:val="24"/>
      <w:lang w:val="sq-AL"/>
    </w:rPr>
  </w:style>
  <w:style w:type="character" w:customStyle="1" w:styleId="StyleLatin12ptLatinItalic">
    <w:name w:val="Style (Latin) 12 pt (Latin) Italic"/>
    <w:rsid w:val="00251387"/>
    <w:rPr>
      <w:b/>
      <w:sz w:val="24"/>
    </w:rPr>
  </w:style>
  <w:style w:type="paragraph" w:customStyle="1" w:styleId="JuPara">
    <w:name w:val="Ju_Para"/>
    <w:basedOn w:val="Normal"/>
    <w:link w:val="JuParaCar"/>
    <w:rsid w:val="00251387"/>
    <w:pPr>
      <w:suppressAutoHyphens/>
      <w:ind w:firstLine="284"/>
      <w:jc w:val="both"/>
    </w:pPr>
    <w:rPr>
      <w:sz w:val="24"/>
      <w:lang w:val="en-GB" w:eastAsia="fr-FR"/>
    </w:rPr>
  </w:style>
  <w:style w:type="character" w:customStyle="1" w:styleId="JuParaCar">
    <w:name w:val="Ju_Para Car"/>
    <w:link w:val="JuPara"/>
    <w:rsid w:val="00251387"/>
    <w:rPr>
      <w:rFonts w:ascii="Times New Roman" w:eastAsia="Times New Roman" w:hAnsi="Times New Roman" w:cs="Times New Roman"/>
      <w:sz w:val="24"/>
      <w:szCs w:val="20"/>
      <w:lang w:val="en-GB" w:eastAsia="fr-FR"/>
    </w:rPr>
  </w:style>
  <w:style w:type="paragraph" w:customStyle="1" w:styleId="StyleBoldCenteredAfter4pt">
    <w:name w:val="Style Bold Centered After:  4 pt"/>
    <w:basedOn w:val="Normal"/>
    <w:autoRedefine/>
    <w:uiPriority w:val="99"/>
    <w:qFormat/>
    <w:rsid w:val="00251387"/>
    <w:pPr>
      <w:spacing w:after="80"/>
      <w:jc w:val="center"/>
    </w:pPr>
    <w:rPr>
      <w:b/>
      <w:bCs/>
      <w:sz w:val="24"/>
      <w:lang w:val="en-GB"/>
    </w:rPr>
  </w:style>
  <w:style w:type="paragraph" w:customStyle="1" w:styleId="StyleJustifiedLeft15Hanging15">
    <w:name w:val="Style Justified Left:  1.5&quot; Hanging:  1.5&quot;"/>
    <w:basedOn w:val="Normal"/>
    <w:autoRedefine/>
    <w:uiPriority w:val="99"/>
    <w:qFormat/>
    <w:rsid w:val="00251387"/>
    <w:pPr>
      <w:ind w:left="4320" w:hanging="2160"/>
      <w:jc w:val="both"/>
    </w:pPr>
    <w:rPr>
      <w:sz w:val="24"/>
      <w:lang w:val="en-GB"/>
    </w:rPr>
  </w:style>
  <w:style w:type="paragraph" w:customStyle="1" w:styleId="StyleCenteredAfter4pt1">
    <w:name w:val="Style Centered After:  4 pt1"/>
    <w:basedOn w:val="Normal"/>
    <w:link w:val="StyleCenteredAfter4pt1Char"/>
    <w:autoRedefine/>
    <w:uiPriority w:val="99"/>
    <w:qFormat/>
    <w:rsid w:val="00251387"/>
    <w:pPr>
      <w:spacing w:after="80"/>
      <w:jc w:val="center"/>
    </w:pPr>
    <w:rPr>
      <w:sz w:val="24"/>
      <w:lang w:val="en-GB"/>
    </w:rPr>
  </w:style>
  <w:style w:type="character" w:customStyle="1" w:styleId="StyleCenteredAfter4pt1Char">
    <w:name w:val="Style Centered After:  4 pt1 Char"/>
    <w:link w:val="StyleCenteredAfter4pt1"/>
    <w:uiPriority w:val="99"/>
    <w:rsid w:val="00251387"/>
    <w:rPr>
      <w:rFonts w:ascii="Times New Roman" w:eastAsia="Times New Roman" w:hAnsi="Times New Roman" w:cs="Times New Roman"/>
      <w:sz w:val="24"/>
      <w:szCs w:val="20"/>
      <w:lang w:val="en-GB"/>
    </w:rPr>
  </w:style>
  <w:style w:type="paragraph" w:customStyle="1" w:styleId="StyleItalicCentered">
    <w:name w:val="Style Italic Centered"/>
    <w:basedOn w:val="Normal"/>
    <w:autoRedefine/>
    <w:uiPriority w:val="99"/>
    <w:qFormat/>
    <w:rsid w:val="00251387"/>
    <w:pPr>
      <w:jc w:val="center"/>
    </w:pPr>
    <w:rPr>
      <w:iCs/>
      <w:sz w:val="24"/>
    </w:rPr>
  </w:style>
  <w:style w:type="paragraph" w:customStyle="1" w:styleId="StyleJustifiedLeft025Hanging0250">
    <w:name w:val="Style Justified Left:  0.25&quot; Hanging:  0.25&quot;"/>
    <w:basedOn w:val="Normal"/>
    <w:autoRedefine/>
    <w:uiPriority w:val="99"/>
    <w:rsid w:val="00251387"/>
    <w:pPr>
      <w:ind w:left="720" w:hanging="360"/>
      <w:jc w:val="both"/>
    </w:pPr>
    <w:rPr>
      <w:sz w:val="24"/>
      <w:lang w:val="en-GB"/>
    </w:rPr>
  </w:style>
  <w:style w:type="paragraph" w:customStyle="1" w:styleId="StyleStyleJustifiedLeft1Left1">
    <w:name w:val="Style Style Justified Left:  1&quot; + Left:  1&quot;"/>
    <w:basedOn w:val="Normal"/>
    <w:autoRedefine/>
    <w:uiPriority w:val="99"/>
    <w:qFormat/>
    <w:rsid w:val="00251387"/>
    <w:pPr>
      <w:ind w:left="1440"/>
      <w:jc w:val="both"/>
    </w:pPr>
    <w:rPr>
      <w:color w:val="000000"/>
      <w:sz w:val="24"/>
      <w:lang w:val="it-IT" w:bidi="ar-DZ"/>
    </w:rPr>
  </w:style>
  <w:style w:type="paragraph" w:styleId="BodyText24">
    <w:name w:val="Body Text 2"/>
    <w:basedOn w:val="Normal"/>
    <w:link w:val="BodyText2Char"/>
    <w:rsid w:val="00251387"/>
    <w:pPr>
      <w:jc w:val="both"/>
    </w:pPr>
    <w:rPr>
      <w:rFonts w:ascii="Arial" w:eastAsia="MS Mincho" w:hAnsi="Arial"/>
      <w:sz w:val="24"/>
    </w:rPr>
  </w:style>
  <w:style w:type="character" w:customStyle="1" w:styleId="BodyText2Char">
    <w:name w:val="Body Text 2 Char"/>
    <w:basedOn w:val="DefaultParagraphFont"/>
    <w:link w:val="BodyText24"/>
    <w:rsid w:val="00251387"/>
    <w:rPr>
      <w:rFonts w:ascii="Arial" w:eastAsia="MS Mincho" w:hAnsi="Arial" w:cs="Times New Roman"/>
      <w:sz w:val="24"/>
      <w:szCs w:val="20"/>
      <w:lang w:val="en-US"/>
    </w:rPr>
  </w:style>
  <w:style w:type="character" w:styleId="PageNumber">
    <w:name w:val="page number"/>
    <w:rsid w:val="00251387"/>
  </w:style>
  <w:style w:type="paragraph" w:customStyle="1" w:styleId="StyleStyle6TimesNewRoman">
    <w:name w:val="Style Style6 + Times New Roman"/>
    <w:basedOn w:val="Normal"/>
    <w:rsid w:val="00251387"/>
    <w:pPr>
      <w:tabs>
        <w:tab w:val="left" w:pos="270"/>
      </w:tabs>
      <w:ind w:left="1440"/>
      <w:jc w:val="both"/>
    </w:pPr>
    <w:rPr>
      <w:rFonts w:eastAsia="MS Mincho"/>
      <w:snapToGrid w:val="0"/>
      <w:sz w:val="28"/>
      <w:szCs w:val="28"/>
      <w:lang w:val="en-GB"/>
    </w:rPr>
  </w:style>
  <w:style w:type="paragraph" w:customStyle="1" w:styleId="StyleStyleBoldJustifiedTimesNewRoman12ptBold">
    <w:name w:val="Style Style Bold Justified + Times New Roman 12 pt Bold"/>
    <w:basedOn w:val="Normal"/>
    <w:uiPriority w:val="99"/>
    <w:qFormat/>
    <w:rsid w:val="00251387"/>
    <w:pPr>
      <w:jc w:val="both"/>
    </w:pPr>
    <w:rPr>
      <w:b/>
      <w:bCs/>
      <w:sz w:val="24"/>
      <w:szCs w:val="24"/>
      <w:lang w:val="en-GB"/>
    </w:rPr>
  </w:style>
  <w:style w:type="paragraph" w:customStyle="1" w:styleId="BodyText212pt">
    <w:name w:val="Body Text 2 + 12 pt"/>
    <w:aliases w:val="Justified,Line spacing:  1.5 lines"/>
    <w:basedOn w:val="BodyText24"/>
    <w:rsid w:val="00251387"/>
    <w:pPr>
      <w:spacing w:after="120" w:line="360" w:lineRule="auto"/>
    </w:pPr>
    <w:rPr>
      <w:rFonts w:ascii="Times New Roman" w:hAnsi="Times New Roman"/>
      <w:bCs/>
      <w:szCs w:val="24"/>
      <w:lang w:val="sq-AL"/>
    </w:rPr>
  </w:style>
  <w:style w:type="paragraph" w:customStyle="1" w:styleId="Normal1">
    <w:name w:val="Normal1"/>
    <w:basedOn w:val="Normal"/>
    <w:rsid w:val="00251387"/>
    <w:pPr>
      <w:spacing w:before="100" w:beforeAutospacing="1" w:after="100" w:afterAutospacing="1"/>
    </w:pPr>
    <w:rPr>
      <w:sz w:val="24"/>
      <w:szCs w:val="24"/>
      <w:lang w:val="sq-AL"/>
    </w:rPr>
  </w:style>
  <w:style w:type="character" w:customStyle="1" w:styleId="sb8d990e2">
    <w:name w:val="sb8d990e2"/>
    <w:rsid w:val="00251387"/>
  </w:style>
  <w:style w:type="character" w:customStyle="1" w:styleId="wordhighlighted">
    <w:name w:val="wordhighlighted"/>
    <w:rsid w:val="00251387"/>
  </w:style>
  <w:style w:type="character" w:customStyle="1" w:styleId="s7d2086b4">
    <w:name w:val="s7d2086b4"/>
    <w:rsid w:val="00251387"/>
  </w:style>
  <w:style w:type="character" w:customStyle="1" w:styleId="Bodytext4NotBold">
    <w:name w:val="Body text (4) + Not Bold"/>
    <w:rsid w:val="00251387"/>
    <w:rPr>
      <w:rFonts w:ascii="Times New Roman" w:eastAsia="Times New Roman" w:hAnsi="Times New Roman" w:cs="Times New Roman"/>
      <w:b/>
      <w:bCs/>
      <w:i w:val="0"/>
      <w:iCs w:val="0"/>
      <w:smallCaps w:val="0"/>
      <w:strike w:val="0"/>
      <w:color w:val="000000"/>
      <w:spacing w:val="0"/>
      <w:w w:val="100"/>
      <w:position w:val="0"/>
      <w:sz w:val="28"/>
      <w:szCs w:val="28"/>
      <w:u w:val="none"/>
      <w:lang w:val="it-IT" w:eastAsia="it-IT" w:bidi="it-IT"/>
    </w:rPr>
  </w:style>
  <w:style w:type="paragraph" w:customStyle="1" w:styleId="StyleCentered1">
    <w:name w:val="Style Centered1"/>
    <w:basedOn w:val="Normal"/>
    <w:autoRedefine/>
    <w:qFormat/>
    <w:rsid w:val="00251387"/>
    <w:pPr>
      <w:spacing w:after="80"/>
      <w:jc w:val="center"/>
    </w:pPr>
    <w:rPr>
      <w:b/>
      <w:sz w:val="24"/>
      <w:szCs w:val="28"/>
    </w:rPr>
  </w:style>
  <w:style w:type="paragraph" w:customStyle="1" w:styleId="Style12ptBoldJustifiedFirstline05">
    <w:name w:val="Style 12 pt Bold Justified First line:  0.5&quot;"/>
    <w:basedOn w:val="Normal"/>
    <w:autoRedefine/>
    <w:qFormat/>
    <w:rsid w:val="00251387"/>
    <w:pPr>
      <w:spacing w:line="360" w:lineRule="auto"/>
      <w:ind w:firstLine="720"/>
      <w:jc w:val="both"/>
    </w:pPr>
    <w:rPr>
      <w:rFonts w:ascii="Bookman Old Style" w:hAnsi="Bookman Old Style"/>
      <w:b/>
      <w:sz w:val="28"/>
      <w:szCs w:val="28"/>
      <w:lang w:val="sq-AL"/>
    </w:rPr>
  </w:style>
  <w:style w:type="character" w:customStyle="1" w:styleId="ColorfulList-Accent1Char">
    <w:name w:val="Colorful List - Accent 1 Char"/>
    <w:link w:val="ColorfulList-Accent1"/>
    <w:uiPriority w:val="34"/>
    <w:rsid w:val="00251387"/>
    <w:rPr>
      <w:rFonts w:ascii="Times New Roman" w:eastAsia="Times New Roman" w:hAnsi="Times New Roman" w:cs="Times New Roman"/>
      <w:sz w:val="26"/>
      <w:szCs w:val="20"/>
    </w:rPr>
  </w:style>
  <w:style w:type="table" w:styleId="ColorfulList-Accent1">
    <w:name w:val="Colorful List Accent 1"/>
    <w:basedOn w:val="TableNormal"/>
    <w:link w:val="ColorfulList-Accent1Char"/>
    <w:uiPriority w:val="34"/>
    <w:rsid w:val="00251387"/>
    <w:pPr>
      <w:spacing w:after="0" w:line="240" w:lineRule="auto"/>
    </w:pPr>
    <w:rPr>
      <w:rFonts w:ascii="Times New Roman" w:eastAsia="Times New Roman" w:hAnsi="Times New Roman" w:cs="Times New Roman"/>
      <w:sz w:val="26"/>
      <w:szCs w:val="20"/>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NoSpacing1">
    <w:name w:val="No Spacing1"/>
    <w:uiPriority w:val="1"/>
    <w:qFormat/>
    <w:rsid w:val="00251387"/>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PlainText">
    <w:name w:val="Plain Text"/>
    <w:basedOn w:val="Normal"/>
    <w:link w:val="PlainTextChar"/>
    <w:uiPriority w:val="99"/>
    <w:unhideWhenUsed/>
    <w:rsid w:val="00251387"/>
    <w:pPr>
      <w:jc w:val="both"/>
    </w:pPr>
    <w:rPr>
      <w:rFonts w:ascii="Consolas" w:hAnsi="Consolas" w:cs="Consolas"/>
      <w:sz w:val="21"/>
      <w:szCs w:val="21"/>
      <w:lang w:bidi="en-US"/>
    </w:rPr>
  </w:style>
  <w:style w:type="character" w:customStyle="1" w:styleId="PlainTextChar">
    <w:name w:val="Plain Text Char"/>
    <w:basedOn w:val="DefaultParagraphFont"/>
    <w:link w:val="PlainText"/>
    <w:uiPriority w:val="99"/>
    <w:rsid w:val="00251387"/>
    <w:rPr>
      <w:rFonts w:ascii="Consolas" w:eastAsia="Times New Roman" w:hAnsi="Consolas" w:cs="Consolas"/>
      <w:sz w:val="21"/>
      <w:szCs w:val="21"/>
      <w:lang w:val="en-US" w:bidi="en-US"/>
    </w:rPr>
  </w:style>
  <w:style w:type="character" w:customStyle="1" w:styleId="BodytextSmallCaps">
    <w:name w:val="Body text + Small Caps"/>
    <w:basedOn w:val="Bodytext"/>
    <w:rsid w:val="00251387"/>
    <w:rPr>
      <w:rFonts w:ascii="Bookman Old Style" w:eastAsia="Times New Roman" w:hAnsi="Bookman Old Style" w:cs="Times New Roman"/>
      <w:i/>
      <w:iCs/>
      <w:smallCaps/>
      <w:color w:val="000000"/>
      <w:spacing w:val="0"/>
      <w:w w:val="100"/>
      <w:position w:val="0"/>
      <w:sz w:val="32"/>
      <w:szCs w:val="32"/>
      <w:shd w:val="clear" w:color="auto" w:fill="FFFFFF"/>
      <w:lang w:val="sq-AL" w:eastAsia="sq-AL" w:bidi="sq-AL"/>
    </w:rPr>
  </w:style>
  <w:style w:type="character" w:customStyle="1" w:styleId="Bodytext215pt">
    <w:name w:val="Body text (2) + 15 pt"/>
    <w:basedOn w:val="DefaultParagraphFont"/>
    <w:rsid w:val="00251387"/>
    <w:rPr>
      <w:rFonts w:ascii="Times New Roman" w:eastAsia="Times New Roman" w:hAnsi="Times New Roman" w:cs="Times New Roman"/>
      <w:b/>
      <w:bCs/>
      <w:i/>
      <w:iCs/>
      <w:color w:val="000000"/>
      <w:spacing w:val="0"/>
      <w:w w:val="100"/>
      <w:position w:val="0"/>
      <w:sz w:val="30"/>
      <w:szCs w:val="30"/>
      <w:shd w:val="clear" w:color="auto" w:fill="FFFFFF"/>
      <w:lang w:val="it-IT" w:eastAsia="it-IT" w:bidi="it-IT"/>
    </w:rPr>
  </w:style>
  <w:style w:type="paragraph" w:customStyle="1" w:styleId="Normal2">
    <w:name w:val="Normal2"/>
    <w:basedOn w:val="Normal"/>
    <w:rsid w:val="00251387"/>
    <w:pPr>
      <w:spacing w:before="100" w:beforeAutospacing="1" w:after="100" w:afterAutospacing="1"/>
    </w:pPr>
    <w:rPr>
      <w:sz w:val="24"/>
      <w:szCs w:val="24"/>
    </w:rPr>
  </w:style>
  <w:style w:type="character" w:customStyle="1" w:styleId="Headerorfooter">
    <w:name w:val="Header or footer_"/>
    <w:basedOn w:val="DefaultParagraphFont"/>
    <w:rsid w:val="00251387"/>
    <w:rPr>
      <w:rFonts w:ascii="Times New Roman" w:eastAsia="Times New Roman" w:hAnsi="Times New Roman" w:cs="Times New Roman"/>
      <w:b w:val="0"/>
      <w:bCs w:val="0"/>
      <w:i w:val="0"/>
      <w:iCs w:val="0"/>
      <w:smallCaps w:val="0"/>
      <w:strike w:val="0"/>
      <w:sz w:val="40"/>
      <w:szCs w:val="40"/>
      <w:u w:val="none"/>
    </w:rPr>
  </w:style>
  <w:style w:type="character" w:customStyle="1" w:styleId="Headerorfooter0">
    <w:name w:val="Header or footer"/>
    <w:basedOn w:val="Headerorfooter"/>
    <w:rsid w:val="00251387"/>
    <w:rPr>
      <w:rFonts w:ascii="Times New Roman" w:eastAsia="Times New Roman" w:hAnsi="Times New Roman" w:cs="Times New Roman"/>
      <w:b w:val="0"/>
      <w:bCs w:val="0"/>
      <w:i w:val="0"/>
      <w:iCs w:val="0"/>
      <w:smallCaps w:val="0"/>
      <w:strike w:val="0"/>
      <w:color w:val="000000"/>
      <w:spacing w:val="0"/>
      <w:w w:val="100"/>
      <w:position w:val="0"/>
      <w:sz w:val="40"/>
      <w:szCs w:val="40"/>
      <w:u w:val="none"/>
      <w:lang w:val="en-US" w:eastAsia="en-US" w:bidi="en-US"/>
    </w:rPr>
  </w:style>
  <w:style w:type="character" w:customStyle="1" w:styleId="Bodytext3NotItalic">
    <w:name w:val="Body text (3) + Not Italic"/>
    <w:basedOn w:val="Bodytext30"/>
    <w:rsid w:val="00251387"/>
    <w:rPr>
      <w:rFonts w:ascii="Times New Roman" w:eastAsia="Times New Roman" w:hAnsi="Times New Roman" w:cs="Times New Roman"/>
      <w:b/>
      <w:bCs/>
      <w:i/>
      <w:iCs/>
      <w:color w:val="000000"/>
      <w:spacing w:val="0"/>
      <w:w w:val="100"/>
      <w:position w:val="0"/>
      <w:sz w:val="32"/>
      <w:szCs w:val="32"/>
      <w:shd w:val="clear" w:color="auto" w:fill="FFFFFF"/>
      <w:lang w:val="en-US" w:eastAsia="en-US" w:bidi="en-US"/>
    </w:rPr>
  </w:style>
  <w:style w:type="character" w:customStyle="1" w:styleId="Bodytext5Italic">
    <w:name w:val="Body text (5) + Italic"/>
    <w:basedOn w:val="Bodytext5"/>
    <w:rsid w:val="00251387"/>
    <w:rPr>
      <w:rFonts w:ascii="Times New Roman" w:eastAsia="Times New Roman" w:hAnsi="Times New Roman" w:cs="Times New Roman"/>
      <w:b/>
      <w:bCs/>
      <w:i/>
      <w:iCs/>
      <w:color w:val="000000"/>
      <w:spacing w:val="0"/>
      <w:w w:val="100"/>
      <w:position w:val="0"/>
      <w:sz w:val="30"/>
      <w:szCs w:val="30"/>
      <w:shd w:val="clear" w:color="auto" w:fill="FFFFFF"/>
      <w:lang w:val="en-US" w:eastAsia="en-US" w:bidi="en-US"/>
    </w:rPr>
  </w:style>
  <w:style w:type="character" w:customStyle="1" w:styleId="Bodytext511pt">
    <w:name w:val="Body text (5) + 11 pt"/>
    <w:basedOn w:val="Bodytext5"/>
    <w:rsid w:val="00251387"/>
    <w:rPr>
      <w:rFonts w:ascii="Times New Roman" w:eastAsia="Times New Roman" w:hAnsi="Times New Roman" w:cs="Times New Roman"/>
      <w:b/>
      <w:bCs/>
      <w:i/>
      <w:iCs/>
      <w:color w:val="000000"/>
      <w:spacing w:val="0"/>
      <w:w w:val="100"/>
      <w:position w:val="0"/>
      <w:sz w:val="22"/>
      <w:szCs w:val="22"/>
      <w:shd w:val="clear" w:color="auto" w:fill="FFFFFF"/>
      <w:lang w:val="en-US" w:eastAsia="en-US" w:bidi="en-US"/>
    </w:rPr>
  </w:style>
  <w:style w:type="character" w:customStyle="1" w:styleId="fontstyle110">
    <w:name w:val="fontstyle11"/>
    <w:basedOn w:val="DefaultParagraphFont"/>
    <w:rsid w:val="00251387"/>
  </w:style>
  <w:style w:type="character" w:customStyle="1" w:styleId="Bodytext2TrebuchetMS">
    <w:name w:val="Body text (2) + Trebuchet MS"/>
    <w:aliases w:val="8.5 pt"/>
    <w:basedOn w:val="Bodytext22"/>
    <w:rsid w:val="00251387"/>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Bodytext6Exact">
    <w:name w:val="Body text (6) Exact"/>
    <w:basedOn w:val="DefaultParagraphFont"/>
    <w:link w:val="Bodytext6"/>
    <w:rsid w:val="00251387"/>
    <w:rPr>
      <w:rFonts w:eastAsia="Times New Roman"/>
      <w:spacing w:val="12"/>
      <w:sz w:val="12"/>
      <w:szCs w:val="12"/>
      <w:shd w:val="clear" w:color="auto" w:fill="FFFFFF"/>
    </w:rPr>
  </w:style>
  <w:style w:type="paragraph" w:customStyle="1" w:styleId="Bodytext6">
    <w:name w:val="Body text (6)"/>
    <w:basedOn w:val="Normal"/>
    <w:link w:val="Bodytext6Exact"/>
    <w:rsid w:val="00251387"/>
    <w:pPr>
      <w:widowControl w:val="0"/>
      <w:shd w:val="clear" w:color="auto" w:fill="FFFFFF"/>
      <w:spacing w:line="0" w:lineRule="atLeast"/>
      <w:jc w:val="both"/>
    </w:pPr>
    <w:rPr>
      <w:rFonts w:asciiTheme="minorHAnsi" w:hAnsiTheme="minorHAnsi" w:cstheme="minorBidi"/>
      <w:spacing w:val="12"/>
      <w:sz w:val="12"/>
      <w:szCs w:val="12"/>
      <w:lang w:val="sq-AL"/>
    </w:rPr>
  </w:style>
  <w:style w:type="character" w:customStyle="1" w:styleId="Bodytext7Exact">
    <w:name w:val="Body text (7) Exact"/>
    <w:basedOn w:val="DefaultParagraphFont"/>
    <w:rsid w:val="00251387"/>
    <w:rPr>
      <w:rFonts w:ascii="Times New Roman" w:eastAsia="Times New Roman" w:hAnsi="Times New Roman" w:cs="Times New Roman"/>
      <w:b w:val="0"/>
      <w:bCs w:val="0"/>
      <w:i w:val="0"/>
      <w:iCs w:val="0"/>
      <w:smallCaps w:val="0"/>
      <w:strike w:val="0"/>
      <w:spacing w:val="18"/>
      <w:w w:val="40"/>
      <w:sz w:val="28"/>
      <w:szCs w:val="28"/>
      <w:u w:val="none"/>
    </w:rPr>
  </w:style>
  <w:style w:type="character" w:customStyle="1" w:styleId="Bodytext7Spacing0pt">
    <w:name w:val="Body text (7) + Spacing 0 pt"/>
    <w:aliases w:val="Scale 100% Exact"/>
    <w:basedOn w:val="Bodytext7Exact"/>
    <w:rsid w:val="0025138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character" w:customStyle="1" w:styleId="BodytextSpacing0pt">
    <w:name w:val="Body text + Spacing 0 pt"/>
    <w:aliases w:val="Scale 50%"/>
    <w:basedOn w:val="Bodytext"/>
    <w:rsid w:val="00251387"/>
    <w:rPr>
      <w:rFonts w:ascii="Bookman Old Style" w:eastAsia="Times New Roman" w:hAnsi="Bookman Old Style" w:cs="Times New Roman"/>
      <w:b w:val="0"/>
      <w:bCs w:val="0"/>
      <w:i w:val="0"/>
      <w:iCs w:val="0"/>
      <w:smallCaps w:val="0"/>
      <w:strike w:val="0"/>
      <w:color w:val="000000"/>
      <w:spacing w:val="-10"/>
      <w:w w:val="50"/>
      <w:position w:val="0"/>
      <w:sz w:val="30"/>
      <w:szCs w:val="30"/>
      <w:u w:val="none"/>
      <w:shd w:val="clear" w:color="auto" w:fill="FFFFFF"/>
      <w:lang w:val="en-US" w:eastAsia="en-US" w:bidi="en-US"/>
    </w:rPr>
  </w:style>
  <w:style w:type="character" w:customStyle="1" w:styleId="BodytextCorbel">
    <w:name w:val="Body text + Corbel"/>
    <w:aliases w:val="15 pt,Spacing -2 pt"/>
    <w:basedOn w:val="Bodytext"/>
    <w:rsid w:val="00251387"/>
    <w:rPr>
      <w:rFonts w:ascii="Corbel" w:eastAsia="Corbel" w:hAnsi="Corbel" w:cs="Corbel"/>
      <w:color w:val="000000"/>
      <w:spacing w:val="-40"/>
      <w:w w:val="100"/>
      <w:position w:val="0"/>
      <w:sz w:val="30"/>
      <w:szCs w:val="30"/>
      <w:shd w:val="clear" w:color="auto" w:fill="FFFFFF"/>
      <w:lang w:val="it-IT" w:eastAsia="it-IT" w:bidi="it-IT"/>
    </w:rPr>
  </w:style>
  <w:style w:type="character" w:customStyle="1" w:styleId="BodytextSpacing1pt">
    <w:name w:val="Body text + Spacing 1 pt"/>
    <w:basedOn w:val="Bodytext"/>
    <w:rsid w:val="00251387"/>
    <w:rPr>
      <w:rFonts w:ascii="Bookman Old Style" w:eastAsia="Times New Roman" w:hAnsi="Bookman Old Style" w:cs="Times New Roman"/>
      <w:i/>
      <w:iCs/>
      <w:color w:val="000000"/>
      <w:spacing w:val="30"/>
      <w:w w:val="100"/>
      <w:position w:val="0"/>
      <w:sz w:val="30"/>
      <w:szCs w:val="30"/>
      <w:shd w:val="clear" w:color="auto" w:fill="FFFFFF"/>
      <w:lang w:val="it-IT" w:eastAsia="it-IT" w:bidi="it-IT"/>
    </w:rPr>
  </w:style>
  <w:style w:type="character" w:customStyle="1" w:styleId="Bodytext3Exact">
    <w:name w:val="Body text (3) Exact"/>
    <w:basedOn w:val="DefaultParagraphFont"/>
    <w:rsid w:val="00251387"/>
    <w:rPr>
      <w:rFonts w:ascii="Times New Roman" w:eastAsia="Times New Roman" w:hAnsi="Times New Roman" w:cs="Times New Roman"/>
      <w:b/>
      <w:bCs/>
      <w:spacing w:val="-29"/>
      <w:sz w:val="26"/>
      <w:szCs w:val="26"/>
      <w:shd w:val="clear" w:color="auto" w:fill="FFFFFF"/>
    </w:rPr>
  </w:style>
  <w:style w:type="character" w:customStyle="1" w:styleId="Bodytext5NotItalic">
    <w:name w:val="Body text (5) + Not Italic"/>
    <w:basedOn w:val="Bodytext5"/>
    <w:rsid w:val="00251387"/>
    <w:rPr>
      <w:rFonts w:ascii="Arial" w:eastAsia="Arial" w:hAnsi="Arial" w:cs="Arial"/>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Bodytext2Bold">
    <w:name w:val="Body text (2) + Bold"/>
    <w:basedOn w:val="Bodytext22"/>
    <w:rsid w:val="00251387"/>
    <w:rPr>
      <w:rFonts w:ascii="Arial" w:eastAsia="Arial" w:hAnsi="Arial" w:cs="Arial"/>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Heading30">
    <w:name w:val="Heading #3_"/>
    <w:basedOn w:val="DefaultParagraphFont"/>
    <w:link w:val="Heading31"/>
    <w:rsid w:val="00251387"/>
    <w:rPr>
      <w:rFonts w:ascii="Arial" w:eastAsia="Arial" w:hAnsi="Arial" w:cs="Arial"/>
      <w:b/>
      <w:bCs/>
      <w:shd w:val="clear" w:color="auto" w:fill="FFFFFF"/>
    </w:rPr>
  </w:style>
  <w:style w:type="paragraph" w:customStyle="1" w:styleId="Heading31">
    <w:name w:val="Heading #3"/>
    <w:basedOn w:val="Normal"/>
    <w:link w:val="Heading30"/>
    <w:rsid w:val="00251387"/>
    <w:pPr>
      <w:widowControl w:val="0"/>
      <w:shd w:val="clear" w:color="auto" w:fill="FFFFFF"/>
      <w:spacing w:before="660" w:after="420" w:line="0" w:lineRule="atLeast"/>
      <w:jc w:val="both"/>
      <w:outlineLvl w:val="2"/>
    </w:pPr>
    <w:rPr>
      <w:rFonts w:ascii="Arial" w:eastAsia="Arial" w:hAnsi="Arial" w:cs="Arial"/>
      <w:b/>
      <w:bCs/>
      <w:sz w:val="22"/>
      <w:szCs w:val="22"/>
      <w:lang w:val="sq-AL"/>
    </w:rPr>
  </w:style>
  <w:style w:type="character" w:customStyle="1" w:styleId="Bodytext4Bold">
    <w:name w:val="Body text (4) + Bold"/>
    <w:basedOn w:val="Bodytext40"/>
    <w:rsid w:val="00251387"/>
    <w:rPr>
      <w:rFonts w:ascii="Arial" w:eastAsia="Arial" w:hAnsi="Arial" w:cs="Arial"/>
      <w:b/>
      <w:bCs/>
      <w:i/>
      <w:iCs/>
      <w:smallCaps w:val="0"/>
      <w:strike w:val="0"/>
      <w:color w:val="000000"/>
      <w:spacing w:val="0"/>
      <w:w w:val="100"/>
      <w:position w:val="0"/>
      <w:sz w:val="24"/>
      <w:szCs w:val="24"/>
      <w:u w:val="none"/>
      <w:shd w:val="clear" w:color="auto" w:fill="FFFFFF"/>
      <w:lang w:val="en-US" w:eastAsia="en-US" w:bidi="en-US"/>
    </w:rPr>
  </w:style>
  <w:style w:type="character" w:customStyle="1" w:styleId="Bodytext2SmallCaps">
    <w:name w:val="Body text (2) + Small Caps"/>
    <w:basedOn w:val="Bodytext22"/>
    <w:rsid w:val="00251387"/>
    <w:rPr>
      <w:rFonts w:ascii="Arial" w:eastAsia="Arial" w:hAnsi="Arial" w:cs="Arial"/>
      <w:b w:val="0"/>
      <w:bCs w:val="0"/>
      <w:i w:val="0"/>
      <w:iCs w:val="0"/>
      <w:smallCaps/>
      <w:strike w:val="0"/>
      <w:color w:val="000000"/>
      <w:spacing w:val="0"/>
      <w:w w:val="100"/>
      <w:position w:val="0"/>
      <w:sz w:val="24"/>
      <w:szCs w:val="24"/>
      <w:u w:val="none"/>
      <w:shd w:val="clear" w:color="auto" w:fill="FFFFFF"/>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7959106">
      <w:bodyDiv w:val="1"/>
      <w:marLeft w:val="0"/>
      <w:marRight w:val="0"/>
      <w:marTop w:val="0"/>
      <w:marBottom w:val="0"/>
      <w:divBdr>
        <w:top w:val="none" w:sz="0" w:space="0" w:color="auto"/>
        <w:left w:val="none" w:sz="0" w:space="0" w:color="auto"/>
        <w:bottom w:val="none" w:sz="0" w:space="0" w:color="auto"/>
        <w:right w:val="none" w:sz="0" w:space="0" w:color="auto"/>
      </w:divBdr>
    </w:div>
    <w:div w:id="205122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udoc.echr.coe.int/?i=001-934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235;.com/en/bangladesh-bans-ousted-pms-A&#235;ami-league-under-terrorism-la&#235;/a-7250412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hudoc.echr.coe.int/?i=001-576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reports/2023-country-reports-on-human-rights-practices/bangladesh" TargetMode="External"/><Relationship Id="rId5" Type="http://schemas.openxmlformats.org/officeDocument/2006/relationships/webSettings" Target="webSettings.xml"/><Relationship Id="rId15" Type="http://schemas.openxmlformats.org/officeDocument/2006/relationships/hyperlink" Target="https://hudoc.echr.coe.int/?i=001-58004" TargetMode="External"/><Relationship Id="rId10" Type="http://schemas.openxmlformats.org/officeDocument/2006/relationships/hyperlink" Target="https://www.hrw.org/world-report/2025/country-chapters/banglade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hudoc.echr.coe.int/?i=001-5761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mnesty.org/en/documents/act50/7952/2024/en/" TargetMode="External"/><Relationship Id="rId2" Type="http://schemas.openxmlformats.org/officeDocument/2006/relationships/hyperlink" Target="https://deathpenaltyinfo.org/policy-issues/policy/international/executions-around-the-world" TargetMode="External"/><Relationship Id="rId1" Type="http://schemas.openxmlformats.org/officeDocument/2006/relationships/hyperlink" Target="https://blogs.la&#235;.ox.ac.uk/research-and-subject-groups/death-penalty-research%20unit/blog/2021/07/death-penalty-banglade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5DD5F9-898C-4246-966E-07B2D5DF9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15503</Words>
  <Characters>88373</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FLORJAN_</dc:creator>
  <cp:lastModifiedBy>Elisava Thaci</cp:lastModifiedBy>
  <cp:revision>2</cp:revision>
  <cp:lastPrinted>2026-06-15T08:29:00Z</cp:lastPrinted>
  <dcterms:created xsi:type="dcterms:W3CDTF">2026-07-23T12:25:00Z</dcterms:created>
  <dcterms:modified xsi:type="dcterms:W3CDTF">2026-07-23T12:25:00Z</dcterms:modified>
</cp:coreProperties>
</file>