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08828341"/>
    <w:bookmarkStart w:id="1" w:name="_Hlk153785329"/>
    <w:p w14:paraId="5EBDACA7" w14:textId="1B3C5602" w:rsidR="009F0CE4" w:rsidRPr="005522F5" w:rsidRDefault="009F0CE4" w:rsidP="00C6342A">
      <w:pPr>
        <w:jc w:val="center"/>
        <w:rPr>
          <w:rFonts w:ascii="Times New Roman" w:hAnsi="Times New Roman"/>
          <w:b/>
          <w:color w:val="000000" w:themeColor="text1"/>
        </w:rPr>
      </w:pPr>
      <w:r w:rsidRPr="005522F5">
        <w:rPr>
          <w:rFonts w:ascii="Times New Roman" w:hAnsi="Times New Roman"/>
          <w:b/>
          <w:color w:val="000000" w:themeColor="text1"/>
        </w:rPr>
        <w:object w:dxaOrig="6674" w:dyaOrig="10036" w14:anchorId="7E2B50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pt;height:36pt" o:ole="">
            <v:imagedata r:id="rId8" o:title=""/>
          </v:shape>
          <o:OLEObject Type="Embed" ProgID="MSPhotoEd.3" ShapeID="_x0000_i1025" DrawAspect="Content" ObjectID="_1834651632" r:id="rId9"/>
        </w:object>
      </w:r>
    </w:p>
    <w:p w14:paraId="2D955983" w14:textId="607D8179" w:rsidR="009F0CE4" w:rsidRPr="005522F5" w:rsidRDefault="009F0CE4" w:rsidP="00C6342A">
      <w:pPr>
        <w:jc w:val="center"/>
        <w:rPr>
          <w:rFonts w:ascii="Times New Roman" w:hAnsi="Times New Roman"/>
          <w:b/>
          <w:color w:val="000000" w:themeColor="text1"/>
        </w:rPr>
      </w:pPr>
      <w:r w:rsidRPr="005522F5">
        <w:rPr>
          <w:rFonts w:ascii="Times New Roman" w:hAnsi="Times New Roman"/>
          <w:b/>
          <w:color w:val="000000" w:themeColor="text1"/>
        </w:rPr>
        <w:t>REPUBLIKA E SHQIPËRISË</w:t>
      </w:r>
    </w:p>
    <w:p w14:paraId="5597BE12" w14:textId="77777777" w:rsidR="009F0CE4" w:rsidRPr="005522F5" w:rsidRDefault="009F0CE4" w:rsidP="00C6342A">
      <w:pPr>
        <w:jc w:val="center"/>
        <w:rPr>
          <w:rFonts w:ascii="Times New Roman" w:hAnsi="Times New Roman"/>
          <w:b/>
          <w:color w:val="000000" w:themeColor="text1"/>
        </w:rPr>
      </w:pPr>
      <w:r w:rsidRPr="005522F5">
        <w:rPr>
          <w:rFonts w:ascii="Times New Roman" w:hAnsi="Times New Roman"/>
          <w:b/>
          <w:color w:val="000000" w:themeColor="text1"/>
        </w:rPr>
        <w:t>GJYKATA E LARTË</w:t>
      </w:r>
    </w:p>
    <w:p w14:paraId="39639D51" w14:textId="77777777" w:rsidR="009F0CE4" w:rsidRPr="005522F5" w:rsidRDefault="009F0CE4" w:rsidP="00C6342A">
      <w:pPr>
        <w:jc w:val="center"/>
        <w:rPr>
          <w:rFonts w:ascii="Times New Roman" w:hAnsi="Times New Roman"/>
          <w:b/>
          <w:color w:val="000000" w:themeColor="text1"/>
        </w:rPr>
      </w:pPr>
      <w:r w:rsidRPr="005522F5">
        <w:rPr>
          <w:rFonts w:ascii="Times New Roman" w:hAnsi="Times New Roman"/>
          <w:b/>
          <w:color w:val="000000" w:themeColor="text1"/>
        </w:rPr>
        <w:t>KOLEGJI PENAL</w:t>
      </w:r>
    </w:p>
    <w:p w14:paraId="3D971207" w14:textId="77777777" w:rsidR="009F0CE4" w:rsidRPr="005522F5" w:rsidRDefault="009F0CE4" w:rsidP="00C6342A">
      <w:pPr>
        <w:jc w:val="both"/>
        <w:rPr>
          <w:rFonts w:ascii="Times New Roman" w:eastAsia="Calibri" w:hAnsi="Times New Roman"/>
          <w:b/>
          <w:bCs/>
          <w:color w:val="000000" w:themeColor="text1"/>
        </w:rPr>
      </w:pPr>
    </w:p>
    <w:p w14:paraId="679B7C12" w14:textId="5217BFF7" w:rsidR="009F0CE4" w:rsidRPr="005522F5" w:rsidRDefault="009F0CE4" w:rsidP="00C6342A">
      <w:pPr>
        <w:jc w:val="both"/>
        <w:rPr>
          <w:rFonts w:ascii="Times New Roman" w:eastAsia="Calibri" w:hAnsi="Times New Roman"/>
          <w:b/>
          <w:color w:val="000000" w:themeColor="text1"/>
        </w:rPr>
      </w:pPr>
      <w:r w:rsidRPr="005522F5">
        <w:rPr>
          <w:rFonts w:ascii="Times New Roman" w:eastAsia="Calibri" w:hAnsi="Times New Roman"/>
          <w:b/>
          <w:bCs/>
          <w:color w:val="000000" w:themeColor="text1"/>
        </w:rPr>
        <w:t>Nr</w:t>
      </w:r>
      <w:r w:rsidRPr="005522F5">
        <w:rPr>
          <w:rFonts w:ascii="Times New Roman" w:hAnsi="Times New Roman"/>
          <w:b/>
          <w:iCs/>
          <w:color w:val="000000" w:themeColor="text1"/>
        </w:rPr>
        <w:t xml:space="preserve">. </w:t>
      </w:r>
      <w:r w:rsidR="00053DC0" w:rsidRPr="005522F5">
        <w:rPr>
          <w:rFonts w:ascii="Times New Roman" w:hAnsi="Times New Roman"/>
          <w:b/>
          <w:bCs/>
          <w:color w:val="000000" w:themeColor="text1"/>
        </w:rPr>
        <w:t>70017-00754-00-2025</w:t>
      </w:r>
      <w:r w:rsidR="00FF4DD9" w:rsidRPr="005522F5">
        <w:rPr>
          <w:rFonts w:ascii="Times New Roman" w:hAnsi="Times New Roman"/>
          <w:b/>
          <w:bCs/>
          <w:color w:val="000000" w:themeColor="text1"/>
        </w:rPr>
        <w:t xml:space="preserve"> </w:t>
      </w:r>
      <w:r w:rsidRPr="005522F5">
        <w:rPr>
          <w:rFonts w:ascii="Times New Roman" w:eastAsia="Calibri" w:hAnsi="Times New Roman"/>
          <w:b/>
          <w:bCs/>
          <w:color w:val="000000" w:themeColor="text1"/>
        </w:rPr>
        <w:t>Regj. Themeltar</w:t>
      </w:r>
      <w:r w:rsidRPr="005522F5">
        <w:rPr>
          <w:rFonts w:ascii="Times New Roman" w:hAnsi="Times New Roman"/>
          <w:b/>
          <w:color w:val="000000" w:themeColor="text1"/>
        </w:rPr>
        <w:t xml:space="preserve"> </w:t>
      </w:r>
    </w:p>
    <w:p w14:paraId="52F39D19" w14:textId="6F538540" w:rsidR="009F0CE4" w:rsidRPr="005522F5" w:rsidRDefault="009F0CE4" w:rsidP="00C6342A">
      <w:pPr>
        <w:jc w:val="both"/>
        <w:rPr>
          <w:rFonts w:ascii="Times New Roman" w:eastAsia="Calibri" w:hAnsi="Times New Roman"/>
          <w:b/>
          <w:bCs/>
          <w:color w:val="000000" w:themeColor="text1"/>
        </w:rPr>
      </w:pPr>
      <w:r w:rsidRPr="005522F5">
        <w:rPr>
          <w:rFonts w:ascii="Times New Roman" w:eastAsia="Calibri" w:hAnsi="Times New Roman"/>
          <w:b/>
          <w:bCs/>
          <w:color w:val="000000" w:themeColor="text1"/>
        </w:rPr>
        <w:t xml:space="preserve">Nr. </w:t>
      </w:r>
      <w:r w:rsidR="00FF3CDC" w:rsidRPr="00FF3CDC">
        <w:rPr>
          <w:rFonts w:ascii="Times New Roman" w:eastAsia="Calibri" w:hAnsi="Times New Roman"/>
          <w:b/>
          <w:bCs/>
          <w:color w:val="000000" w:themeColor="text1"/>
        </w:rPr>
        <w:t>00-2026-5</w:t>
      </w:r>
      <w:r w:rsidR="00FF3CDC">
        <w:rPr>
          <w:rFonts w:ascii="Times New Roman" w:eastAsia="Calibri" w:hAnsi="Times New Roman"/>
          <w:b/>
          <w:bCs/>
          <w:color w:val="000000" w:themeColor="text1"/>
        </w:rPr>
        <w:t xml:space="preserve"> </w:t>
      </w:r>
      <w:r w:rsidRPr="005522F5">
        <w:rPr>
          <w:rFonts w:ascii="Times New Roman" w:eastAsia="Calibri" w:hAnsi="Times New Roman"/>
          <w:b/>
          <w:bCs/>
          <w:color w:val="000000" w:themeColor="text1"/>
        </w:rPr>
        <w:t>Vendimi</w:t>
      </w:r>
    </w:p>
    <w:p w14:paraId="6211DF4E" w14:textId="77777777" w:rsidR="00BC3FD4" w:rsidRPr="005522F5" w:rsidRDefault="00BC3FD4" w:rsidP="00C6342A">
      <w:pPr>
        <w:pStyle w:val="Heading2"/>
        <w:spacing w:before="0" w:after="0"/>
        <w:jc w:val="center"/>
        <w:rPr>
          <w:rFonts w:ascii="Times New Roman" w:hAnsi="Times New Roman"/>
          <w:i w:val="0"/>
          <w:color w:val="000000" w:themeColor="text1"/>
          <w:sz w:val="24"/>
          <w:szCs w:val="24"/>
        </w:rPr>
      </w:pPr>
    </w:p>
    <w:p w14:paraId="2DB12027" w14:textId="77777777" w:rsidR="00BC3FD4" w:rsidRPr="005522F5" w:rsidRDefault="00BC3FD4" w:rsidP="00C6342A">
      <w:pPr>
        <w:pStyle w:val="Heading2"/>
        <w:spacing w:before="0" w:after="0"/>
        <w:jc w:val="center"/>
        <w:rPr>
          <w:rFonts w:ascii="Times New Roman" w:hAnsi="Times New Roman"/>
          <w:i w:val="0"/>
          <w:color w:val="000000" w:themeColor="text1"/>
          <w:sz w:val="24"/>
          <w:szCs w:val="24"/>
        </w:rPr>
      </w:pPr>
    </w:p>
    <w:p w14:paraId="66DEAAC3" w14:textId="62B0A4DA" w:rsidR="009F0CE4" w:rsidRPr="005522F5" w:rsidRDefault="009F0CE4" w:rsidP="00C6342A">
      <w:pPr>
        <w:pStyle w:val="Heading2"/>
        <w:spacing w:before="0" w:after="0"/>
        <w:jc w:val="center"/>
        <w:rPr>
          <w:rFonts w:ascii="Times New Roman" w:hAnsi="Times New Roman"/>
          <w:i w:val="0"/>
          <w:color w:val="000000" w:themeColor="text1"/>
          <w:sz w:val="24"/>
          <w:szCs w:val="24"/>
        </w:rPr>
      </w:pPr>
      <w:r w:rsidRPr="005522F5">
        <w:rPr>
          <w:rFonts w:ascii="Times New Roman" w:hAnsi="Times New Roman"/>
          <w:i w:val="0"/>
          <w:color w:val="000000" w:themeColor="text1"/>
          <w:sz w:val="24"/>
          <w:szCs w:val="24"/>
        </w:rPr>
        <w:t>VENDIM</w:t>
      </w:r>
    </w:p>
    <w:p w14:paraId="37B5BA45" w14:textId="77777777" w:rsidR="009F0CE4" w:rsidRPr="005522F5" w:rsidRDefault="009F0CE4" w:rsidP="00C6342A">
      <w:pPr>
        <w:jc w:val="center"/>
        <w:rPr>
          <w:rFonts w:ascii="Times New Roman" w:hAnsi="Times New Roman"/>
          <w:b/>
          <w:bCs/>
          <w:color w:val="000000" w:themeColor="text1"/>
        </w:rPr>
      </w:pPr>
      <w:r w:rsidRPr="005522F5">
        <w:rPr>
          <w:rFonts w:ascii="Times New Roman" w:hAnsi="Times New Roman"/>
          <w:b/>
          <w:bCs/>
          <w:color w:val="000000" w:themeColor="text1"/>
        </w:rPr>
        <w:t>NË EMËR TË REPUBLIKËS</w:t>
      </w:r>
    </w:p>
    <w:p w14:paraId="51B7BD23" w14:textId="77777777" w:rsidR="009F0CE4" w:rsidRPr="005522F5" w:rsidRDefault="009F0CE4" w:rsidP="00C6342A">
      <w:pPr>
        <w:jc w:val="both"/>
        <w:rPr>
          <w:rFonts w:ascii="Times New Roman" w:hAnsi="Times New Roman"/>
          <w:b/>
          <w:bCs/>
          <w:color w:val="000000" w:themeColor="text1"/>
        </w:rPr>
      </w:pPr>
    </w:p>
    <w:p w14:paraId="10DFB9EA" w14:textId="3F85DAA5" w:rsidR="009F0CE4" w:rsidRPr="005522F5" w:rsidRDefault="009F0CE4" w:rsidP="00C6342A">
      <w:pPr>
        <w:jc w:val="center"/>
        <w:rPr>
          <w:rFonts w:ascii="Times New Roman" w:hAnsi="Times New Roman"/>
          <w:color w:val="000000" w:themeColor="text1"/>
        </w:rPr>
      </w:pPr>
      <w:r w:rsidRPr="005522F5">
        <w:rPr>
          <w:rFonts w:ascii="Times New Roman" w:hAnsi="Times New Roman"/>
          <w:color w:val="000000" w:themeColor="text1"/>
        </w:rPr>
        <w:t xml:space="preserve">Kolegji Penal i Gjykatës së Lartë, </w:t>
      </w:r>
      <w:r w:rsidRPr="005522F5">
        <w:rPr>
          <w:rFonts w:ascii="Times New Roman" w:eastAsia="MS Mincho" w:hAnsi="Times New Roman"/>
          <w:color w:val="000000" w:themeColor="text1"/>
        </w:rPr>
        <w:t>me trup gjykues të përbërë nga</w:t>
      </w:r>
      <w:r w:rsidR="00BC3FD4" w:rsidRPr="005522F5">
        <w:rPr>
          <w:rFonts w:ascii="Times New Roman" w:eastAsia="MS Mincho" w:hAnsi="Times New Roman"/>
          <w:color w:val="000000" w:themeColor="text1"/>
        </w:rPr>
        <w:t xml:space="preserve"> </w:t>
      </w:r>
      <w:r w:rsidR="00C6342A" w:rsidRPr="005522F5">
        <w:rPr>
          <w:rFonts w:ascii="Times New Roman" w:eastAsia="MS Mincho" w:hAnsi="Times New Roman"/>
          <w:color w:val="000000" w:themeColor="text1"/>
        </w:rPr>
        <w:t>gjyqtarët</w:t>
      </w:r>
      <w:r w:rsidRPr="005522F5">
        <w:rPr>
          <w:rFonts w:ascii="Times New Roman" w:hAnsi="Times New Roman"/>
          <w:color w:val="000000" w:themeColor="text1"/>
        </w:rPr>
        <w:t>:</w:t>
      </w:r>
    </w:p>
    <w:p w14:paraId="71EC0372" w14:textId="77777777" w:rsidR="009F0CE4" w:rsidRPr="005522F5" w:rsidRDefault="009F0CE4" w:rsidP="00C6342A">
      <w:pPr>
        <w:jc w:val="both"/>
        <w:rPr>
          <w:rFonts w:ascii="Times New Roman" w:hAnsi="Times New Roman"/>
          <w:color w:val="000000" w:themeColor="text1"/>
        </w:rPr>
      </w:pPr>
    </w:p>
    <w:p w14:paraId="064D2A86" w14:textId="03320626" w:rsidR="009F0CE4" w:rsidRPr="005522F5" w:rsidRDefault="009F0CE4" w:rsidP="00C6342A">
      <w:pPr>
        <w:ind w:left="2880" w:firstLine="540"/>
        <w:jc w:val="both"/>
        <w:rPr>
          <w:rFonts w:ascii="Times New Roman" w:hAnsi="Times New Roman"/>
          <w:b/>
          <w:bCs/>
          <w:color w:val="000000" w:themeColor="text1"/>
          <w:lang w:bidi="ar-SA"/>
        </w:rPr>
      </w:pPr>
      <w:r w:rsidRPr="005522F5">
        <w:rPr>
          <w:rFonts w:ascii="Times New Roman" w:hAnsi="Times New Roman"/>
          <w:b/>
          <w:bCs/>
          <w:color w:val="000000" w:themeColor="text1"/>
          <w:lang w:bidi="ar-SA"/>
        </w:rPr>
        <w:t>Ilir PANDA</w:t>
      </w:r>
      <w:r w:rsidRPr="005522F5">
        <w:rPr>
          <w:rFonts w:ascii="Times New Roman" w:hAnsi="Times New Roman"/>
          <w:b/>
          <w:bCs/>
          <w:color w:val="000000" w:themeColor="text1"/>
          <w:lang w:bidi="ar-SA"/>
        </w:rPr>
        <w:tab/>
      </w:r>
      <w:r w:rsidR="00BC3FD4" w:rsidRPr="005522F5">
        <w:rPr>
          <w:rFonts w:ascii="Times New Roman" w:hAnsi="Times New Roman"/>
          <w:b/>
          <w:bCs/>
          <w:color w:val="000000" w:themeColor="text1"/>
          <w:lang w:bidi="ar-SA"/>
        </w:rPr>
        <w:t xml:space="preserve">     </w:t>
      </w:r>
      <w:r w:rsidRPr="005522F5">
        <w:rPr>
          <w:rFonts w:ascii="Times New Roman" w:hAnsi="Times New Roman"/>
          <w:b/>
          <w:bCs/>
          <w:color w:val="000000" w:themeColor="text1"/>
          <w:lang w:bidi="ar-SA"/>
        </w:rPr>
        <w:t>Kryesues</w:t>
      </w:r>
    </w:p>
    <w:p w14:paraId="71583375" w14:textId="7D3AC5F5" w:rsidR="00053DC0" w:rsidRPr="005522F5" w:rsidRDefault="00053DC0" w:rsidP="00C6342A">
      <w:pPr>
        <w:ind w:left="2880" w:firstLine="540"/>
        <w:jc w:val="both"/>
        <w:rPr>
          <w:rFonts w:ascii="Times New Roman" w:hAnsi="Times New Roman"/>
          <w:b/>
          <w:bCs/>
          <w:color w:val="000000" w:themeColor="text1"/>
          <w:lang w:bidi="ar-SA"/>
        </w:rPr>
      </w:pPr>
      <w:r w:rsidRPr="005522F5">
        <w:rPr>
          <w:rFonts w:ascii="Times New Roman" w:hAnsi="Times New Roman"/>
          <w:b/>
          <w:bCs/>
          <w:color w:val="000000" w:themeColor="text1"/>
          <w:lang w:bidi="ar-SA"/>
        </w:rPr>
        <w:t>Albana BOKSI</w:t>
      </w:r>
      <w:r w:rsidRPr="005522F5">
        <w:rPr>
          <w:rFonts w:ascii="Times New Roman" w:hAnsi="Times New Roman"/>
          <w:b/>
          <w:bCs/>
          <w:color w:val="000000" w:themeColor="text1"/>
          <w:lang w:bidi="ar-SA"/>
        </w:rPr>
        <w:tab/>
      </w:r>
      <w:r w:rsidR="00BC3FD4" w:rsidRPr="005522F5">
        <w:rPr>
          <w:rFonts w:ascii="Times New Roman" w:hAnsi="Times New Roman"/>
          <w:b/>
          <w:bCs/>
          <w:color w:val="000000" w:themeColor="text1"/>
          <w:lang w:bidi="ar-SA"/>
        </w:rPr>
        <w:t xml:space="preserve">     </w:t>
      </w:r>
      <w:r w:rsidRPr="005522F5">
        <w:rPr>
          <w:rFonts w:ascii="Times New Roman" w:hAnsi="Times New Roman"/>
          <w:b/>
          <w:bCs/>
          <w:color w:val="000000" w:themeColor="text1"/>
          <w:lang w:bidi="ar-SA"/>
        </w:rPr>
        <w:t>Anëtare</w:t>
      </w:r>
    </w:p>
    <w:p w14:paraId="5964FEC4" w14:textId="7B06F95C" w:rsidR="009F0CE4" w:rsidRPr="005522F5" w:rsidRDefault="00053DC0" w:rsidP="00C6342A">
      <w:pPr>
        <w:ind w:left="2880" w:firstLine="540"/>
        <w:jc w:val="both"/>
        <w:rPr>
          <w:rFonts w:ascii="Times New Roman" w:hAnsi="Times New Roman"/>
          <w:b/>
          <w:bCs/>
          <w:color w:val="000000" w:themeColor="text1"/>
          <w:lang w:bidi="ar-SA"/>
        </w:rPr>
      </w:pPr>
      <w:r w:rsidRPr="005522F5">
        <w:rPr>
          <w:rFonts w:ascii="Times New Roman" w:hAnsi="Times New Roman"/>
          <w:b/>
          <w:bCs/>
          <w:color w:val="000000" w:themeColor="text1"/>
          <w:lang w:bidi="ar-SA"/>
        </w:rPr>
        <w:t>Genti SHALA</w:t>
      </w:r>
      <w:r w:rsidR="009F0CE4" w:rsidRPr="005522F5">
        <w:rPr>
          <w:rFonts w:ascii="Times New Roman" w:hAnsi="Times New Roman"/>
          <w:b/>
          <w:bCs/>
          <w:color w:val="000000" w:themeColor="text1"/>
          <w:lang w:bidi="ar-SA"/>
        </w:rPr>
        <w:tab/>
      </w:r>
      <w:r w:rsidR="00BC3FD4" w:rsidRPr="005522F5">
        <w:rPr>
          <w:rFonts w:ascii="Times New Roman" w:hAnsi="Times New Roman"/>
          <w:b/>
          <w:bCs/>
          <w:color w:val="000000" w:themeColor="text1"/>
          <w:lang w:bidi="ar-SA"/>
        </w:rPr>
        <w:t xml:space="preserve">     </w:t>
      </w:r>
      <w:r w:rsidR="009F0CE4" w:rsidRPr="005522F5">
        <w:rPr>
          <w:rFonts w:ascii="Times New Roman" w:hAnsi="Times New Roman"/>
          <w:b/>
          <w:bCs/>
          <w:color w:val="000000" w:themeColor="text1"/>
          <w:lang w:bidi="ar-SA"/>
        </w:rPr>
        <w:t>Anëtar</w:t>
      </w:r>
    </w:p>
    <w:p w14:paraId="00B22EE7" w14:textId="77777777" w:rsidR="009F0CE4" w:rsidRPr="005522F5" w:rsidRDefault="009F0CE4" w:rsidP="00C6342A">
      <w:pPr>
        <w:tabs>
          <w:tab w:val="left" w:pos="2070"/>
          <w:tab w:val="left" w:pos="2250"/>
          <w:tab w:val="left" w:pos="3150"/>
        </w:tabs>
        <w:rPr>
          <w:rFonts w:ascii="Times New Roman" w:hAnsi="Times New Roman"/>
          <w:color w:val="000000" w:themeColor="text1"/>
        </w:rPr>
      </w:pPr>
    </w:p>
    <w:p w14:paraId="19736BF5" w14:textId="0D21CB54" w:rsidR="00166FF5" w:rsidRPr="005522F5" w:rsidRDefault="00166FF5" w:rsidP="00C6342A">
      <w:pPr>
        <w:pStyle w:val="Title"/>
        <w:ind w:firstLine="720"/>
        <w:jc w:val="both"/>
        <w:rPr>
          <w:color w:val="000000" w:themeColor="text1"/>
          <w:sz w:val="24"/>
          <w:szCs w:val="24"/>
          <w:lang w:val="sq-AL" w:eastAsia="en-US"/>
        </w:rPr>
      </w:pPr>
      <w:r w:rsidRPr="005522F5">
        <w:rPr>
          <w:color w:val="000000" w:themeColor="text1"/>
          <w:sz w:val="24"/>
          <w:szCs w:val="24"/>
          <w:lang w:val="sq-AL"/>
        </w:rPr>
        <w:t xml:space="preserve">në datën </w:t>
      </w:r>
      <w:r w:rsidR="00DC778D" w:rsidRPr="005522F5">
        <w:rPr>
          <w:color w:val="000000" w:themeColor="text1"/>
          <w:sz w:val="24"/>
          <w:szCs w:val="24"/>
          <w:lang w:val="sq-AL"/>
        </w:rPr>
        <w:t>13.01.2026</w:t>
      </w:r>
      <w:r w:rsidRPr="005522F5">
        <w:rPr>
          <w:color w:val="000000" w:themeColor="text1"/>
          <w:sz w:val="24"/>
          <w:szCs w:val="24"/>
          <w:lang w:val="sq-AL"/>
        </w:rPr>
        <w:t>, mori në shqyrtim në dhomë këshillimi, çështjen penale që i</w:t>
      </w:r>
      <w:r w:rsidR="00BC3FD4" w:rsidRPr="005522F5">
        <w:rPr>
          <w:color w:val="000000" w:themeColor="text1"/>
          <w:sz w:val="24"/>
          <w:szCs w:val="24"/>
          <w:lang w:val="sq-AL"/>
        </w:rPr>
        <w:t xml:space="preserve"> </w:t>
      </w:r>
      <w:r w:rsidRPr="005522F5">
        <w:rPr>
          <w:color w:val="000000" w:themeColor="text1"/>
          <w:sz w:val="24"/>
          <w:szCs w:val="24"/>
          <w:lang w:val="sq-AL"/>
        </w:rPr>
        <w:t>përket:</w:t>
      </w:r>
    </w:p>
    <w:p w14:paraId="6C67D144" w14:textId="77777777" w:rsidR="009F0CE4" w:rsidRPr="005522F5" w:rsidRDefault="009F0CE4" w:rsidP="00C6342A">
      <w:pPr>
        <w:jc w:val="both"/>
        <w:rPr>
          <w:rFonts w:ascii="Times New Roman" w:hAnsi="Times New Roman"/>
          <w:color w:val="000000" w:themeColor="text1"/>
        </w:rPr>
      </w:pPr>
    </w:p>
    <w:bookmarkEnd w:id="0"/>
    <w:p w14:paraId="2366A403" w14:textId="3A665DAD" w:rsidR="00053DC0" w:rsidRPr="005522F5" w:rsidRDefault="00053DC0" w:rsidP="00C6342A">
      <w:pPr>
        <w:pStyle w:val="ListParagraph"/>
        <w:ind w:left="2880" w:hanging="2880"/>
        <w:jc w:val="both"/>
        <w:rPr>
          <w:rFonts w:ascii="Times New Roman" w:hAnsi="Times New Roman"/>
          <w:bCs/>
          <w:color w:val="000000" w:themeColor="text1"/>
          <w:lang w:val="sq-AL"/>
        </w:rPr>
      </w:pPr>
      <w:r w:rsidRPr="005522F5">
        <w:rPr>
          <w:rFonts w:ascii="Times New Roman" w:hAnsi="Times New Roman"/>
          <w:b/>
          <w:bCs/>
          <w:color w:val="000000" w:themeColor="text1"/>
          <w:lang w:val="sq-AL"/>
        </w:rPr>
        <w:t>KËRKUES</w:t>
      </w:r>
      <w:r w:rsidR="00BC3FD4" w:rsidRPr="005522F5">
        <w:rPr>
          <w:rFonts w:ascii="Times New Roman" w:hAnsi="Times New Roman"/>
          <w:b/>
          <w:bCs/>
          <w:color w:val="000000" w:themeColor="text1"/>
          <w:lang w:val="sq-AL"/>
        </w:rPr>
        <w:t>E</w:t>
      </w:r>
      <w:r w:rsidRPr="005522F5">
        <w:rPr>
          <w:rFonts w:ascii="Times New Roman" w:hAnsi="Times New Roman"/>
          <w:b/>
          <w:bCs/>
          <w:color w:val="000000" w:themeColor="text1"/>
          <w:lang w:val="sq-AL"/>
        </w:rPr>
        <w:t>:</w:t>
      </w:r>
      <w:r w:rsidRPr="005522F5">
        <w:rPr>
          <w:rFonts w:ascii="Times New Roman" w:hAnsi="Times New Roman"/>
          <w:b/>
          <w:bCs/>
          <w:color w:val="000000" w:themeColor="text1"/>
          <w:lang w:val="sq-AL"/>
        </w:rPr>
        <w:tab/>
      </w:r>
      <w:r w:rsidRPr="005522F5">
        <w:rPr>
          <w:rFonts w:ascii="Times New Roman" w:hAnsi="Times New Roman"/>
          <w:color w:val="000000" w:themeColor="text1"/>
          <w:lang w:val="sq-AL"/>
        </w:rPr>
        <w:t>Gjykata e Posaçme e Shkallës së Parë për Korrupsionin dhe Krimin e Organizuar</w:t>
      </w:r>
    </w:p>
    <w:p w14:paraId="33AEC2E2" w14:textId="423D07F0" w:rsidR="00053DC0" w:rsidRPr="005522F5" w:rsidRDefault="00053DC0" w:rsidP="00C6342A">
      <w:pPr>
        <w:tabs>
          <w:tab w:val="left" w:pos="2880"/>
          <w:tab w:val="left" w:pos="3060"/>
          <w:tab w:val="left" w:pos="3870"/>
          <w:tab w:val="left" w:pos="4320"/>
          <w:tab w:val="left" w:pos="5040"/>
          <w:tab w:val="left" w:pos="5760"/>
          <w:tab w:val="left" w:pos="6480"/>
          <w:tab w:val="left" w:pos="7200"/>
          <w:tab w:val="left" w:pos="7920"/>
          <w:tab w:val="left" w:pos="8640"/>
          <w:tab w:val="left" w:pos="9360"/>
          <w:tab w:val="left" w:pos="10080"/>
          <w:tab w:val="left" w:pos="10800"/>
          <w:tab w:val="left" w:pos="11520"/>
        </w:tabs>
        <w:ind w:left="4320" w:hanging="4320"/>
        <w:jc w:val="both"/>
        <w:rPr>
          <w:rFonts w:ascii="Times New Roman" w:hAnsi="Times New Roman"/>
          <w:color w:val="000000" w:themeColor="text1"/>
        </w:rPr>
      </w:pPr>
      <w:r w:rsidRPr="005522F5">
        <w:rPr>
          <w:rFonts w:ascii="Times New Roman" w:hAnsi="Times New Roman"/>
          <w:b/>
          <w:bCs/>
          <w:color w:val="000000" w:themeColor="text1"/>
        </w:rPr>
        <w:tab/>
      </w:r>
      <w:r w:rsidRPr="005522F5">
        <w:rPr>
          <w:rFonts w:ascii="Times New Roman" w:hAnsi="Times New Roman"/>
          <w:b/>
          <w:bCs/>
          <w:color w:val="000000" w:themeColor="text1"/>
        </w:rPr>
        <w:tab/>
      </w:r>
      <w:r w:rsidRPr="005522F5">
        <w:rPr>
          <w:rFonts w:ascii="Times New Roman" w:hAnsi="Times New Roman"/>
          <w:b/>
          <w:bCs/>
          <w:color w:val="000000" w:themeColor="text1"/>
        </w:rPr>
        <w:tab/>
      </w:r>
      <w:r w:rsidRPr="005522F5">
        <w:rPr>
          <w:rFonts w:ascii="Times New Roman" w:hAnsi="Times New Roman"/>
          <w:b/>
          <w:bCs/>
          <w:color w:val="000000" w:themeColor="text1"/>
        </w:rPr>
        <w:tab/>
      </w:r>
    </w:p>
    <w:p w14:paraId="52772FFE" w14:textId="04248760" w:rsidR="00053DC0" w:rsidRPr="005522F5" w:rsidRDefault="00053DC0" w:rsidP="00C634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hanging="2880"/>
        <w:jc w:val="both"/>
        <w:rPr>
          <w:rFonts w:ascii="Times New Roman" w:hAnsi="Times New Roman"/>
          <w:color w:val="000000" w:themeColor="text1"/>
        </w:rPr>
      </w:pPr>
      <w:r w:rsidRPr="005522F5">
        <w:rPr>
          <w:rFonts w:ascii="Times New Roman" w:hAnsi="Times New Roman"/>
          <w:b/>
          <w:color w:val="000000" w:themeColor="text1"/>
        </w:rPr>
        <w:t>OBJEKT:</w:t>
      </w:r>
      <w:r w:rsidRPr="005522F5">
        <w:rPr>
          <w:rFonts w:ascii="Times New Roman" w:hAnsi="Times New Roman"/>
          <w:color w:val="000000" w:themeColor="text1"/>
        </w:rPr>
        <w:tab/>
      </w:r>
      <w:r w:rsidR="00BC3FD4" w:rsidRPr="005522F5">
        <w:rPr>
          <w:rFonts w:ascii="Times New Roman" w:hAnsi="Times New Roman"/>
          <w:color w:val="000000" w:themeColor="text1"/>
        </w:rPr>
        <w:tab/>
      </w:r>
      <w:r w:rsidR="00BC3FD4" w:rsidRPr="005522F5">
        <w:rPr>
          <w:rFonts w:ascii="Times New Roman" w:hAnsi="Times New Roman"/>
          <w:color w:val="000000" w:themeColor="text1"/>
        </w:rPr>
        <w:tab/>
      </w:r>
      <w:r w:rsidRPr="005522F5">
        <w:rPr>
          <w:rFonts w:ascii="Times New Roman" w:hAnsi="Times New Roman"/>
          <w:color w:val="000000" w:themeColor="text1"/>
        </w:rPr>
        <w:t>Parashtrim mosmarrëveshje kompetence</w:t>
      </w:r>
    </w:p>
    <w:p w14:paraId="4178FF96" w14:textId="77777777" w:rsidR="00053DC0" w:rsidRPr="005522F5" w:rsidRDefault="00053DC0" w:rsidP="00C634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520" w:hanging="2520"/>
        <w:jc w:val="both"/>
        <w:rPr>
          <w:rFonts w:ascii="Times New Roman" w:eastAsia="MS Mincho" w:hAnsi="Times New Roman"/>
          <w:color w:val="000000" w:themeColor="text1"/>
        </w:rPr>
      </w:pPr>
      <w:r w:rsidRPr="005522F5">
        <w:rPr>
          <w:rFonts w:ascii="Times New Roman" w:hAnsi="Times New Roman"/>
          <w:color w:val="000000" w:themeColor="text1"/>
        </w:rPr>
        <w:tab/>
      </w:r>
      <w:r w:rsidRPr="005522F5">
        <w:rPr>
          <w:rFonts w:ascii="Times New Roman" w:hAnsi="Times New Roman"/>
          <w:color w:val="000000" w:themeColor="text1"/>
        </w:rPr>
        <w:tab/>
      </w:r>
      <w:r w:rsidRPr="005522F5">
        <w:rPr>
          <w:rFonts w:ascii="Times New Roman" w:hAnsi="Times New Roman"/>
          <w:color w:val="000000" w:themeColor="text1"/>
        </w:rPr>
        <w:tab/>
      </w:r>
    </w:p>
    <w:p w14:paraId="59F1EEF0" w14:textId="0080F26B" w:rsidR="00053DC0" w:rsidRPr="005522F5" w:rsidRDefault="00053DC0" w:rsidP="00C6342A">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4320" w:hanging="4320"/>
        <w:jc w:val="both"/>
        <w:rPr>
          <w:rFonts w:ascii="Times New Roman" w:hAnsi="Times New Roman"/>
          <w:color w:val="000000" w:themeColor="text1"/>
        </w:rPr>
      </w:pPr>
      <w:r w:rsidRPr="005522F5">
        <w:rPr>
          <w:rFonts w:ascii="Times New Roman" w:hAnsi="Times New Roman"/>
          <w:b/>
          <w:color w:val="000000" w:themeColor="text1"/>
        </w:rPr>
        <w:t>BAZA LIGJORE:</w:t>
      </w:r>
      <w:r w:rsidR="00BC3FD4" w:rsidRPr="005522F5">
        <w:rPr>
          <w:rFonts w:ascii="Times New Roman" w:hAnsi="Times New Roman"/>
          <w:color w:val="000000" w:themeColor="text1"/>
        </w:rPr>
        <w:tab/>
      </w:r>
      <w:r w:rsidRPr="005522F5">
        <w:rPr>
          <w:rFonts w:ascii="Times New Roman" w:hAnsi="Times New Roman"/>
          <w:color w:val="000000" w:themeColor="text1"/>
        </w:rPr>
        <w:t>Neni 90 i Kodit të Procedurës Penale</w:t>
      </w:r>
    </w:p>
    <w:p w14:paraId="31685809" w14:textId="77777777" w:rsidR="00053DC0" w:rsidRPr="005522F5" w:rsidRDefault="00053DC0" w:rsidP="00C6342A">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s>
        <w:ind w:left="4320" w:hanging="4320"/>
        <w:jc w:val="both"/>
        <w:rPr>
          <w:rFonts w:ascii="Times New Roman" w:hAnsi="Times New Roman"/>
          <w:color w:val="000000" w:themeColor="text1"/>
        </w:rPr>
      </w:pPr>
      <w:r w:rsidRPr="005522F5">
        <w:rPr>
          <w:rFonts w:ascii="Times New Roman" w:hAnsi="Times New Roman"/>
          <w:color w:val="000000" w:themeColor="text1"/>
        </w:rPr>
        <w:tab/>
      </w:r>
    </w:p>
    <w:p w14:paraId="0B062BDD" w14:textId="77777777" w:rsidR="00053DC0" w:rsidRPr="005522F5" w:rsidRDefault="00053DC0" w:rsidP="00C6342A">
      <w:pPr>
        <w:jc w:val="both"/>
        <w:rPr>
          <w:rFonts w:ascii="Times New Roman" w:hAnsi="Times New Roman"/>
          <w:i/>
          <w:color w:val="000000" w:themeColor="text1"/>
          <w:u w:val="single"/>
        </w:rPr>
      </w:pPr>
      <w:r w:rsidRPr="005522F5">
        <w:rPr>
          <w:rFonts w:ascii="Times New Roman" w:hAnsi="Times New Roman"/>
          <w:i/>
          <w:color w:val="000000" w:themeColor="text1"/>
          <w:u w:val="single"/>
        </w:rPr>
        <w:t xml:space="preserve">Në çështjen penale me palë:       </w:t>
      </w:r>
    </w:p>
    <w:p w14:paraId="06CD618E" w14:textId="77777777" w:rsidR="00053DC0" w:rsidRPr="005522F5" w:rsidRDefault="00053DC0" w:rsidP="00C6342A">
      <w:pPr>
        <w:jc w:val="both"/>
        <w:rPr>
          <w:rFonts w:ascii="Times New Roman" w:hAnsi="Times New Roman"/>
          <w:color w:val="000000" w:themeColor="text1"/>
        </w:rPr>
      </w:pPr>
    </w:p>
    <w:p w14:paraId="102434C5" w14:textId="77777777" w:rsidR="00053DC0" w:rsidRPr="005522F5" w:rsidRDefault="00053DC0" w:rsidP="00C6342A">
      <w:pPr>
        <w:ind w:left="2880" w:hanging="2880"/>
        <w:jc w:val="both"/>
        <w:rPr>
          <w:rFonts w:ascii="Times New Roman" w:hAnsi="Times New Roman"/>
          <w:color w:val="000000" w:themeColor="text1"/>
        </w:rPr>
      </w:pPr>
      <w:r w:rsidRPr="005522F5">
        <w:rPr>
          <w:rFonts w:ascii="Times New Roman" w:hAnsi="Times New Roman"/>
          <w:b/>
          <w:color w:val="000000" w:themeColor="text1"/>
        </w:rPr>
        <w:t xml:space="preserve">Kërkues:            </w:t>
      </w:r>
      <w:r w:rsidRPr="005522F5">
        <w:rPr>
          <w:rFonts w:ascii="Times New Roman" w:hAnsi="Times New Roman"/>
          <w:b/>
          <w:color w:val="000000" w:themeColor="text1"/>
        </w:rPr>
        <w:tab/>
      </w:r>
      <w:r w:rsidRPr="005522F5">
        <w:rPr>
          <w:rFonts w:ascii="Times New Roman" w:hAnsi="Times New Roman"/>
          <w:color w:val="000000" w:themeColor="text1"/>
        </w:rPr>
        <w:t>Prokuroria pranë Gjykatës së Shkallës së Parë të Juridiksionit të Përgjithshëm Kukës</w:t>
      </w:r>
    </w:p>
    <w:p w14:paraId="5809152C" w14:textId="77777777" w:rsidR="00053DC0" w:rsidRPr="005522F5" w:rsidRDefault="00053DC0" w:rsidP="00C6342A">
      <w:pPr>
        <w:tabs>
          <w:tab w:val="left" w:pos="6015"/>
        </w:tabs>
        <w:jc w:val="both"/>
        <w:rPr>
          <w:rFonts w:ascii="Times New Roman" w:hAnsi="Times New Roman"/>
          <w:color w:val="000000" w:themeColor="text1"/>
        </w:rPr>
      </w:pPr>
      <w:r w:rsidRPr="005522F5">
        <w:rPr>
          <w:rFonts w:ascii="Times New Roman" w:hAnsi="Times New Roman"/>
          <w:color w:val="000000" w:themeColor="text1"/>
        </w:rPr>
        <w:tab/>
      </w:r>
    </w:p>
    <w:p w14:paraId="6F7E2E3F" w14:textId="77777777" w:rsidR="00053DC0" w:rsidRPr="005522F5" w:rsidRDefault="00053DC0" w:rsidP="00C6342A">
      <w:pPr>
        <w:ind w:left="2880" w:hanging="2880"/>
        <w:jc w:val="both"/>
        <w:rPr>
          <w:rFonts w:ascii="Times New Roman" w:hAnsi="Times New Roman"/>
          <w:color w:val="000000" w:themeColor="text1"/>
        </w:rPr>
      </w:pPr>
      <w:r w:rsidRPr="005522F5">
        <w:rPr>
          <w:rFonts w:ascii="Times New Roman" w:hAnsi="Times New Roman"/>
          <w:b/>
          <w:color w:val="000000" w:themeColor="text1"/>
        </w:rPr>
        <w:t>Person nën hetim:</w:t>
      </w:r>
      <w:r w:rsidRPr="005522F5">
        <w:rPr>
          <w:rFonts w:ascii="Times New Roman" w:hAnsi="Times New Roman"/>
          <w:color w:val="000000" w:themeColor="text1"/>
        </w:rPr>
        <w:tab/>
        <w:t>Mustafa Vatoci</w:t>
      </w:r>
    </w:p>
    <w:p w14:paraId="56C10AFD" w14:textId="77777777" w:rsidR="00053DC0" w:rsidRPr="005522F5" w:rsidRDefault="00053DC0" w:rsidP="00C6342A">
      <w:pPr>
        <w:ind w:left="2880" w:hanging="2880"/>
        <w:jc w:val="both"/>
        <w:rPr>
          <w:rFonts w:ascii="Times New Roman" w:hAnsi="Times New Roman"/>
          <w:color w:val="000000" w:themeColor="text1"/>
        </w:rPr>
      </w:pPr>
      <w:r w:rsidRPr="005522F5">
        <w:rPr>
          <w:rFonts w:ascii="Times New Roman" w:hAnsi="Times New Roman"/>
          <w:color w:val="000000" w:themeColor="text1"/>
        </w:rPr>
        <w:tab/>
        <w:t>Shaban Demiraj</w:t>
      </w:r>
    </w:p>
    <w:p w14:paraId="46CF7F86" w14:textId="77777777" w:rsidR="00053DC0" w:rsidRPr="005522F5" w:rsidRDefault="00053DC0" w:rsidP="00C6342A">
      <w:pPr>
        <w:ind w:left="2880" w:hanging="2880"/>
        <w:jc w:val="both"/>
        <w:rPr>
          <w:rFonts w:ascii="Times New Roman" w:hAnsi="Times New Roman"/>
          <w:color w:val="000000" w:themeColor="text1"/>
        </w:rPr>
      </w:pPr>
      <w:r w:rsidRPr="005522F5">
        <w:rPr>
          <w:rFonts w:ascii="Times New Roman" w:hAnsi="Times New Roman"/>
          <w:color w:val="000000" w:themeColor="text1"/>
        </w:rPr>
        <w:tab/>
        <w:t>Pal Rosaj</w:t>
      </w:r>
    </w:p>
    <w:p w14:paraId="215C1BF0" w14:textId="77777777" w:rsidR="00053DC0" w:rsidRPr="005522F5" w:rsidRDefault="00053DC0" w:rsidP="00C6342A">
      <w:pPr>
        <w:ind w:left="2880" w:hanging="2880"/>
        <w:jc w:val="both"/>
        <w:rPr>
          <w:rFonts w:ascii="Times New Roman" w:hAnsi="Times New Roman"/>
          <w:color w:val="000000" w:themeColor="text1"/>
        </w:rPr>
      </w:pPr>
    </w:p>
    <w:p w14:paraId="65A87B03" w14:textId="77777777" w:rsidR="00053DC0" w:rsidRPr="005522F5" w:rsidRDefault="00053DC0" w:rsidP="00C6342A">
      <w:pPr>
        <w:ind w:left="2880" w:hanging="2880"/>
        <w:jc w:val="both"/>
        <w:rPr>
          <w:rFonts w:ascii="Times New Roman" w:hAnsi="Times New Roman"/>
          <w:color w:val="000000" w:themeColor="text1"/>
        </w:rPr>
      </w:pPr>
      <w:r w:rsidRPr="005522F5">
        <w:rPr>
          <w:rFonts w:ascii="Times New Roman" w:hAnsi="Times New Roman"/>
          <w:b/>
          <w:bCs/>
          <w:color w:val="000000" w:themeColor="text1"/>
        </w:rPr>
        <w:t>Kallëzues:</w:t>
      </w:r>
      <w:r w:rsidRPr="005522F5">
        <w:rPr>
          <w:rFonts w:ascii="Times New Roman" w:hAnsi="Times New Roman"/>
          <w:color w:val="000000" w:themeColor="text1"/>
        </w:rPr>
        <w:tab/>
        <w:t>Kontrolli i Lartë i Shtetit</w:t>
      </w:r>
    </w:p>
    <w:p w14:paraId="0B83FE1B" w14:textId="77777777" w:rsidR="00053DC0" w:rsidRPr="005522F5" w:rsidRDefault="00053DC0" w:rsidP="00C6342A">
      <w:pPr>
        <w:jc w:val="both"/>
        <w:rPr>
          <w:rFonts w:ascii="Times New Roman" w:hAnsi="Times New Roman"/>
          <w:color w:val="000000" w:themeColor="text1"/>
        </w:rPr>
      </w:pPr>
    </w:p>
    <w:p w14:paraId="61B80761" w14:textId="5BEB1452" w:rsidR="00053DC0" w:rsidRPr="005522F5" w:rsidRDefault="00053DC0" w:rsidP="00C6342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2880" w:hanging="2880"/>
        <w:jc w:val="both"/>
        <w:rPr>
          <w:rFonts w:ascii="Times New Roman" w:eastAsia="Calibri" w:hAnsi="Times New Roman"/>
          <w:color w:val="000000" w:themeColor="text1"/>
          <w:lang w:bidi="ar-SA"/>
        </w:rPr>
      </w:pPr>
      <w:r w:rsidRPr="005522F5">
        <w:rPr>
          <w:rFonts w:ascii="Times New Roman" w:hAnsi="Times New Roman"/>
          <w:b/>
          <w:color w:val="000000" w:themeColor="text1"/>
        </w:rPr>
        <w:t>Objekti:</w:t>
      </w:r>
      <w:r w:rsidRPr="005522F5">
        <w:rPr>
          <w:rFonts w:ascii="Times New Roman" w:hAnsi="Times New Roman"/>
          <w:color w:val="000000" w:themeColor="text1"/>
        </w:rPr>
        <w:t xml:space="preserve">               </w:t>
      </w:r>
      <w:r w:rsidRPr="005522F5">
        <w:rPr>
          <w:rFonts w:ascii="Times New Roman" w:hAnsi="Times New Roman"/>
          <w:color w:val="000000" w:themeColor="text1"/>
        </w:rPr>
        <w:tab/>
      </w:r>
      <w:r w:rsidRPr="005522F5">
        <w:rPr>
          <w:rFonts w:ascii="Times New Roman" w:eastAsia="Calibri" w:hAnsi="Times New Roman"/>
          <w:color w:val="000000" w:themeColor="text1"/>
          <w:lang w:bidi="ar-SA"/>
        </w:rPr>
        <w:t xml:space="preserve">Pushimin e çështjes që i përket procedimit penal nr. 238, viti 2021 për veprën penale </w:t>
      </w:r>
      <w:r w:rsidR="001C2557" w:rsidRPr="005522F5">
        <w:rPr>
          <w:rFonts w:ascii="Times New Roman" w:eastAsia="Calibri" w:hAnsi="Times New Roman"/>
          <w:color w:val="000000" w:themeColor="text1"/>
          <w:lang w:bidi="ar-SA"/>
        </w:rPr>
        <w:t>“</w:t>
      </w:r>
      <w:r w:rsidRPr="005522F5">
        <w:rPr>
          <w:rFonts w:ascii="Times New Roman" w:eastAsia="Calibri" w:hAnsi="Times New Roman"/>
          <w:color w:val="000000" w:themeColor="text1"/>
          <w:lang w:bidi="ar-SA"/>
        </w:rPr>
        <w:t>Shpërdorimi i detyrës</w:t>
      </w:r>
      <w:r w:rsidR="001C2557" w:rsidRPr="005522F5">
        <w:rPr>
          <w:rFonts w:ascii="Times New Roman" w:eastAsia="Calibri" w:hAnsi="Times New Roman"/>
          <w:color w:val="000000" w:themeColor="text1"/>
          <w:lang w:bidi="ar-SA"/>
        </w:rPr>
        <w:t>”</w:t>
      </w:r>
      <w:r w:rsidRPr="005522F5">
        <w:rPr>
          <w:rFonts w:ascii="Times New Roman" w:eastAsia="Calibri" w:hAnsi="Times New Roman"/>
          <w:color w:val="000000" w:themeColor="text1"/>
          <w:lang w:bidi="ar-SA"/>
        </w:rPr>
        <w:t>, parashikuar nga neni 248 i Kodit Penal, në ngarkim të personave nën hetim Mustafë Vatoci, Shaban Demiraj dhe Pal Rosaj, për shkak se nuk jemi përpara kryerjes së veprës penale.</w:t>
      </w:r>
    </w:p>
    <w:p w14:paraId="6C000F91" w14:textId="77777777" w:rsidR="00053DC0" w:rsidRPr="005522F5" w:rsidRDefault="00053DC0" w:rsidP="00C6342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2880" w:hanging="2880"/>
        <w:jc w:val="both"/>
        <w:rPr>
          <w:rFonts w:ascii="Times New Roman" w:eastAsia="Calibri" w:hAnsi="Times New Roman"/>
          <w:color w:val="000000" w:themeColor="text1"/>
          <w:lang w:bidi="ar-SA"/>
        </w:rPr>
      </w:pPr>
    </w:p>
    <w:p w14:paraId="59622D21" w14:textId="77777777" w:rsidR="00053DC0" w:rsidRPr="005522F5" w:rsidRDefault="00053DC0" w:rsidP="00C6342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2880" w:hanging="2880"/>
        <w:jc w:val="both"/>
        <w:rPr>
          <w:rFonts w:ascii="Times New Roman" w:hAnsi="Times New Roman"/>
          <w:color w:val="000000" w:themeColor="text1"/>
        </w:rPr>
      </w:pPr>
      <w:r w:rsidRPr="005522F5">
        <w:rPr>
          <w:rFonts w:ascii="Times New Roman" w:eastAsia="Calibri" w:hAnsi="Times New Roman"/>
          <w:b/>
          <w:bCs/>
          <w:color w:val="000000" w:themeColor="text1"/>
          <w:lang w:bidi="ar-SA"/>
        </w:rPr>
        <w:lastRenderedPageBreak/>
        <w:t>Baza ligjore:</w:t>
      </w:r>
      <w:r w:rsidRPr="005522F5">
        <w:rPr>
          <w:rFonts w:ascii="Times New Roman" w:eastAsia="Calibri" w:hAnsi="Times New Roman"/>
          <w:color w:val="000000" w:themeColor="text1"/>
          <w:lang w:bidi="ar-SA"/>
        </w:rPr>
        <w:tab/>
        <w:t>Nenet 327/6 dhe 329/a të Kodit të Procedurës Penale.</w:t>
      </w:r>
    </w:p>
    <w:p w14:paraId="237F2BE1" w14:textId="77777777" w:rsidR="003B3D5A" w:rsidRPr="005522F5" w:rsidRDefault="003B3D5A" w:rsidP="00C6342A">
      <w:pPr>
        <w:ind w:left="2880" w:hanging="2880"/>
        <w:jc w:val="both"/>
        <w:rPr>
          <w:rFonts w:ascii="Times New Roman" w:hAnsi="Times New Roman"/>
          <w:b/>
          <w:color w:val="000000" w:themeColor="text1"/>
        </w:rPr>
      </w:pPr>
    </w:p>
    <w:p w14:paraId="7C9B5BDC" w14:textId="77777777" w:rsidR="005522F5" w:rsidRDefault="005522F5" w:rsidP="00C6342A">
      <w:pPr>
        <w:jc w:val="center"/>
        <w:rPr>
          <w:rFonts w:ascii="Times New Roman" w:hAnsi="Times New Roman"/>
          <w:b/>
          <w:color w:val="000000" w:themeColor="text1"/>
        </w:rPr>
      </w:pPr>
    </w:p>
    <w:p w14:paraId="58ABCF70" w14:textId="4594E82A" w:rsidR="0031088E" w:rsidRPr="005522F5" w:rsidRDefault="0031088E" w:rsidP="00C6342A">
      <w:pPr>
        <w:jc w:val="center"/>
        <w:rPr>
          <w:rFonts w:ascii="Times New Roman" w:hAnsi="Times New Roman"/>
          <w:b/>
          <w:color w:val="000000" w:themeColor="text1"/>
        </w:rPr>
      </w:pPr>
      <w:r w:rsidRPr="005522F5">
        <w:rPr>
          <w:rFonts w:ascii="Times New Roman" w:hAnsi="Times New Roman"/>
          <w:b/>
          <w:color w:val="000000" w:themeColor="text1"/>
        </w:rPr>
        <w:t>KOLEGJI PENAL I GJYKATËS SË LARTË</w:t>
      </w:r>
    </w:p>
    <w:p w14:paraId="764637FC" w14:textId="77777777" w:rsidR="00C6342A" w:rsidRPr="005522F5" w:rsidRDefault="00C6342A" w:rsidP="00C6342A">
      <w:pPr>
        <w:jc w:val="both"/>
        <w:rPr>
          <w:rFonts w:ascii="Times New Roman" w:hAnsi="Times New Roman"/>
          <w:b/>
          <w:color w:val="000000" w:themeColor="text1"/>
        </w:rPr>
      </w:pPr>
    </w:p>
    <w:p w14:paraId="79D70016" w14:textId="766405FA" w:rsidR="00990CD2" w:rsidRPr="005522F5" w:rsidRDefault="0073709C" w:rsidP="005522F5">
      <w:pPr>
        <w:ind w:firstLine="720"/>
        <w:jc w:val="both"/>
        <w:rPr>
          <w:rFonts w:ascii="Times New Roman" w:hAnsi="Times New Roman"/>
          <w:bCs/>
          <w:color w:val="000000" w:themeColor="text1"/>
        </w:rPr>
      </w:pPr>
      <w:r w:rsidRPr="005522F5">
        <w:rPr>
          <w:rFonts w:ascii="Times New Roman" w:hAnsi="Times New Roman"/>
          <w:color w:val="000000" w:themeColor="text1"/>
        </w:rPr>
        <w:t>pasi dëgjoi relatimin e gjyqtar</w:t>
      </w:r>
      <w:r w:rsidR="00053DC0" w:rsidRPr="005522F5">
        <w:rPr>
          <w:rFonts w:ascii="Times New Roman" w:hAnsi="Times New Roman"/>
          <w:color w:val="000000" w:themeColor="text1"/>
        </w:rPr>
        <w:t>es</w:t>
      </w:r>
      <w:r w:rsidRPr="005522F5">
        <w:rPr>
          <w:rFonts w:ascii="Times New Roman" w:hAnsi="Times New Roman"/>
          <w:color w:val="000000" w:themeColor="text1"/>
        </w:rPr>
        <w:t xml:space="preserve"> </w:t>
      </w:r>
      <w:r w:rsidR="00053DC0" w:rsidRPr="005522F5">
        <w:rPr>
          <w:rFonts w:ascii="Times New Roman" w:hAnsi="Times New Roman"/>
          <w:color w:val="000000" w:themeColor="text1"/>
          <w:lang w:bidi="ar-SA"/>
        </w:rPr>
        <w:t>Albana Boksi</w:t>
      </w:r>
      <w:r w:rsidR="0067152C" w:rsidRPr="005522F5">
        <w:rPr>
          <w:rFonts w:ascii="Times New Roman" w:hAnsi="Times New Roman"/>
          <w:bCs/>
          <w:color w:val="000000" w:themeColor="text1"/>
        </w:rPr>
        <w:t xml:space="preserve"> </w:t>
      </w:r>
      <w:r w:rsidRPr="005522F5">
        <w:rPr>
          <w:rFonts w:ascii="Times New Roman" w:hAnsi="Times New Roman"/>
          <w:bCs/>
          <w:color w:val="000000" w:themeColor="text1"/>
        </w:rPr>
        <w:t>dhe diskutoi në dhomë këshillimi çështjen në tërësi,</w:t>
      </w:r>
    </w:p>
    <w:p w14:paraId="6BBDC770" w14:textId="77777777" w:rsidR="00BC3FD4" w:rsidRPr="005522F5" w:rsidRDefault="00BC3FD4" w:rsidP="00C6342A">
      <w:pPr>
        <w:ind w:firstLine="720"/>
        <w:jc w:val="both"/>
        <w:rPr>
          <w:rFonts w:ascii="Times New Roman" w:hAnsi="Times New Roman"/>
          <w:bCs/>
          <w:color w:val="000000" w:themeColor="text1"/>
        </w:rPr>
      </w:pPr>
    </w:p>
    <w:p w14:paraId="24F96320" w14:textId="0BBA6B16" w:rsidR="00990CD2" w:rsidRPr="005522F5" w:rsidRDefault="00990CD2" w:rsidP="00C6342A">
      <w:pPr>
        <w:jc w:val="center"/>
        <w:rPr>
          <w:rFonts w:ascii="Times New Roman" w:eastAsia="Calibri" w:hAnsi="Times New Roman"/>
          <w:b/>
          <w:color w:val="000000" w:themeColor="text1"/>
          <w:lang w:bidi="ar-SA"/>
        </w:rPr>
      </w:pPr>
      <w:r w:rsidRPr="005522F5">
        <w:rPr>
          <w:rFonts w:ascii="Times New Roman" w:eastAsia="Calibri" w:hAnsi="Times New Roman"/>
          <w:b/>
          <w:color w:val="000000" w:themeColor="text1"/>
          <w:lang w:bidi="ar-SA"/>
        </w:rPr>
        <w:t>V Ë R E N</w:t>
      </w:r>
      <w:r w:rsidR="00F36416" w:rsidRPr="005522F5">
        <w:rPr>
          <w:rFonts w:ascii="Times New Roman" w:eastAsia="Calibri" w:hAnsi="Times New Roman"/>
          <w:b/>
          <w:color w:val="000000" w:themeColor="text1"/>
          <w:lang w:bidi="ar-SA"/>
        </w:rPr>
        <w:t>:</w:t>
      </w:r>
    </w:p>
    <w:p w14:paraId="0A164C30" w14:textId="77777777" w:rsidR="00BC3FD4" w:rsidRPr="005522F5" w:rsidRDefault="00BC3FD4" w:rsidP="00C6342A">
      <w:pPr>
        <w:jc w:val="center"/>
        <w:rPr>
          <w:rFonts w:ascii="Times New Roman" w:eastAsia="Calibri" w:hAnsi="Times New Roman"/>
          <w:b/>
          <w:color w:val="000000" w:themeColor="text1"/>
          <w:lang w:bidi="ar-SA"/>
        </w:rPr>
      </w:pPr>
    </w:p>
    <w:p w14:paraId="404D8987" w14:textId="2F03A1C0" w:rsidR="00990CD2" w:rsidRPr="005522F5" w:rsidRDefault="00990CD2" w:rsidP="00C6342A">
      <w:pPr>
        <w:pStyle w:val="ListParagraph"/>
        <w:numPr>
          <w:ilvl w:val="0"/>
          <w:numId w:val="10"/>
        </w:numPr>
        <w:ind w:left="720" w:hanging="360"/>
        <w:jc w:val="both"/>
        <w:rPr>
          <w:rFonts w:ascii="Times New Roman" w:hAnsi="Times New Roman"/>
          <w:bCs/>
          <w:color w:val="000000" w:themeColor="text1"/>
          <w:lang w:val="sq-AL"/>
        </w:rPr>
      </w:pPr>
      <w:r w:rsidRPr="005522F5">
        <w:rPr>
          <w:rFonts w:ascii="Times New Roman" w:eastAsia="Calibri" w:hAnsi="Times New Roman"/>
          <w:b/>
          <w:color w:val="000000" w:themeColor="text1"/>
          <w:lang w:val="sq-AL" w:bidi="ar-SA"/>
        </w:rPr>
        <w:t>Rrethanat e çështjes</w:t>
      </w:r>
    </w:p>
    <w:p w14:paraId="623DBD1F" w14:textId="758D4BC3" w:rsidR="00990CD2" w:rsidRPr="005522F5" w:rsidRDefault="00990CD2" w:rsidP="00C6342A">
      <w:pPr>
        <w:jc w:val="both"/>
        <w:rPr>
          <w:rFonts w:ascii="Times New Roman" w:hAnsi="Times New Roman"/>
          <w:bCs/>
          <w:color w:val="000000" w:themeColor="text1"/>
        </w:rPr>
      </w:pPr>
    </w:p>
    <w:p w14:paraId="5172DB82" w14:textId="77777777" w:rsidR="00BC3FD4" w:rsidRPr="005522F5" w:rsidRDefault="00990CD2" w:rsidP="00C6342A">
      <w:pPr>
        <w:pStyle w:val="ListParagraph"/>
        <w:numPr>
          <w:ilvl w:val="0"/>
          <w:numId w:val="11"/>
        </w:numPr>
        <w:ind w:left="0" w:firstLine="360"/>
        <w:jc w:val="both"/>
        <w:rPr>
          <w:rFonts w:ascii="Times New Roman" w:hAnsi="Times New Roman"/>
          <w:bCs/>
          <w:color w:val="000000" w:themeColor="text1"/>
          <w:lang w:val="sq-AL" w:bidi="ar-SA"/>
        </w:rPr>
      </w:pPr>
      <w:r w:rsidRPr="005522F5">
        <w:rPr>
          <w:rFonts w:ascii="Times New Roman" w:hAnsi="Times New Roman"/>
          <w:bCs/>
          <w:color w:val="000000" w:themeColor="text1"/>
          <w:lang w:val="sq-AL" w:bidi="ar-SA"/>
        </w:rPr>
        <w:t xml:space="preserve">Prokuroria pranë Gjykatës së Shkallës së Parë të Juridiksionit të Përgjithshëm Kukës, më datë 28.05.2025 ka paraqitur para asaj gjykate, kërkesën me objektin e sipërcituar. Në mënyrë të përmbledhur, rezulton se Kontrolli i Lartë i Shtetit, pas kontrollit financiar të ushtruar në Bashkinë Tropojë ka paraqitur kallëzim penal në prokurori, pasi nga procesi i auditimit janë evidentuar veprime dhe mosveprime në kundërshtim me ligjin të anëtarëve të Njësisë së Prokurimit (NJP) dhe Komisionit të Vlerësimit të Ofertave (KVO) lidhur me një procedurë prokurimi. Më datë 11.11.2021, Prokuroria pranë Gjykatës së Shkallës së Parë të Juridiksionit të Përgjithshëm Tropojë, mbi bazën e këtij kallëzimi, ka regjistruar procedimin penal nr. 238, për veprën penale “Shpërdorimi i detyrës”, parashikuar nga neni 248 i Kodit Penal. </w:t>
      </w:r>
    </w:p>
    <w:p w14:paraId="5891627A" w14:textId="77777777" w:rsidR="00C6342A" w:rsidRPr="005522F5" w:rsidRDefault="00990CD2" w:rsidP="00C6342A">
      <w:pPr>
        <w:pStyle w:val="ListParagraph"/>
        <w:numPr>
          <w:ilvl w:val="0"/>
          <w:numId w:val="11"/>
        </w:numPr>
        <w:ind w:left="0" w:firstLine="360"/>
        <w:jc w:val="both"/>
        <w:rPr>
          <w:rFonts w:ascii="Times New Roman" w:hAnsi="Times New Roman"/>
          <w:bCs/>
          <w:color w:val="000000" w:themeColor="text1"/>
          <w:lang w:val="sq-AL" w:bidi="ar-SA"/>
        </w:rPr>
      </w:pPr>
      <w:r w:rsidRPr="005522F5">
        <w:rPr>
          <w:rFonts w:ascii="Times New Roman" w:hAnsi="Times New Roman"/>
          <w:bCs/>
          <w:color w:val="000000" w:themeColor="text1"/>
          <w:lang w:val="sq-AL" w:bidi="ar-SA"/>
        </w:rPr>
        <w:t xml:space="preserve">Gjatë hetimeve paraprake, organi procedues ka marrë dokumentet përkatëse, ka pyetur në cilësinë e personave që kanë dijeni për veprën penale, personat Kujtim Balilaj, Hazir Isufaj, Baram Brahaj (anëtarë të NJP); Mustafë Vatoci, Pal Rosaj dhe Shaban Demiraj (anëtarë të KVO): Kujtim Byberi, administrator i operatorit ekonomik </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Halili 1</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 xml:space="preserve"> SHPK; Zeqir Bushgjokaj, administrator i operatorit ekonomik </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Florida</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 xml:space="preserve"> SHPK; Bashkim Byberi dhe Ardit Metaliaj, administrator i operatorit ekonomik </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4 AM</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 xml:space="preserve"> SHPK. Organi procedues ka vendosur edhe kryerjen e ekspertimit, me qëllim për të marrë mendimin e ekspertit për vlerësimin financiar ligjor të procedurës së prokurimit të përshkruar më</w:t>
      </w:r>
      <w:r w:rsidR="009E07EE" w:rsidRPr="005522F5">
        <w:rPr>
          <w:rFonts w:ascii="Times New Roman" w:hAnsi="Times New Roman"/>
          <w:bCs/>
          <w:color w:val="000000" w:themeColor="text1"/>
          <w:lang w:val="sq-AL" w:bidi="ar-SA"/>
        </w:rPr>
        <w:t xml:space="preserve"> </w:t>
      </w:r>
      <w:r w:rsidRPr="005522F5">
        <w:rPr>
          <w:rFonts w:ascii="Times New Roman" w:hAnsi="Times New Roman"/>
          <w:bCs/>
          <w:color w:val="000000" w:themeColor="text1"/>
          <w:lang w:val="sq-AL" w:bidi="ar-SA"/>
        </w:rPr>
        <w:t xml:space="preserve">sipër, të kontrolluar nga KLSH, si dhe eksperti ka paraqitur mendimin e tij me shkrim. Pas kryerjes së hetimeve paraprake të nevojshme, prokurori ka bërë ndryshimin e cilësimit juridik të fakteve për personat nën hetim Hazir Isufaj, Kujtim Balilaj dhe Baram Brahaj (anëtarë të NJP), pasi sipas tij rezulton se ka dyshime të arsyeshme se nga ana e zëvendëskryetarit të Bashkisë Tropojë Abedin Kërrnaja, në cilësinë e Autoritetit Prokurues dhe anëtarëve të NJP janë konsumuar elementet e veprës penale </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Shkelja e barazisë së pjesëmarrësve në tendera apo ankande publike</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 të parashikuar nga neni 258, paragrafi 2 i Kodit Penal.</w:t>
      </w:r>
    </w:p>
    <w:p w14:paraId="52892ABF" w14:textId="60EBEB6B" w:rsidR="00990CD2" w:rsidRPr="005522F5" w:rsidRDefault="00990CD2" w:rsidP="00C6342A">
      <w:pPr>
        <w:pStyle w:val="ListParagraph"/>
        <w:numPr>
          <w:ilvl w:val="0"/>
          <w:numId w:val="11"/>
        </w:numPr>
        <w:ind w:left="0" w:firstLine="360"/>
        <w:jc w:val="both"/>
        <w:rPr>
          <w:rFonts w:ascii="Times New Roman" w:hAnsi="Times New Roman"/>
          <w:bCs/>
          <w:color w:val="000000" w:themeColor="text1"/>
          <w:lang w:val="sq-AL" w:bidi="ar-SA"/>
        </w:rPr>
      </w:pPr>
      <w:r w:rsidRPr="005522F5">
        <w:rPr>
          <w:rFonts w:ascii="Times New Roman" w:hAnsi="Times New Roman"/>
          <w:bCs/>
          <w:color w:val="000000" w:themeColor="text1"/>
          <w:lang w:val="sq-AL" w:bidi="ar-SA"/>
        </w:rPr>
        <w:t>Në vijim, prokurori ka vendosur ndarjen e procedimit penal nr. 238 të vitit 2021 në dy procedime penale dhe konkretisht procedimin penal nr. 238/1 të vitit 2021, me persona nën hetim Abedin Kërrnaja, Hazir Isufaj</w:t>
      </w:r>
      <w:r w:rsidR="009E07EE"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 xml:space="preserve"> Kujtim Balilaj dhe Bajram Brahaj, si persona të dyshuar për kryerjen e veprës penale </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Shkelja e barazisë së pjesëmarrësve në tendera apo ankande publike</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 xml:space="preserve">, të parashikuar nga neni 258, paragrafi 2 i Kodit Penal, për të cilin ka shpallur moskompetencën dhe i ka dërguar aktet për kompetencë lëndore në Prokurorinë e Posaçme kundër Krimit të Organizuar dhe Korrupsionit dhe procedimin penal nr. 238 të vitit 2021, me persona nën hetim Mustafë Vatoci, Pal Rosaj, Shaban Demiraj (anëtarë të KVO), të dyshuar për kryerjen e veprës penale </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Shpërdorimi i detyrës</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 të parashikuar nga neni 248 i Kodit Penal, për të cilin prokurori ka paraqitur në gjykatë kërkesën në shqyrtim, duke kërkuar pushimin e çështjes, për shkak se sipas tij rezulton se nga anëtarët e KVO, personat nën hetim Mustafë Vatoci, Pal Rosaj dhe Shaban Demiraj nuk janë kryer veprime në kundërshtim me ligjin, të tilla që plotësojnë elementët e veprës penale “Shpërdorimi i detyrës</w:t>
      </w:r>
      <w:r w:rsidR="00C6342A" w:rsidRPr="005522F5">
        <w:rPr>
          <w:rFonts w:ascii="Times New Roman" w:hAnsi="Times New Roman"/>
          <w:bCs/>
          <w:color w:val="000000" w:themeColor="text1"/>
          <w:lang w:val="sq-AL" w:bidi="ar-SA"/>
        </w:rPr>
        <w:t>”</w:t>
      </w:r>
      <w:r w:rsidRPr="005522F5">
        <w:rPr>
          <w:rFonts w:ascii="Times New Roman" w:hAnsi="Times New Roman"/>
          <w:bCs/>
          <w:color w:val="000000" w:themeColor="text1"/>
          <w:lang w:val="sq-AL" w:bidi="ar-SA"/>
        </w:rPr>
        <w:t>, të parashikuar nga neni 248 i Kodit Penal dhe as të ndonjë vepre tjetër penale.</w:t>
      </w:r>
    </w:p>
    <w:p w14:paraId="7883CCC2" w14:textId="0F868E65" w:rsidR="00990CD2" w:rsidRPr="005522F5" w:rsidRDefault="00C6342A" w:rsidP="00C6342A">
      <w:pPr>
        <w:pStyle w:val="ListParagraph"/>
        <w:numPr>
          <w:ilvl w:val="0"/>
          <w:numId w:val="11"/>
        </w:numPr>
        <w:tabs>
          <w:tab w:val="left" w:pos="540"/>
        </w:tabs>
        <w:ind w:left="0" w:firstLine="360"/>
        <w:jc w:val="both"/>
        <w:rPr>
          <w:rFonts w:ascii="Times New Roman" w:hAnsi="Times New Roman"/>
          <w:bCs/>
          <w:color w:val="000000" w:themeColor="text1"/>
          <w:lang w:val="sq-AL" w:bidi="ar-SA"/>
        </w:rPr>
      </w:pPr>
      <w:r w:rsidRPr="005522F5">
        <w:rPr>
          <w:rFonts w:ascii="Times New Roman" w:hAnsi="Times New Roman"/>
          <w:b/>
          <w:color w:val="000000" w:themeColor="text1"/>
          <w:lang w:val="sq-AL" w:bidi="ar-SA"/>
        </w:rPr>
        <w:t xml:space="preserve"> </w:t>
      </w:r>
      <w:r w:rsidR="00990CD2" w:rsidRPr="005522F5">
        <w:rPr>
          <w:rFonts w:ascii="Times New Roman" w:hAnsi="Times New Roman"/>
          <w:b/>
          <w:color w:val="000000" w:themeColor="text1"/>
          <w:lang w:val="sq-AL" w:bidi="ar-SA"/>
        </w:rPr>
        <w:t>Gjykata e Shkallës së Parë e Juridiksionit të Përgjithshëm Kukës</w:t>
      </w:r>
      <w:r w:rsidR="009E07EE" w:rsidRPr="005522F5">
        <w:rPr>
          <w:rFonts w:ascii="Times New Roman" w:hAnsi="Times New Roman"/>
          <w:color w:val="000000" w:themeColor="text1"/>
          <w:lang w:val="sq-AL" w:bidi="ar-SA"/>
        </w:rPr>
        <w:t xml:space="preserve"> </w:t>
      </w:r>
      <w:r w:rsidR="00990CD2" w:rsidRPr="005522F5">
        <w:rPr>
          <w:rFonts w:ascii="Times New Roman" w:hAnsi="Times New Roman"/>
          <w:color w:val="000000" w:themeColor="text1"/>
          <w:lang w:val="sq-AL" w:bidi="ar-SA"/>
        </w:rPr>
        <w:t>me vendimin nr. (981) 376, datë 03.07.2025, ka vendosur: “</w:t>
      </w:r>
      <w:r w:rsidR="00990CD2" w:rsidRPr="005522F5">
        <w:rPr>
          <w:rFonts w:ascii="Times New Roman" w:hAnsi="Times New Roman"/>
          <w:i/>
          <w:iCs/>
          <w:color w:val="000000" w:themeColor="text1"/>
          <w:lang w:val="sq-AL" w:bidi="ar-SA"/>
        </w:rPr>
        <w:t>Shpalljen e moskompetencës lëndore.</w:t>
      </w:r>
      <w:r w:rsidR="009E07EE" w:rsidRPr="005522F5">
        <w:rPr>
          <w:rFonts w:ascii="Times New Roman" w:hAnsi="Times New Roman"/>
          <w:bCs/>
          <w:color w:val="000000" w:themeColor="text1"/>
          <w:lang w:val="sq-AL" w:bidi="ar-SA"/>
        </w:rPr>
        <w:t xml:space="preserve"> </w:t>
      </w:r>
      <w:r w:rsidR="00990CD2" w:rsidRPr="005522F5">
        <w:rPr>
          <w:rFonts w:ascii="Times New Roman" w:hAnsi="Times New Roman"/>
          <w:i/>
          <w:iCs/>
          <w:color w:val="000000" w:themeColor="text1"/>
          <w:lang w:val="sq-AL" w:bidi="ar-SA"/>
        </w:rPr>
        <w:t>Dërgimin e akteve gjykatës kompetente, Gjykatës së Posaçme të Shkallës së Parë për Korrupsionin dhe Krimin e Organizuar</w:t>
      </w:r>
      <w:r w:rsidR="00990CD2" w:rsidRPr="005522F5">
        <w:rPr>
          <w:rFonts w:ascii="Times New Roman" w:hAnsi="Times New Roman"/>
          <w:color w:val="000000" w:themeColor="text1"/>
          <w:lang w:val="sq-AL" w:bidi="ar-SA"/>
        </w:rPr>
        <w:t>.”</w:t>
      </w:r>
    </w:p>
    <w:p w14:paraId="593B3AA5" w14:textId="35D551D6" w:rsidR="00990CD2" w:rsidRPr="005522F5" w:rsidRDefault="00C6342A" w:rsidP="00C6342A">
      <w:pPr>
        <w:pStyle w:val="ListParagraph"/>
        <w:numPr>
          <w:ilvl w:val="0"/>
          <w:numId w:val="11"/>
        </w:numPr>
        <w:tabs>
          <w:tab w:val="left" w:pos="540"/>
        </w:tabs>
        <w:ind w:left="0" w:firstLine="360"/>
        <w:jc w:val="both"/>
        <w:rPr>
          <w:rFonts w:ascii="Times New Roman" w:eastAsia="Calibri" w:hAnsi="Times New Roman"/>
          <w:bCs/>
          <w:color w:val="000000" w:themeColor="text1"/>
          <w:lang w:val="sq-AL" w:bidi="ar-SA"/>
        </w:rPr>
      </w:pPr>
      <w:r w:rsidRPr="005522F5">
        <w:rPr>
          <w:rFonts w:ascii="Times New Roman" w:hAnsi="Times New Roman"/>
          <w:b/>
          <w:color w:val="000000" w:themeColor="text1"/>
          <w:lang w:val="sq-AL" w:bidi="ar-SA"/>
        </w:rPr>
        <w:t xml:space="preserve"> </w:t>
      </w:r>
      <w:r w:rsidR="00990CD2" w:rsidRPr="005522F5">
        <w:rPr>
          <w:rFonts w:ascii="Times New Roman" w:hAnsi="Times New Roman"/>
          <w:bCs/>
          <w:color w:val="000000" w:themeColor="text1"/>
          <w:lang w:val="sq-AL" w:bidi="ar-SA"/>
        </w:rPr>
        <w:t>Gjykata e Shkallës së Parë e Juridiksionit të Përgjithshëm</w:t>
      </w:r>
      <w:r w:rsidRPr="005522F5">
        <w:rPr>
          <w:rFonts w:ascii="Times New Roman" w:hAnsi="Times New Roman"/>
          <w:bCs/>
          <w:color w:val="000000" w:themeColor="text1"/>
          <w:lang w:val="sq-AL" w:bidi="ar-SA"/>
        </w:rPr>
        <w:t xml:space="preserve"> Kuk</w:t>
      </w:r>
      <w:r w:rsidR="00922916" w:rsidRPr="005522F5">
        <w:rPr>
          <w:rFonts w:ascii="Times New Roman" w:hAnsi="Times New Roman"/>
          <w:bCs/>
          <w:color w:val="000000" w:themeColor="text1"/>
          <w:lang w:val="sq-AL" w:bidi="ar-SA"/>
        </w:rPr>
        <w:t>ë</w:t>
      </w:r>
      <w:r w:rsidRPr="005522F5">
        <w:rPr>
          <w:rFonts w:ascii="Times New Roman" w:hAnsi="Times New Roman"/>
          <w:bCs/>
          <w:color w:val="000000" w:themeColor="text1"/>
          <w:lang w:val="sq-AL" w:bidi="ar-SA"/>
        </w:rPr>
        <w:t>s</w:t>
      </w:r>
      <w:r w:rsidR="00990CD2" w:rsidRPr="005522F5">
        <w:rPr>
          <w:rFonts w:ascii="Times New Roman" w:hAnsi="Times New Roman"/>
          <w:bCs/>
          <w:color w:val="000000" w:themeColor="text1"/>
          <w:lang w:val="sq-AL" w:bidi="ar-SA"/>
        </w:rPr>
        <w:t xml:space="preserve"> ka arsyetuar se</w:t>
      </w:r>
      <w:r w:rsidRPr="005522F5">
        <w:rPr>
          <w:rFonts w:ascii="Times New Roman" w:hAnsi="Times New Roman"/>
          <w:bCs/>
          <w:color w:val="000000" w:themeColor="text1"/>
          <w:lang w:val="sq-AL" w:bidi="ar-SA"/>
        </w:rPr>
        <w:t>,</w:t>
      </w:r>
      <w:r w:rsidR="00990CD2" w:rsidRPr="005522F5">
        <w:rPr>
          <w:rFonts w:ascii="Times New Roman" w:hAnsi="Times New Roman"/>
          <w:bCs/>
          <w:color w:val="000000" w:themeColor="text1"/>
          <w:lang w:val="sq-AL" w:bidi="ar-SA"/>
        </w:rPr>
        <w:t xml:space="preserve"> </w:t>
      </w:r>
      <w:r w:rsidRPr="005522F5">
        <w:rPr>
          <w:rFonts w:ascii="Times New Roman" w:hAnsi="Times New Roman"/>
          <w:bCs/>
          <w:color w:val="000000" w:themeColor="text1"/>
          <w:lang w:val="sq-AL" w:bidi="ar-SA"/>
        </w:rPr>
        <w:t xml:space="preserve">... </w:t>
      </w:r>
      <w:r w:rsidR="00990CD2" w:rsidRPr="005522F5">
        <w:rPr>
          <w:rFonts w:ascii="Times New Roman" w:eastAsia="Calibri" w:hAnsi="Times New Roman"/>
          <w:bCs/>
          <w:color w:val="000000" w:themeColor="text1"/>
          <w:lang w:val="sq-AL" w:bidi="ar-SA"/>
        </w:rPr>
        <w:t>pasi shqyrtoi në tërësi aktet dhe provat e fashikullit të hetimeve paraprake dhe pasi dëgjoi parashtrimin e Prokurorit në mënyrë të përmbledhur në seancë paraprake, kërkesën e kallëzuesit KLSH për shpalljen e moskompetencës lëndore dhe q</w:t>
      </w:r>
      <w:r w:rsidR="00CC6DB9" w:rsidRPr="005522F5">
        <w:rPr>
          <w:rFonts w:ascii="Times New Roman" w:eastAsia="Calibri" w:hAnsi="Times New Roman"/>
          <w:bCs/>
          <w:color w:val="000000" w:themeColor="text1"/>
          <w:lang w:val="sq-AL" w:bidi="ar-SA"/>
        </w:rPr>
        <w:t>ë</w:t>
      </w:r>
      <w:r w:rsidR="00990CD2" w:rsidRPr="005522F5">
        <w:rPr>
          <w:rFonts w:ascii="Times New Roman" w:eastAsia="Calibri" w:hAnsi="Times New Roman"/>
          <w:bCs/>
          <w:color w:val="000000" w:themeColor="text1"/>
          <w:lang w:val="sq-AL" w:bidi="ar-SA"/>
        </w:rPr>
        <w:t>ndrimin e Prokurorit dhe të mbrojtëses, çmon se shqyrtimi i kërkesës për pushimin e procedimit penal nr. 238 të vitit 2024 është në kompetencë lëndore të GJKKO e Shkallës së Parë.</w:t>
      </w:r>
      <w:r w:rsidR="009E07EE" w:rsidRPr="005522F5">
        <w:rPr>
          <w:rFonts w:ascii="Times New Roman" w:eastAsia="Calibri" w:hAnsi="Times New Roman"/>
          <w:bCs/>
          <w:color w:val="000000" w:themeColor="text1"/>
          <w:lang w:val="sq-AL" w:bidi="ar-SA"/>
        </w:rPr>
        <w:t xml:space="preserve"> </w:t>
      </w:r>
      <w:r w:rsidR="00990CD2" w:rsidRPr="005522F5">
        <w:rPr>
          <w:rFonts w:ascii="Times New Roman" w:eastAsia="Calibri" w:hAnsi="Times New Roman"/>
          <w:bCs/>
          <w:color w:val="000000" w:themeColor="text1"/>
          <w:lang w:val="sq-AL" w:bidi="ar-SA"/>
        </w:rPr>
        <w:t xml:space="preserve">Gjykata çmon se çështja është në kompetencë lëndore të GJKKO e Shkallës së Parë për arsye se nga kontrolli i përgjithshëm financiar i ushtruar nga kallëzuesi KLSH në Bashkinë Tropojë dhe nga deklarimet e dhëna nga personi Kujtim Byberi përpara oficerit të Policisë Gjyqësore (në vijim OPGJ), krijohen dyshime të arsyeshme për të besuar se në procedurën e prokurimit të sipërcituar, me fond limit 343,905,073 </w:t>
      </w:r>
      <w:r w:rsidRPr="005522F5">
        <w:rPr>
          <w:rFonts w:ascii="Times New Roman" w:eastAsia="Calibri" w:hAnsi="Times New Roman"/>
          <w:bCs/>
          <w:color w:val="000000" w:themeColor="text1"/>
          <w:lang w:val="sq-AL" w:bidi="ar-SA"/>
        </w:rPr>
        <w:t>l</w:t>
      </w:r>
      <w:r w:rsidR="00990CD2" w:rsidRPr="005522F5">
        <w:rPr>
          <w:rFonts w:ascii="Times New Roman" w:eastAsia="Calibri" w:hAnsi="Times New Roman"/>
          <w:bCs/>
          <w:color w:val="000000" w:themeColor="text1"/>
          <w:lang w:val="sq-AL" w:bidi="ar-SA"/>
        </w:rPr>
        <w:t xml:space="preserve">ekë, anëtarët e NJP - personat Kujtim Balilaj, Hazir Isufaj, Baram Brahaj dhe anëtarët e KVO - personat Mustafë Vatoci, Pal Rosaj dhe Shaban Demiraj kanë kryer veprime dhe mosveprime në kundërshtim me ligjin dhe aktet nënligjore që rregullojnë lirinë e pjesëmarrjes dhe barazinë e shtetasve në tendera, për të krijuar avantazhe ose privilegje të padrejta për BOE </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Florida</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 xml:space="preserve"> SHPK, </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4 AM</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 xml:space="preserve"> SHPK dhe </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Vllaznimi</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 xml:space="preserve"> SHPK, i cili është shpallur fitues. Sipas deklarimeve të dhëna nga personi Kujtim Byberi, administrator i operatorit ekonomik ofertues në tend</w:t>
      </w:r>
      <w:r w:rsidR="009E07EE" w:rsidRPr="005522F5">
        <w:rPr>
          <w:rFonts w:ascii="Times New Roman" w:eastAsia="Calibri" w:hAnsi="Times New Roman"/>
          <w:bCs/>
          <w:color w:val="000000" w:themeColor="text1"/>
          <w:lang w:val="sq-AL" w:bidi="ar-SA"/>
        </w:rPr>
        <w:t>e</w:t>
      </w:r>
      <w:r w:rsidR="00990CD2" w:rsidRPr="005522F5">
        <w:rPr>
          <w:rFonts w:ascii="Times New Roman" w:eastAsia="Calibri" w:hAnsi="Times New Roman"/>
          <w:bCs/>
          <w:color w:val="000000" w:themeColor="text1"/>
          <w:lang w:val="sq-AL" w:bidi="ar-SA"/>
        </w:rPr>
        <w:t xml:space="preserve">rin në shqyrtim </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Halili 1</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 xml:space="preserve"> SHPK, kriteret e vendosura nga anëtarët e NJP kanë qenë diskriminuese dhe në bazë të tyre fituesi ka qenë i paracaktuar. Kriteret e vendosura janë të gjitha të vendosura sipas dokumenteve që kanë paraqitur firmat fituese </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4 AM</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 xml:space="preserve">, </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Vllaznimi</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 xml:space="preserve"> dhe </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Florida</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color w:val="000000" w:themeColor="text1"/>
          <w:lang w:val="sq-AL" w:bidi="ar-SA"/>
        </w:rPr>
        <w:t>.</w:t>
      </w:r>
    </w:p>
    <w:p w14:paraId="4486FD28" w14:textId="25FACF21" w:rsidR="00990CD2" w:rsidRPr="005522F5" w:rsidRDefault="00990CD2" w:rsidP="00C6342A">
      <w:pPr>
        <w:pStyle w:val="ListParagraph"/>
        <w:numPr>
          <w:ilvl w:val="1"/>
          <w:numId w:val="11"/>
        </w:numPr>
        <w:ind w:left="0" w:firstLine="360"/>
        <w:jc w:val="both"/>
        <w:rPr>
          <w:rFonts w:ascii="Times New Roman" w:eastAsia="Calibri" w:hAnsi="Times New Roman"/>
          <w:bCs/>
          <w:color w:val="000000" w:themeColor="text1"/>
          <w:lang w:val="sq-AL" w:bidi="ar-SA"/>
        </w:rPr>
      </w:pPr>
      <w:r w:rsidRPr="005522F5">
        <w:rPr>
          <w:rFonts w:ascii="Times New Roman" w:eastAsia="Calibri" w:hAnsi="Times New Roman"/>
          <w:bCs/>
          <w:color w:val="000000" w:themeColor="text1"/>
          <w:lang w:val="sq-AL" w:bidi="ar-SA"/>
        </w:rPr>
        <w:t xml:space="preserve">Gjykata </w:t>
      </w:r>
      <w:r w:rsidR="00C6342A" w:rsidRPr="005522F5">
        <w:rPr>
          <w:rFonts w:ascii="Times New Roman" w:eastAsia="Calibri" w:hAnsi="Times New Roman"/>
          <w:bCs/>
          <w:color w:val="000000" w:themeColor="text1"/>
          <w:lang w:val="sq-AL" w:bidi="ar-SA"/>
        </w:rPr>
        <w:t>e shkall</w:t>
      </w:r>
      <w:r w:rsidR="00922916" w:rsidRPr="005522F5">
        <w:rPr>
          <w:rFonts w:ascii="Times New Roman" w:eastAsia="Calibri" w:hAnsi="Times New Roman"/>
          <w:bCs/>
          <w:color w:val="000000" w:themeColor="text1"/>
          <w:lang w:val="sq-AL" w:bidi="ar-SA"/>
        </w:rPr>
        <w:t>ë</w:t>
      </w:r>
      <w:r w:rsidR="00C6342A" w:rsidRPr="005522F5">
        <w:rPr>
          <w:rFonts w:ascii="Times New Roman" w:eastAsia="Calibri" w:hAnsi="Times New Roman"/>
          <w:bCs/>
          <w:color w:val="000000" w:themeColor="text1"/>
          <w:lang w:val="sq-AL" w:bidi="ar-SA"/>
        </w:rPr>
        <w:t>s s</w:t>
      </w:r>
      <w:r w:rsidR="00922916" w:rsidRPr="005522F5">
        <w:rPr>
          <w:rFonts w:ascii="Times New Roman" w:eastAsia="Calibri" w:hAnsi="Times New Roman"/>
          <w:bCs/>
          <w:color w:val="000000" w:themeColor="text1"/>
          <w:lang w:val="sq-AL" w:bidi="ar-SA"/>
        </w:rPr>
        <w:t>ë</w:t>
      </w:r>
      <w:r w:rsidR="00C6342A" w:rsidRPr="005522F5">
        <w:rPr>
          <w:rFonts w:ascii="Times New Roman" w:eastAsia="Calibri" w:hAnsi="Times New Roman"/>
          <w:bCs/>
          <w:color w:val="000000" w:themeColor="text1"/>
          <w:lang w:val="sq-AL" w:bidi="ar-SA"/>
        </w:rPr>
        <w:t xml:space="preserve"> par</w:t>
      </w:r>
      <w:r w:rsidR="00922916" w:rsidRPr="005522F5">
        <w:rPr>
          <w:rFonts w:ascii="Times New Roman" w:eastAsia="Calibri" w:hAnsi="Times New Roman"/>
          <w:bCs/>
          <w:color w:val="000000" w:themeColor="text1"/>
          <w:lang w:val="sq-AL" w:bidi="ar-SA"/>
        </w:rPr>
        <w:t>ë</w:t>
      </w:r>
      <w:r w:rsidR="00C6342A" w:rsidRPr="005522F5">
        <w:rPr>
          <w:rFonts w:ascii="Times New Roman" w:eastAsia="Calibri" w:hAnsi="Times New Roman"/>
          <w:bCs/>
          <w:color w:val="000000" w:themeColor="text1"/>
          <w:lang w:val="sq-AL" w:bidi="ar-SA"/>
        </w:rPr>
        <w:t xml:space="preserve"> ka </w:t>
      </w:r>
      <w:r w:rsidRPr="005522F5">
        <w:rPr>
          <w:rFonts w:ascii="Times New Roman" w:eastAsia="Calibri" w:hAnsi="Times New Roman"/>
          <w:bCs/>
          <w:color w:val="000000" w:themeColor="text1"/>
          <w:lang w:val="sq-AL" w:bidi="ar-SA"/>
        </w:rPr>
        <w:t>argument</w:t>
      </w:r>
      <w:r w:rsidR="00C6342A" w:rsidRPr="005522F5">
        <w:rPr>
          <w:rFonts w:ascii="Times New Roman" w:eastAsia="Calibri" w:hAnsi="Times New Roman"/>
          <w:bCs/>
          <w:color w:val="000000" w:themeColor="text1"/>
          <w:lang w:val="sq-AL" w:bidi="ar-SA"/>
        </w:rPr>
        <w:t>uar</w:t>
      </w:r>
      <w:r w:rsidRPr="005522F5">
        <w:rPr>
          <w:rFonts w:ascii="Times New Roman" w:eastAsia="Calibri" w:hAnsi="Times New Roman"/>
          <w:bCs/>
          <w:color w:val="000000" w:themeColor="text1"/>
          <w:lang w:val="sq-AL" w:bidi="ar-SA"/>
        </w:rPr>
        <w:t xml:space="preserve"> se çështja nuk duhej të ndahej nga </w:t>
      </w:r>
      <w:r w:rsidR="00C6342A" w:rsidRPr="005522F5">
        <w:rPr>
          <w:rFonts w:ascii="Times New Roman" w:eastAsia="Calibri" w:hAnsi="Times New Roman"/>
          <w:bCs/>
          <w:color w:val="000000" w:themeColor="text1"/>
          <w:lang w:val="sq-AL" w:bidi="ar-SA"/>
        </w:rPr>
        <w:t>p</w:t>
      </w:r>
      <w:r w:rsidRPr="005522F5">
        <w:rPr>
          <w:rFonts w:ascii="Times New Roman" w:eastAsia="Calibri" w:hAnsi="Times New Roman"/>
          <w:bCs/>
          <w:color w:val="000000" w:themeColor="text1"/>
          <w:lang w:val="sq-AL" w:bidi="ar-SA"/>
        </w:rPr>
        <w:t xml:space="preserve">rokurori, pasi nga ndarja e saj dëmtohet vërtetimi i fakteve, duke pasur parasysh se të gjithë personat e dyshuar kanë vepruar ose mosvepruar në të njëjtën procedurë tenderi dhe nuk ekzistojnë rastet e parashikuara në </w:t>
      </w:r>
      <w:r w:rsidR="009E07EE" w:rsidRPr="005522F5">
        <w:rPr>
          <w:rFonts w:ascii="Times New Roman" w:eastAsia="Calibri" w:hAnsi="Times New Roman"/>
          <w:bCs/>
          <w:color w:val="000000" w:themeColor="text1"/>
          <w:lang w:val="sq-AL" w:bidi="ar-SA"/>
        </w:rPr>
        <w:t>n</w:t>
      </w:r>
      <w:r w:rsidRPr="005522F5">
        <w:rPr>
          <w:rFonts w:ascii="Times New Roman" w:eastAsia="Calibri" w:hAnsi="Times New Roman"/>
          <w:bCs/>
          <w:color w:val="000000" w:themeColor="text1"/>
          <w:lang w:val="sq-AL" w:bidi="ar-SA"/>
        </w:rPr>
        <w:t xml:space="preserve">enin 93 të Kodit të Procedurës Penale (në vijim KPP). Ndërkohë, sipas </w:t>
      </w:r>
      <w:r w:rsidR="009E07EE" w:rsidRPr="005522F5">
        <w:rPr>
          <w:rFonts w:ascii="Times New Roman" w:eastAsia="Calibri" w:hAnsi="Times New Roman"/>
          <w:bCs/>
          <w:color w:val="000000" w:themeColor="text1"/>
          <w:lang w:val="sq-AL" w:bidi="ar-SA"/>
        </w:rPr>
        <w:t>n</w:t>
      </w:r>
      <w:r w:rsidRPr="005522F5">
        <w:rPr>
          <w:rFonts w:ascii="Times New Roman" w:eastAsia="Calibri" w:hAnsi="Times New Roman"/>
          <w:bCs/>
          <w:color w:val="000000" w:themeColor="text1"/>
          <w:lang w:val="sq-AL" w:bidi="ar-SA"/>
        </w:rPr>
        <w:t>enit 80 të KPP, edhe në qoftë se rasti përmban procedime të lidhura ndërmjet tyre dhe që nuk mund të ndahen, nga të cilat një ose disa janë kompetencë e GJKKO dhe procedimet e tjera në kompetencë të gjykatave të tjera të shkallës së parë, kompetente është GJKKO.</w:t>
      </w:r>
      <w:r w:rsidR="009E07EE" w:rsidRPr="005522F5">
        <w:rPr>
          <w:rFonts w:ascii="Times New Roman" w:eastAsia="Calibri" w:hAnsi="Times New Roman"/>
          <w:bCs/>
          <w:color w:val="000000" w:themeColor="text1"/>
          <w:lang w:val="sq-AL" w:bidi="ar-SA"/>
        </w:rPr>
        <w:t xml:space="preserve"> </w:t>
      </w:r>
      <w:r w:rsidRPr="005522F5">
        <w:rPr>
          <w:rFonts w:ascii="Times New Roman" w:eastAsia="Calibri" w:hAnsi="Times New Roman"/>
          <w:bCs/>
          <w:color w:val="000000" w:themeColor="text1"/>
          <w:lang w:val="sq-AL" w:bidi="ar-SA"/>
        </w:rPr>
        <w:t xml:space="preserve">Kjo do të thotë që në rastin konkret, ku krijohen dyshime të arsyeshme për të besuar se personat përgjegjës të ngarkuar për zhvillimin e tenderit të sipërcituar, me fond limit 343,905,073 </w:t>
      </w:r>
      <w:r w:rsidR="00C6342A" w:rsidRPr="005522F5">
        <w:rPr>
          <w:rFonts w:ascii="Times New Roman" w:eastAsia="Calibri" w:hAnsi="Times New Roman"/>
          <w:bCs/>
          <w:color w:val="000000" w:themeColor="text1"/>
          <w:lang w:val="sq-AL" w:bidi="ar-SA"/>
        </w:rPr>
        <w:t>l</w:t>
      </w:r>
      <w:r w:rsidRPr="005522F5">
        <w:rPr>
          <w:rFonts w:ascii="Times New Roman" w:eastAsia="Calibri" w:hAnsi="Times New Roman"/>
          <w:bCs/>
          <w:color w:val="000000" w:themeColor="text1"/>
          <w:lang w:val="sq-AL" w:bidi="ar-SA"/>
        </w:rPr>
        <w:t xml:space="preserve">ekë, kanë kryer veprimet dhe mosveprime në kundërshtim me ligjin dhe aktet nënligjore që rregullojnë lirinë e pjesëmarrjes dhe barazinë e shtetasve në tendera, për të krijuar avantazhe ose privilegje të padrejta për BOE </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Florida</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 xml:space="preserve"> SHPK, </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4 AM</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 xml:space="preserve"> SHPK dhe </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Vllaznimi</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 xml:space="preserve"> SHPK, i cili është shpallur fitues, duhet fillimisht të hetohet dhe gjykohet nëse është kryer krimi </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Shkelja e barazisë së pjesëmarrësve në tendera apo ankande publike</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 xml:space="preserve">, parashikuar nga </w:t>
      </w:r>
      <w:r w:rsidR="009E07EE" w:rsidRPr="005522F5">
        <w:rPr>
          <w:rFonts w:ascii="Times New Roman" w:eastAsia="Calibri" w:hAnsi="Times New Roman"/>
          <w:bCs/>
          <w:color w:val="000000" w:themeColor="text1"/>
          <w:lang w:val="sq-AL" w:bidi="ar-SA"/>
        </w:rPr>
        <w:t>n</w:t>
      </w:r>
      <w:r w:rsidRPr="005522F5">
        <w:rPr>
          <w:rFonts w:ascii="Times New Roman" w:eastAsia="Calibri" w:hAnsi="Times New Roman"/>
          <w:bCs/>
          <w:color w:val="000000" w:themeColor="text1"/>
          <w:lang w:val="sq-AL" w:bidi="ar-SA"/>
        </w:rPr>
        <w:t xml:space="preserve">eni 258 i KP, paragrafi i dytë i së cilës, sipas </w:t>
      </w:r>
      <w:r w:rsidR="009E07EE" w:rsidRPr="005522F5">
        <w:rPr>
          <w:rFonts w:ascii="Times New Roman" w:eastAsia="Calibri" w:hAnsi="Times New Roman"/>
          <w:bCs/>
          <w:color w:val="000000" w:themeColor="text1"/>
          <w:lang w:val="sq-AL" w:bidi="ar-SA"/>
        </w:rPr>
        <w:t>n</w:t>
      </w:r>
      <w:r w:rsidRPr="005522F5">
        <w:rPr>
          <w:rFonts w:ascii="Times New Roman" w:eastAsia="Calibri" w:hAnsi="Times New Roman"/>
          <w:bCs/>
          <w:color w:val="000000" w:themeColor="text1"/>
          <w:lang w:val="sq-AL" w:bidi="ar-SA"/>
        </w:rPr>
        <w:t>enit 75/a, paragrafi 1</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 xml:space="preserve"> shkronja “a” i KPP është në kompetencë lëndore të GJKKO.</w:t>
      </w:r>
      <w:r w:rsidR="009E07EE" w:rsidRPr="005522F5">
        <w:rPr>
          <w:rFonts w:ascii="Times New Roman" w:eastAsia="Calibri" w:hAnsi="Times New Roman"/>
          <w:bCs/>
          <w:color w:val="000000" w:themeColor="text1"/>
          <w:lang w:val="sq-AL" w:bidi="ar-SA"/>
        </w:rPr>
        <w:t xml:space="preserve"> </w:t>
      </w:r>
      <w:r w:rsidRPr="005522F5">
        <w:rPr>
          <w:rFonts w:ascii="Times New Roman" w:eastAsia="Calibri" w:hAnsi="Times New Roman"/>
          <w:bCs/>
          <w:color w:val="000000" w:themeColor="text1"/>
          <w:lang w:val="sq-AL" w:bidi="ar-SA"/>
        </w:rPr>
        <w:t>Duke qenë se procedimi penal në shqyrtim ndodhet në shkallë të parë, në fazën e seancës paraprake, Gjykata bazuar në nenet 83, paragrafi 1, 85 dhe 332/dh, paragrafi 1</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 xml:space="preserve"> shkronja </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d</w:t>
      </w:r>
      <w:r w:rsidR="00C6342A"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 xml:space="preserve"> të KPP, çmon se nuk është kompetente për shqyrtimin në seancë paraprake të kërkesës së </w:t>
      </w:r>
      <w:r w:rsidR="009E07EE" w:rsidRPr="005522F5">
        <w:rPr>
          <w:rFonts w:ascii="Times New Roman" w:eastAsia="Calibri" w:hAnsi="Times New Roman"/>
          <w:bCs/>
          <w:color w:val="000000" w:themeColor="text1"/>
          <w:lang w:val="sq-AL" w:bidi="ar-SA"/>
        </w:rPr>
        <w:t>p</w:t>
      </w:r>
      <w:r w:rsidRPr="005522F5">
        <w:rPr>
          <w:rFonts w:ascii="Times New Roman" w:eastAsia="Calibri" w:hAnsi="Times New Roman"/>
          <w:bCs/>
          <w:color w:val="000000" w:themeColor="text1"/>
          <w:lang w:val="sq-AL" w:bidi="ar-SA"/>
        </w:rPr>
        <w:t>rokurorit për pushimin e çështjes që i përket procedimit penal nr. 238, viti 2021, për shkak të lëndës. Shqyrtimi i kësaj kërkese është në kompetencë lëndore të gjyqtarit të seancës paraprake të GJKKO e Shkallës së Parë.</w:t>
      </w:r>
    </w:p>
    <w:p w14:paraId="4D739441" w14:textId="77777777" w:rsidR="00C6342A" w:rsidRPr="005522F5" w:rsidRDefault="00C6342A" w:rsidP="00C6342A">
      <w:pPr>
        <w:pStyle w:val="ListParagraph"/>
        <w:ind w:left="360"/>
        <w:jc w:val="both"/>
        <w:rPr>
          <w:rFonts w:ascii="Times New Roman" w:eastAsia="Calibri" w:hAnsi="Times New Roman"/>
          <w:bCs/>
          <w:color w:val="000000" w:themeColor="text1"/>
          <w:lang w:val="sq-AL" w:bidi="ar-SA"/>
        </w:rPr>
      </w:pPr>
    </w:p>
    <w:p w14:paraId="4B86BB66" w14:textId="1B99286F" w:rsidR="00990CD2" w:rsidRPr="005522F5" w:rsidRDefault="00C6342A" w:rsidP="00C6342A">
      <w:pPr>
        <w:pStyle w:val="ListParagraph"/>
        <w:numPr>
          <w:ilvl w:val="0"/>
          <w:numId w:val="11"/>
        </w:numPr>
        <w:tabs>
          <w:tab w:val="left" w:pos="540"/>
        </w:tabs>
        <w:ind w:left="0" w:firstLine="360"/>
        <w:jc w:val="both"/>
        <w:rPr>
          <w:rFonts w:ascii="Times New Roman" w:eastAsia="Calibri" w:hAnsi="Times New Roman"/>
          <w:bCs/>
          <w:color w:val="000000" w:themeColor="text1"/>
          <w:lang w:val="sq-AL" w:bidi="ar-SA"/>
        </w:rPr>
      </w:pPr>
      <w:r w:rsidRPr="005522F5">
        <w:rPr>
          <w:rFonts w:ascii="Times New Roman" w:eastAsia="Calibri" w:hAnsi="Times New Roman"/>
          <w:b/>
          <w:color w:val="000000" w:themeColor="text1"/>
          <w:lang w:val="sq-AL" w:bidi="ar-SA"/>
        </w:rPr>
        <w:t xml:space="preserve"> </w:t>
      </w:r>
      <w:r w:rsidR="00990CD2" w:rsidRPr="005522F5">
        <w:rPr>
          <w:rFonts w:ascii="Times New Roman" w:eastAsia="Calibri" w:hAnsi="Times New Roman"/>
          <w:b/>
          <w:color w:val="000000" w:themeColor="text1"/>
          <w:lang w:val="sq-AL" w:bidi="ar-SA"/>
        </w:rPr>
        <w:t>Gjykata e Posaçme e Shkallës së Parë për Korrupsionin dhe Krimin e Organizuar</w:t>
      </w:r>
      <w:r w:rsidR="009E07EE" w:rsidRPr="005522F5">
        <w:rPr>
          <w:rFonts w:ascii="Times New Roman" w:eastAsia="Calibri" w:hAnsi="Times New Roman"/>
          <w:b/>
          <w:color w:val="000000" w:themeColor="text1"/>
          <w:lang w:val="sq-AL" w:bidi="ar-SA"/>
        </w:rPr>
        <w:t xml:space="preserve"> </w:t>
      </w:r>
      <w:r w:rsidR="00990CD2" w:rsidRPr="005522F5">
        <w:rPr>
          <w:rFonts w:ascii="Times New Roman" w:eastAsia="Calibri" w:hAnsi="Times New Roman"/>
          <w:bCs/>
          <w:color w:val="000000" w:themeColor="text1"/>
          <w:lang w:val="sq-AL" w:bidi="ar-SA"/>
        </w:rPr>
        <w:t>me vendimin nr. 129 Regj.</w:t>
      </w:r>
      <w:r w:rsidRPr="005522F5">
        <w:rPr>
          <w:rFonts w:ascii="Times New Roman" w:eastAsia="Calibri" w:hAnsi="Times New Roman"/>
          <w:bCs/>
          <w:color w:val="000000" w:themeColor="text1"/>
          <w:lang w:val="sq-AL" w:bidi="ar-SA"/>
        </w:rPr>
        <w:t xml:space="preserve"> </w:t>
      </w:r>
      <w:r w:rsidR="00990CD2" w:rsidRPr="005522F5">
        <w:rPr>
          <w:rFonts w:ascii="Times New Roman" w:eastAsia="Calibri" w:hAnsi="Times New Roman"/>
          <w:bCs/>
          <w:color w:val="000000" w:themeColor="text1"/>
          <w:lang w:val="sq-AL" w:bidi="ar-SA"/>
        </w:rPr>
        <w:t xml:space="preserve">Them., datë 18.11.2025, ka vendosur: </w:t>
      </w:r>
      <w:r w:rsidRPr="005522F5">
        <w:rPr>
          <w:rFonts w:ascii="Times New Roman" w:eastAsia="Calibri" w:hAnsi="Times New Roman"/>
          <w:bCs/>
          <w:color w:val="000000" w:themeColor="text1"/>
          <w:lang w:val="sq-AL" w:bidi="ar-SA"/>
        </w:rPr>
        <w:t>“</w:t>
      </w:r>
      <w:r w:rsidR="00990CD2" w:rsidRPr="005522F5">
        <w:rPr>
          <w:rFonts w:ascii="Times New Roman" w:eastAsia="Calibri" w:hAnsi="Times New Roman"/>
          <w:bCs/>
          <w:i/>
          <w:iCs/>
          <w:color w:val="000000" w:themeColor="text1"/>
          <w:lang w:val="sq-AL" w:bidi="ar-SA"/>
        </w:rPr>
        <w:t xml:space="preserve">1. Ngritjen e çështjes së mosmarrëveshjes së kompetencës lëndore midis Gjykatës së Posaçme të Shkallës së Parë për Korrupsionin dhe Krimin e Organizuar dhe Gjykatës së Shkallës së Parë të Juridiksionit të Përgjithshëm Kukës, lidhur me gjykimin e kërkesës penale me objekt </w:t>
      </w:r>
      <w:r w:rsidRPr="005522F5">
        <w:rPr>
          <w:rFonts w:ascii="Times New Roman" w:eastAsia="Calibri" w:hAnsi="Times New Roman"/>
          <w:bCs/>
          <w:i/>
          <w:iCs/>
          <w:color w:val="000000" w:themeColor="text1"/>
          <w:lang w:val="sq-AL" w:bidi="ar-SA"/>
        </w:rPr>
        <w:t>“</w:t>
      </w:r>
      <w:r w:rsidR="00990CD2" w:rsidRPr="005522F5">
        <w:rPr>
          <w:rFonts w:ascii="Times New Roman" w:eastAsia="Calibri" w:hAnsi="Times New Roman"/>
          <w:bCs/>
          <w:i/>
          <w:iCs/>
          <w:color w:val="000000" w:themeColor="text1"/>
          <w:lang w:val="sq-AL" w:bidi="ar-SA"/>
        </w:rPr>
        <w:t xml:space="preserve">Pushimin e çështjes që i përket procedimit penal nr. 238, viti 2021 për veprën penale </w:t>
      </w:r>
      <w:r w:rsidRPr="005522F5">
        <w:rPr>
          <w:rFonts w:ascii="Times New Roman" w:eastAsia="Calibri" w:hAnsi="Times New Roman"/>
          <w:bCs/>
          <w:i/>
          <w:iCs/>
          <w:color w:val="000000" w:themeColor="text1"/>
          <w:lang w:val="sq-AL" w:bidi="ar-SA"/>
        </w:rPr>
        <w:t>“</w:t>
      </w:r>
      <w:r w:rsidR="00990CD2" w:rsidRPr="005522F5">
        <w:rPr>
          <w:rFonts w:ascii="Times New Roman" w:eastAsia="Calibri" w:hAnsi="Times New Roman"/>
          <w:bCs/>
          <w:i/>
          <w:iCs/>
          <w:color w:val="000000" w:themeColor="text1"/>
          <w:lang w:val="sq-AL" w:bidi="ar-SA"/>
        </w:rPr>
        <w:t>Shpërdorimi i detyrës</w:t>
      </w:r>
      <w:r w:rsidRPr="005522F5">
        <w:rPr>
          <w:rFonts w:ascii="Times New Roman" w:eastAsia="Calibri" w:hAnsi="Times New Roman"/>
          <w:bCs/>
          <w:i/>
          <w:iCs/>
          <w:color w:val="000000" w:themeColor="text1"/>
          <w:lang w:val="sq-AL" w:bidi="ar-SA"/>
        </w:rPr>
        <w:t>”</w:t>
      </w:r>
      <w:r w:rsidR="00990CD2" w:rsidRPr="005522F5">
        <w:rPr>
          <w:rFonts w:ascii="Times New Roman" w:eastAsia="Calibri" w:hAnsi="Times New Roman"/>
          <w:bCs/>
          <w:i/>
          <w:iCs/>
          <w:color w:val="000000" w:themeColor="text1"/>
          <w:lang w:val="sq-AL" w:bidi="ar-SA"/>
        </w:rPr>
        <w:t>, parashikuar nga neni 248 të K</w:t>
      </w:r>
      <w:r w:rsidRPr="005522F5">
        <w:rPr>
          <w:rFonts w:ascii="Times New Roman" w:eastAsia="Calibri" w:hAnsi="Times New Roman"/>
          <w:bCs/>
          <w:i/>
          <w:iCs/>
          <w:color w:val="000000" w:themeColor="text1"/>
          <w:lang w:val="sq-AL" w:bidi="ar-SA"/>
        </w:rPr>
        <w:t xml:space="preserve">odit </w:t>
      </w:r>
      <w:r w:rsidR="00990CD2" w:rsidRPr="005522F5">
        <w:rPr>
          <w:rFonts w:ascii="Times New Roman" w:eastAsia="Calibri" w:hAnsi="Times New Roman"/>
          <w:bCs/>
          <w:i/>
          <w:iCs/>
          <w:color w:val="000000" w:themeColor="text1"/>
          <w:lang w:val="sq-AL" w:bidi="ar-SA"/>
        </w:rPr>
        <w:t>Penal, në ngarkim të personave nën hetim Mustafë Vatoci, Shaban Demiraj dhe Pal Rosaj, për shkak se nuk jemi përpara kryerjes së veprës penale</w:t>
      </w:r>
      <w:r w:rsidRPr="005522F5">
        <w:rPr>
          <w:rFonts w:ascii="Times New Roman" w:eastAsia="Calibri" w:hAnsi="Times New Roman"/>
          <w:bCs/>
          <w:i/>
          <w:iCs/>
          <w:color w:val="000000" w:themeColor="text1"/>
          <w:lang w:val="sq-AL" w:bidi="ar-SA"/>
        </w:rPr>
        <w:t>”</w:t>
      </w:r>
      <w:r w:rsidR="00990CD2" w:rsidRPr="005522F5">
        <w:rPr>
          <w:rFonts w:ascii="Times New Roman" w:eastAsia="Calibri" w:hAnsi="Times New Roman"/>
          <w:bCs/>
          <w:i/>
          <w:iCs/>
          <w:color w:val="000000" w:themeColor="text1"/>
          <w:lang w:val="sq-AL" w:bidi="ar-SA"/>
        </w:rPr>
        <w:t>. 2. Dërgimin e vendimit dhe akteve Gjykatës së Lartë.</w:t>
      </w:r>
      <w:r w:rsidR="009E07EE" w:rsidRPr="005522F5">
        <w:rPr>
          <w:rFonts w:ascii="Times New Roman" w:eastAsia="Calibri" w:hAnsi="Times New Roman"/>
          <w:bCs/>
          <w:i/>
          <w:iCs/>
          <w:color w:val="000000" w:themeColor="text1"/>
          <w:lang w:val="sq-AL" w:bidi="ar-SA"/>
        </w:rPr>
        <w:t xml:space="preserve"> </w:t>
      </w:r>
      <w:r w:rsidR="00990CD2" w:rsidRPr="005522F5">
        <w:rPr>
          <w:rFonts w:ascii="Times New Roman" w:eastAsia="Calibri" w:hAnsi="Times New Roman"/>
          <w:bCs/>
          <w:i/>
          <w:iCs/>
          <w:color w:val="000000" w:themeColor="text1"/>
          <w:lang w:val="sq-AL" w:bidi="ar-SA"/>
        </w:rPr>
        <w:t xml:space="preserve">3. Një kopje e këtij vendimi t'i dërgohet për njoftim Gjykatës së </w:t>
      </w:r>
      <w:r w:rsidR="0005213F" w:rsidRPr="005522F5">
        <w:rPr>
          <w:rFonts w:ascii="Times New Roman" w:eastAsia="Calibri" w:hAnsi="Times New Roman"/>
          <w:bCs/>
          <w:i/>
          <w:iCs/>
          <w:color w:val="000000" w:themeColor="text1"/>
          <w:lang w:val="sq-AL" w:bidi="ar-SA"/>
        </w:rPr>
        <w:t>Shkalles</w:t>
      </w:r>
      <w:r w:rsidR="00990CD2" w:rsidRPr="005522F5">
        <w:rPr>
          <w:rFonts w:ascii="Times New Roman" w:eastAsia="Calibri" w:hAnsi="Times New Roman"/>
          <w:bCs/>
          <w:i/>
          <w:iCs/>
          <w:color w:val="000000" w:themeColor="text1"/>
          <w:lang w:val="sq-AL" w:bidi="ar-SA"/>
        </w:rPr>
        <w:t xml:space="preserve"> së Parë të Juridiksionit të Përgjithshëm Kukës</w:t>
      </w:r>
      <w:r w:rsidR="00990CD2" w:rsidRPr="005522F5">
        <w:rPr>
          <w:rFonts w:ascii="Times New Roman" w:eastAsia="Calibri" w:hAnsi="Times New Roman"/>
          <w:bCs/>
          <w:color w:val="000000" w:themeColor="text1"/>
          <w:lang w:val="sq-AL" w:bidi="ar-SA"/>
        </w:rPr>
        <w:t>.</w:t>
      </w:r>
      <w:r w:rsidRPr="005522F5">
        <w:rPr>
          <w:rFonts w:ascii="Times New Roman" w:eastAsia="Calibri" w:hAnsi="Times New Roman"/>
          <w:bCs/>
          <w:color w:val="000000" w:themeColor="text1"/>
          <w:lang w:val="sq-AL" w:bidi="ar-SA"/>
        </w:rPr>
        <w:t>”</w:t>
      </w:r>
    </w:p>
    <w:p w14:paraId="3B6BA096" w14:textId="00E31432" w:rsidR="00990CD2" w:rsidRPr="005522F5" w:rsidRDefault="00C6342A" w:rsidP="00C6342A">
      <w:pPr>
        <w:pStyle w:val="ListParagraph"/>
        <w:numPr>
          <w:ilvl w:val="0"/>
          <w:numId w:val="11"/>
        </w:numPr>
        <w:tabs>
          <w:tab w:val="left" w:pos="540"/>
        </w:tabs>
        <w:ind w:left="0" w:firstLine="360"/>
        <w:jc w:val="both"/>
        <w:rPr>
          <w:rFonts w:ascii="Times New Roman" w:eastAsia="Calibri" w:hAnsi="Times New Roman"/>
          <w:bCs/>
          <w:color w:val="000000" w:themeColor="text1"/>
          <w:lang w:val="sq-AL" w:bidi="ar-SA"/>
        </w:rPr>
      </w:pPr>
      <w:r w:rsidRPr="005522F5">
        <w:rPr>
          <w:rFonts w:ascii="Times New Roman" w:eastAsia="Calibri" w:hAnsi="Times New Roman"/>
          <w:b/>
          <w:color w:val="000000" w:themeColor="text1"/>
          <w:lang w:val="sq-AL" w:bidi="ar-SA"/>
        </w:rPr>
        <w:t xml:space="preserve"> </w:t>
      </w:r>
      <w:r w:rsidR="00990CD2" w:rsidRPr="005522F5">
        <w:rPr>
          <w:rFonts w:ascii="Times New Roman" w:eastAsia="Calibri" w:hAnsi="Times New Roman"/>
          <w:bCs/>
          <w:color w:val="000000" w:themeColor="text1"/>
          <w:lang w:val="sq-AL" w:bidi="ar-SA"/>
        </w:rPr>
        <w:t xml:space="preserve">Gjykata e Posaçme e Shkallës së Parë ka arsyetuar: </w:t>
      </w:r>
      <w:r w:rsidR="00F507FB" w:rsidRPr="005522F5">
        <w:rPr>
          <w:rFonts w:ascii="Times New Roman" w:eastAsia="Calibri" w:hAnsi="Times New Roman"/>
          <w:bCs/>
          <w:color w:val="000000" w:themeColor="text1"/>
          <w:lang w:val="sq-AL" w:bidi="ar-SA"/>
        </w:rPr>
        <w:t xml:space="preserve">“... </w:t>
      </w:r>
      <w:r w:rsidR="00990CD2" w:rsidRPr="005522F5">
        <w:rPr>
          <w:rFonts w:ascii="Times New Roman" w:hAnsi="Times New Roman"/>
          <w:color w:val="000000" w:themeColor="text1"/>
          <w:lang w:val="sq-AL"/>
        </w:rPr>
        <w:t>E thënë kjo, nëse gjatë gjykimit të një çështje në seancë paraprake me objekt pushimin e akuzës/çështjes, gjykata vlerëson se faktet penale objekt hetimi e gjykimi përbëjnë elementë të një vepre penale të ndryshme nga ajo e regjistruar në regjistrin e njoftimeve nga prokurori, do të duhet që gjyqtari ta arsyetojë këtë qëndrimin/vlerësim në vendimin e tij dhe duke kthyer aktet prokurorisë, t'i kërkojë kësaj të fundit, të reflektojë këtë qëndrim të gjykatës në regjistrin e njoftimit të veprave penale. Prokurori mund të bindet nga arsyetimi i gjykatës, por edhe nëse nuk bindet, duhet pasur në konsideratë se mosreflektimi i prokurorit, sipas urdhërimit të gjykatës, nuk do të zgjidhte gjë dhe procesi do të pësonte ngërç, pasi kërkesa e prokurorit, përsëri do të paraqitej pranë të njëjtit gjyqtar të seancës paraprake, në respektim të nenit 332, pika 1 të K</w:t>
      </w:r>
      <w:r w:rsidRPr="005522F5">
        <w:rPr>
          <w:rFonts w:ascii="Times New Roman" w:hAnsi="Times New Roman"/>
          <w:color w:val="000000" w:themeColor="text1"/>
          <w:lang w:val="sq-AL"/>
        </w:rPr>
        <w:t>PP</w:t>
      </w:r>
      <w:r w:rsidR="00990CD2" w:rsidRPr="005522F5">
        <w:rPr>
          <w:rFonts w:ascii="Times New Roman" w:hAnsi="Times New Roman"/>
          <w:color w:val="000000" w:themeColor="text1"/>
          <w:lang w:val="sq-AL"/>
        </w:rPr>
        <w:t>. E në rast se ky ndryshim i cilësimit juridik passjell moskompetencën lëndore dhe tokësore të gjykatës, pranë së cilës prokuroria funksionon, atëherë prokuroria do të duhet të deklarojë moskompetencën lëndore dhe tokësore, duke ia kaluar aktet menjëherë prokurorisë pranë gjykatës kompetente. Prokuroria që merr aktet do të duhet të ketë në konsideratë, në momentin e pranimit ose jo të akteve edhe të vendimit të gjyqtarit paraprake që ka orientuar gjykatën në vendimmarrjen e tij.</w:t>
      </w:r>
    </w:p>
    <w:p w14:paraId="32976C16" w14:textId="226C5D23" w:rsidR="00990CD2" w:rsidRPr="005522F5" w:rsidRDefault="00990CD2" w:rsidP="00C6342A">
      <w:pPr>
        <w:pStyle w:val="ListParagraph"/>
        <w:numPr>
          <w:ilvl w:val="1"/>
          <w:numId w:val="11"/>
        </w:numPr>
        <w:tabs>
          <w:tab w:val="left" w:pos="540"/>
        </w:tabs>
        <w:ind w:left="0" w:firstLine="360"/>
        <w:jc w:val="both"/>
        <w:rPr>
          <w:rFonts w:ascii="Times New Roman" w:eastAsia="Calibri" w:hAnsi="Times New Roman"/>
          <w:bCs/>
          <w:color w:val="000000" w:themeColor="text1"/>
          <w:lang w:val="sq-AL" w:bidi="ar-SA"/>
        </w:rPr>
      </w:pPr>
      <w:r w:rsidRPr="005522F5">
        <w:rPr>
          <w:rFonts w:ascii="Times New Roman" w:hAnsi="Times New Roman"/>
          <w:color w:val="000000" w:themeColor="text1"/>
          <w:lang w:val="sq-AL"/>
        </w:rPr>
        <w:t xml:space="preserve">Në rastin në gjykim, konstatoj se Prokuroria pranë Gjykatës së Shkallës së Parë të Juridiksionit të Përgjithshëm Kukës, ka ndarë procedimin penal nr. 238 të vitit 2021 në dy procedime penale: në procedimin me nr. 238/1 të vitit 2021, me persona nën hetim, shtetasit Abedin Kërrnaja, Hazir Isufaj, Kujtim Balilaj dhe Bajram Brahaj, si persona të dyshuar për kryerjen e veprës penale </w:t>
      </w:r>
      <w:r w:rsidR="00C6342A" w:rsidRPr="005522F5">
        <w:rPr>
          <w:rFonts w:ascii="Times New Roman" w:hAnsi="Times New Roman"/>
          <w:color w:val="000000" w:themeColor="text1"/>
          <w:lang w:val="sq-AL"/>
        </w:rPr>
        <w:t>“</w:t>
      </w:r>
      <w:r w:rsidRPr="005522F5">
        <w:rPr>
          <w:rFonts w:ascii="Times New Roman" w:hAnsi="Times New Roman"/>
          <w:color w:val="000000" w:themeColor="text1"/>
          <w:lang w:val="sq-AL"/>
        </w:rPr>
        <w:t>Shkelja e barazisë së pjesëmarrësve në tendera apo ankande publike</w:t>
      </w:r>
      <w:r w:rsidR="00C6342A" w:rsidRPr="005522F5">
        <w:rPr>
          <w:rFonts w:ascii="Times New Roman" w:hAnsi="Times New Roman"/>
          <w:color w:val="000000" w:themeColor="text1"/>
          <w:lang w:val="sq-AL"/>
        </w:rPr>
        <w:t>”</w:t>
      </w:r>
      <w:r w:rsidRPr="005522F5">
        <w:rPr>
          <w:rFonts w:ascii="Times New Roman" w:hAnsi="Times New Roman"/>
          <w:color w:val="000000" w:themeColor="text1"/>
          <w:lang w:val="sq-AL"/>
        </w:rPr>
        <w:t>, të parashikuar nga neni 258, paragrafi dytë të K</w:t>
      </w:r>
      <w:r w:rsidR="00C6342A" w:rsidRPr="005522F5">
        <w:rPr>
          <w:rFonts w:ascii="Times New Roman" w:hAnsi="Times New Roman"/>
          <w:color w:val="000000" w:themeColor="text1"/>
          <w:lang w:val="sq-AL"/>
        </w:rPr>
        <w:t xml:space="preserve">odit </w:t>
      </w:r>
      <w:r w:rsidRPr="005522F5">
        <w:rPr>
          <w:rFonts w:ascii="Times New Roman" w:hAnsi="Times New Roman"/>
          <w:color w:val="000000" w:themeColor="text1"/>
          <w:lang w:val="sq-AL"/>
        </w:rPr>
        <w:t xml:space="preserve">Penal dhe dërgimin e procedimit penal për kompetencë lëndore hetimi në Prokurorinë e Posaçme kundër Korrupsionit dhe Krimit të Organizuar; në procedimin penal me nr. 238 të vitit 2021, me persona nën hetim, shtetasit Mustafë Vatoci, Pal Rosaj dhe Shaban Demiraj, të dyshuar për kryerjen e veprës penale </w:t>
      </w:r>
      <w:r w:rsidR="00C6342A" w:rsidRPr="005522F5">
        <w:rPr>
          <w:rFonts w:ascii="Times New Roman" w:hAnsi="Times New Roman"/>
          <w:color w:val="000000" w:themeColor="text1"/>
          <w:lang w:val="sq-AL"/>
        </w:rPr>
        <w:t>“</w:t>
      </w:r>
      <w:r w:rsidRPr="005522F5">
        <w:rPr>
          <w:rFonts w:ascii="Times New Roman" w:hAnsi="Times New Roman"/>
          <w:color w:val="000000" w:themeColor="text1"/>
          <w:lang w:val="sq-AL"/>
        </w:rPr>
        <w:t>Shpërdorimi i detyrës</w:t>
      </w:r>
      <w:r w:rsidR="00C6342A" w:rsidRPr="005522F5">
        <w:rPr>
          <w:rFonts w:ascii="Times New Roman" w:hAnsi="Times New Roman"/>
          <w:color w:val="000000" w:themeColor="text1"/>
          <w:lang w:val="sq-AL"/>
        </w:rPr>
        <w:t>”</w:t>
      </w:r>
      <w:r w:rsidRPr="005522F5">
        <w:rPr>
          <w:rFonts w:ascii="Times New Roman" w:hAnsi="Times New Roman"/>
          <w:color w:val="000000" w:themeColor="text1"/>
          <w:lang w:val="sq-AL"/>
        </w:rPr>
        <w:t>, parashikuar nga neni 248 të K</w:t>
      </w:r>
      <w:r w:rsidR="0005213F" w:rsidRPr="005522F5">
        <w:rPr>
          <w:rFonts w:ascii="Times New Roman" w:hAnsi="Times New Roman"/>
          <w:color w:val="000000" w:themeColor="text1"/>
          <w:lang w:val="sq-AL"/>
        </w:rPr>
        <w:t xml:space="preserve">odit </w:t>
      </w:r>
      <w:r w:rsidRPr="005522F5">
        <w:rPr>
          <w:rFonts w:ascii="Times New Roman" w:hAnsi="Times New Roman"/>
          <w:color w:val="000000" w:themeColor="text1"/>
          <w:lang w:val="sq-AL"/>
        </w:rPr>
        <w:t>Penal.</w:t>
      </w:r>
      <w:r w:rsidR="00942779" w:rsidRPr="005522F5">
        <w:rPr>
          <w:rFonts w:ascii="Times New Roman" w:hAnsi="Times New Roman"/>
          <w:color w:val="000000" w:themeColor="text1"/>
          <w:lang w:val="sq-AL"/>
        </w:rPr>
        <w:t xml:space="preserve"> </w:t>
      </w:r>
      <w:r w:rsidRPr="005522F5">
        <w:rPr>
          <w:rFonts w:ascii="Times New Roman" w:hAnsi="Times New Roman"/>
          <w:color w:val="000000" w:themeColor="text1"/>
          <w:lang w:val="sq-AL"/>
        </w:rPr>
        <w:t>Lidhur me procedimin penal me nr. 238/1 të vitit 2021, palët pranojnë faktin se Drejtuesi i Prokurorisë së Posaçme nuk ka vendosur pranimin e akteve dhe çështja është ridërguar përsëri në Prokurorinë pranë Gjykatës së Shkallës së Parë të Juridiksionit të Përgjithshëm Kukës dhe ajo ka pasur detyrimin ligjor të pranojë aktet.</w:t>
      </w:r>
    </w:p>
    <w:p w14:paraId="761A5324" w14:textId="51EDB3E0" w:rsidR="00990CD2" w:rsidRPr="005522F5" w:rsidRDefault="00990CD2" w:rsidP="0005213F">
      <w:pPr>
        <w:pStyle w:val="ListParagraph"/>
        <w:numPr>
          <w:ilvl w:val="1"/>
          <w:numId w:val="11"/>
        </w:numPr>
        <w:tabs>
          <w:tab w:val="left" w:pos="540"/>
        </w:tabs>
        <w:ind w:left="0" w:firstLine="360"/>
        <w:jc w:val="both"/>
        <w:rPr>
          <w:rFonts w:ascii="Times New Roman" w:eastAsia="Calibri" w:hAnsi="Times New Roman"/>
          <w:bCs/>
          <w:color w:val="000000" w:themeColor="text1"/>
          <w:lang w:val="sq-AL" w:bidi="ar-SA"/>
        </w:rPr>
      </w:pPr>
      <w:r w:rsidRPr="005522F5">
        <w:rPr>
          <w:rFonts w:ascii="Times New Roman" w:hAnsi="Times New Roman"/>
          <w:color w:val="000000" w:themeColor="text1"/>
          <w:lang w:val="sq-AL"/>
        </w:rPr>
        <w:t xml:space="preserve">Përsa i përket procedimit në fjalë, gjyqtari i seancës paraprake pranë Gjykatës së Shkallës së Parë të Juridiksionit të Përgjithshëm Kukës, ka vlerësuar se duke u nisur nga objekt hetimi, siç është rasti në gjykim një procedurë prokurimi publik, të shprehet se kemi të bëjmë me shkeljen e barazisë në tendera. Në një procedurë prokurimi, mund të konstatohen shkelje të ndryshme, në varësi të llojit të shkeljeve, që mund të përbëjnë elementë të figurave të ndryshme të veprave penale të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xml:space="preserve">Shkeljes së barazisë së pjesëmarrësve në tendera apo ankande </w:t>
      </w:r>
      <w:r w:rsidR="0005213F" w:rsidRPr="005522F5">
        <w:rPr>
          <w:rFonts w:ascii="Times New Roman" w:hAnsi="Times New Roman"/>
          <w:color w:val="000000" w:themeColor="text1"/>
          <w:lang w:val="sq-AL"/>
        </w:rPr>
        <w:t>publike”</w:t>
      </w:r>
      <w:r w:rsidRPr="005522F5">
        <w:rPr>
          <w:rFonts w:ascii="Times New Roman" w:hAnsi="Times New Roman"/>
          <w:color w:val="000000" w:themeColor="text1"/>
          <w:lang w:val="sq-AL"/>
        </w:rPr>
        <w:t xml:space="preserve">,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Shpërdorimit të detyrës</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xml:space="preserve">,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Korrupsionit pasiv të personave që ushtrojnë funksione publike apo funksionarëve të lartë shtetëror ose të zgjedhurve vendor</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xml:space="preserve">,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Mashtrim</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xml:space="preserve">,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Vjedhje duke shpërdoruar detyrën</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xml:space="preserve">,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Falsifikim të dokumenteve</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etj., pra, jo automatikisht në një procedurë prokurimi mund të kemi veprën penale të parashikuar nga neni 258 të K</w:t>
      </w:r>
      <w:r w:rsidR="0005213F" w:rsidRPr="005522F5">
        <w:rPr>
          <w:rFonts w:ascii="Times New Roman" w:hAnsi="Times New Roman"/>
          <w:color w:val="000000" w:themeColor="text1"/>
          <w:lang w:val="sq-AL"/>
        </w:rPr>
        <w:t xml:space="preserve">odit </w:t>
      </w:r>
      <w:r w:rsidRPr="005522F5">
        <w:rPr>
          <w:rFonts w:ascii="Times New Roman" w:hAnsi="Times New Roman"/>
          <w:color w:val="000000" w:themeColor="text1"/>
          <w:lang w:val="sq-AL"/>
        </w:rPr>
        <w:t>Penal dhe nga ana tjetër, ligji e lidh kompetencën lëndore të gjykatës me veprat penale përkatëse dhe jo me lëndën që hetohet. Nëse një gjë të tillë mund të pranohet në fillim kur regjistrohet procedimi penal dhe kryen hetimet e para, nëse hetimet kanë vijuar dhe prokuroria ka bërë një cilësim përkatës të fakteve penale, gjyqtari i seancës paraprake do të duhet të analizojë, me provat e paraqitura të mbledhura gjatë hetimeve paraprake, se përse nuk jemi para veprës penale të regjistruar, por para një vepre tjetër penale, që passjell më pas edhe moskompetencën e prokurorisë që ka proceduar për të hetuar çështjen.</w:t>
      </w:r>
    </w:p>
    <w:p w14:paraId="43C78BB1" w14:textId="1D9AA36F" w:rsidR="00990CD2" w:rsidRPr="005522F5" w:rsidRDefault="00990CD2" w:rsidP="0005213F">
      <w:pPr>
        <w:pStyle w:val="ListParagraph"/>
        <w:numPr>
          <w:ilvl w:val="1"/>
          <w:numId w:val="11"/>
        </w:numPr>
        <w:tabs>
          <w:tab w:val="left" w:pos="540"/>
        </w:tabs>
        <w:ind w:left="0" w:firstLine="360"/>
        <w:jc w:val="both"/>
        <w:rPr>
          <w:rFonts w:ascii="Times New Roman" w:eastAsia="Calibri" w:hAnsi="Times New Roman"/>
          <w:bCs/>
          <w:color w:val="000000" w:themeColor="text1"/>
          <w:lang w:val="sq-AL" w:bidi="ar-SA"/>
        </w:rPr>
      </w:pPr>
      <w:r w:rsidRPr="005522F5">
        <w:rPr>
          <w:rFonts w:ascii="Times New Roman" w:hAnsi="Times New Roman"/>
          <w:color w:val="000000" w:themeColor="text1"/>
          <w:lang w:val="sq-AL"/>
        </w:rPr>
        <w:t>Gjithashtu, argument tjetër i gjyqtarit të seancës paraprake është edhe se, çështja nuk duhej të ndahej nga prokurori, pasi nga ndarja e saj dëmtohet vërtetimi i fakteve, duke pasur parasysh se të gjithë personat e dyshuar kanë vepruar ose mosvepruar në të njëjtën procedurë tenderi dhe nuk ekzistojnë rastet e parashikuara në nenin 93 të K</w:t>
      </w:r>
      <w:r w:rsidR="0005213F" w:rsidRPr="005522F5">
        <w:rPr>
          <w:rFonts w:ascii="Times New Roman" w:hAnsi="Times New Roman"/>
          <w:color w:val="000000" w:themeColor="text1"/>
          <w:lang w:val="sq-AL"/>
        </w:rPr>
        <w:t>PP</w:t>
      </w:r>
      <w:r w:rsidRPr="005522F5">
        <w:rPr>
          <w:rFonts w:ascii="Times New Roman" w:hAnsi="Times New Roman"/>
          <w:color w:val="000000" w:themeColor="text1"/>
          <w:lang w:val="sq-AL"/>
        </w:rPr>
        <w:t>. Po ashtu, sipas nenit 80 të K</w:t>
      </w:r>
      <w:r w:rsidR="0005213F" w:rsidRPr="005522F5">
        <w:rPr>
          <w:rFonts w:ascii="Times New Roman" w:hAnsi="Times New Roman"/>
          <w:color w:val="000000" w:themeColor="text1"/>
          <w:lang w:val="sq-AL"/>
        </w:rPr>
        <w:t>PP</w:t>
      </w:r>
      <w:r w:rsidRPr="005522F5">
        <w:rPr>
          <w:rFonts w:ascii="Times New Roman" w:hAnsi="Times New Roman"/>
          <w:color w:val="000000" w:themeColor="text1"/>
          <w:lang w:val="sq-AL"/>
        </w:rPr>
        <w:t>, edhe në qoftë se rasti përmban procedime të lidhura ndërmjet tyre dhe që nuk mund të ndahen, nga të cilët një ose disa janë kompetencë e GJKKO dhe procedimet e tjera në kompetencë të gjykatave të tjera të shkallës së parë, kompetente është GJKKO. Ndërkohë që gjyqtari ka ardhur në dijeni të faktit që drejtuesi i Prokurorisë së Posaçme nuk ka pranuar aktet në kuadër të procedimit penal nr. 238/1 të vitit 2021, pasi një fakt i tillë është përmendur edhe në vendimin e gjykatës që ka deklaruar moskompetencën lëndore.</w:t>
      </w:r>
      <w:r w:rsidR="00CC6DB9" w:rsidRPr="005522F5">
        <w:rPr>
          <w:rFonts w:ascii="Times New Roman" w:hAnsi="Times New Roman"/>
          <w:color w:val="000000" w:themeColor="text1"/>
          <w:lang w:val="sq-AL"/>
        </w:rPr>
        <w:t xml:space="preserve"> </w:t>
      </w:r>
      <w:r w:rsidRPr="005522F5">
        <w:rPr>
          <w:rFonts w:ascii="Times New Roman" w:hAnsi="Times New Roman"/>
          <w:color w:val="000000" w:themeColor="text1"/>
          <w:lang w:val="sq-AL"/>
        </w:rPr>
        <w:t>Edhe në këtë rast, me këtë argument, vlerësoj se çështja do të duhej të kthehej në prokurori, me qëllim që prokurori të bënte bashkimin e çështjes dhe ajo të gjykohej si një çështje e vetme, duke qenë se veprimet ose mosveprimet e të gjithë personave në hetim në këtë rast, janë kryer gjatë të njëjtës procedure prokurimi publik.</w:t>
      </w:r>
    </w:p>
    <w:p w14:paraId="5946E4D5" w14:textId="173E3615" w:rsidR="00990CD2" w:rsidRPr="005522F5" w:rsidRDefault="00990CD2" w:rsidP="0005213F">
      <w:pPr>
        <w:pStyle w:val="ListParagraph"/>
        <w:numPr>
          <w:ilvl w:val="1"/>
          <w:numId w:val="11"/>
        </w:numPr>
        <w:tabs>
          <w:tab w:val="left" w:pos="540"/>
        </w:tabs>
        <w:ind w:left="0" w:firstLine="360"/>
        <w:jc w:val="both"/>
        <w:rPr>
          <w:rFonts w:ascii="Times New Roman" w:eastAsia="Calibri" w:hAnsi="Times New Roman"/>
          <w:bCs/>
          <w:color w:val="000000" w:themeColor="text1"/>
          <w:lang w:val="sq-AL" w:bidi="ar-SA"/>
        </w:rPr>
      </w:pPr>
      <w:r w:rsidRPr="005522F5">
        <w:rPr>
          <w:rFonts w:ascii="Times New Roman" w:hAnsi="Times New Roman"/>
          <w:color w:val="000000" w:themeColor="text1"/>
          <w:lang w:val="sq-AL"/>
        </w:rPr>
        <w:t xml:space="preserve">Sa më lart, në rastin objekt gjykimi, gjyqtari i seancës paraprake duhet të vlerësonte përsa ka paraqitur Prokuroria pranë Gjykatës së Shkallës së Parë të Juridiksionit të Përgjithshëm Kukës. Në rast të një vlerësimi të ndryshëm, të fakteve penale apo vlerësimi të ndryshëm të çështjes, duke mos qenë </w:t>
      </w:r>
      <w:r w:rsidR="0005213F" w:rsidRPr="005522F5">
        <w:rPr>
          <w:rFonts w:ascii="Times New Roman" w:hAnsi="Times New Roman"/>
          <w:color w:val="000000" w:themeColor="text1"/>
          <w:lang w:val="sq-AL"/>
        </w:rPr>
        <w:t>dakord</w:t>
      </w:r>
      <w:r w:rsidRPr="005522F5">
        <w:rPr>
          <w:rFonts w:ascii="Times New Roman" w:hAnsi="Times New Roman"/>
          <w:color w:val="000000" w:themeColor="text1"/>
          <w:lang w:val="sq-AL"/>
        </w:rPr>
        <w:t xml:space="preserve"> me pushimin e çështjes, gjyqtari duhet të kthejë aktet në prokurori, duke dhënë orientimet përkatëse apo duke lënë detyrat përkatëse, por jo vetëm mbi bazën të objektit material që hetohet, të konkludojë mbi moskompetencën lëndore të gjykatës, pasi ai është </w:t>
      </w:r>
      <w:r w:rsidR="0005213F" w:rsidRPr="005522F5">
        <w:rPr>
          <w:rFonts w:ascii="Times New Roman" w:hAnsi="Times New Roman"/>
          <w:color w:val="000000" w:themeColor="text1"/>
          <w:lang w:val="sq-AL"/>
        </w:rPr>
        <w:t>konstituuar</w:t>
      </w:r>
      <w:r w:rsidRPr="005522F5">
        <w:rPr>
          <w:rFonts w:ascii="Times New Roman" w:hAnsi="Times New Roman"/>
          <w:color w:val="000000" w:themeColor="text1"/>
          <w:lang w:val="sq-AL"/>
        </w:rPr>
        <w:t xml:space="preserve"> për t'u shprehur pikërisht mbi atë kërkesë të prokurorisë. Një veprim i tillë, shmang prokurorinë si organi kompetent për ushtrimin e ndjekjes penale ndërsa, në seancë paraprake, duhet thënë se gjyqtari nuk bën vetëm vlerësime procedurale, pasi tashmë çështja hetimore ka avancuar dhe madje prokuroria ka përmbyllur hetimet dhe ka konkluduar me pushimin e çështjes, pra procedimi penal ka pasur një progres, në raport me regjistrimin fillestar.</w:t>
      </w:r>
    </w:p>
    <w:p w14:paraId="5518C966" w14:textId="3699DBC8" w:rsidR="00F507FB" w:rsidRPr="005522F5" w:rsidRDefault="00990CD2" w:rsidP="0005213F">
      <w:pPr>
        <w:pStyle w:val="ListParagraph"/>
        <w:numPr>
          <w:ilvl w:val="1"/>
          <w:numId w:val="11"/>
        </w:numPr>
        <w:tabs>
          <w:tab w:val="left" w:pos="540"/>
        </w:tabs>
        <w:ind w:left="0" w:firstLine="360"/>
        <w:jc w:val="both"/>
        <w:rPr>
          <w:rFonts w:ascii="Times New Roman" w:eastAsia="Calibri" w:hAnsi="Times New Roman"/>
          <w:bCs/>
          <w:color w:val="000000" w:themeColor="text1"/>
          <w:lang w:val="sq-AL" w:bidi="ar-SA"/>
        </w:rPr>
      </w:pPr>
      <w:r w:rsidRPr="005522F5">
        <w:rPr>
          <w:rFonts w:ascii="Times New Roman" w:hAnsi="Times New Roman"/>
          <w:color w:val="000000" w:themeColor="text1"/>
          <w:lang w:val="sq-AL"/>
        </w:rPr>
        <w:t xml:space="preserve">Përsa sipër, vlerësoj se çështja me objekt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xml:space="preserve">Pushimin e çështjes që i përket procedimit penal nr. 238, viti 2021 për veprën penale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Shpërdorimi i detyrës</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parashikuar nga neni 248 të K</w:t>
      </w:r>
      <w:r w:rsidR="0005213F" w:rsidRPr="005522F5">
        <w:rPr>
          <w:rFonts w:ascii="Times New Roman" w:hAnsi="Times New Roman"/>
          <w:color w:val="000000" w:themeColor="text1"/>
          <w:lang w:val="sq-AL"/>
        </w:rPr>
        <w:t xml:space="preserve">odit </w:t>
      </w:r>
      <w:r w:rsidRPr="005522F5">
        <w:rPr>
          <w:rFonts w:ascii="Times New Roman" w:hAnsi="Times New Roman"/>
          <w:color w:val="000000" w:themeColor="text1"/>
          <w:lang w:val="sq-AL"/>
        </w:rPr>
        <w:t>Penal, në ngarkim të personave nën hetim Mustafë Vatoci, Shaban Demiraj dhe Pal Rosaj, për shkak se nuk jemi përpara kryerjes së veprës penale</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xml:space="preserve">, është në kompetencë lëndore dhe tokësore të Gjykatës së Shkallës së Parë të Juridiksionit të Përgjithshëm Kukës dhe është pikërisht kjo gjykatë që duhet të shprehet për këtë kërkesë të </w:t>
      </w:r>
      <w:r w:rsidR="0005213F" w:rsidRPr="005522F5">
        <w:rPr>
          <w:rFonts w:ascii="Times New Roman" w:hAnsi="Times New Roman"/>
          <w:color w:val="000000" w:themeColor="text1"/>
          <w:lang w:val="sq-AL"/>
        </w:rPr>
        <w:t>p</w:t>
      </w:r>
      <w:r w:rsidRPr="005522F5">
        <w:rPr>
          <w:rFonts w:ascii="Times New Roman" w:hAnsi="Times New Roman"/>
          <w:color w:val="000000" w:themeColor="text1"/>
          <w:lang w:val="sq-AL"/>
        </w:rPr>
        <w:t xml:space="preserve">rokurorisë pranë kësaj </w:t>
      </w:r>
      <w:r w:rsidR="0005213F" w:rsidRPr="005522F5">
        <w:rPr>
          <w:rFonts w:ascii="Times New Roman" w:hAnsi="Times New Roman"/>
          <w:color w:val="000000" w:themeColor="text1"/>
          <w:lang w:val="sq-AL"/>
        </w:rPr>
        <w:t>g</w:t>
      </w:r>
      <w:r w:rsidRPr="005522F5">
        <w:rPr>
          <w:rFonts w:ascii="Times New Roman" w:hAnsi="Times New Roman"/>
          <w:color w:val="000000" w:themeColor="text1"/>
          <w:lang w:val="sq-AL"/>
        </w:rPr>
        <w:t xml:space="preserve">jykate, duke qenë se ajo prokurori ka kryer hetime dhe në përfundim të hetimeve paraprake ka dalë më vendimin për pushimin e çështjes. Gjatë shqyrtimit të kësaj kërkese, nëse gjyqtari nuk ndan të njëjtin qëndrim me organin e akuzës e cila do të çonte në zbatimin e nenit 329, pika 3, shkronja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a</w:t>
      </w:r>
      <w:r w:rsidR="0005213F" w:rsidRPr="005522F5">
        <w:rPr>
          <w:rFonts w:ascii="Times New Roman" w:hAnsi="Times New Roman"/>
          <w:color w:val="000000" w:themeColor="text1"/>
          <w:lang w:val="sq-AL"/>
        </w:rPr>
        <w:t xml:space="preserve">” </w:t>
      </w:r>
      <w:r w:rsidRPr="005522F5">
        <w:rPr>
          <w:rFonts w:ascii="Times New Roman" w:hAnsi="Times New Roman"/>
          <w:color w:val="000000" w:themeColor="text1"/>
          <w:lang w:val="sq-AL"/>
        </w:rPr>
        <w:t>të K</w:t>
      </w:r>
      <w:r w:rsidR="0005213F" w:rsidRPr="005522F5">
        <w:rPr>
          <w:rFonts w:ascii="Times New Roman" w:hAnsi="Times New Roman"/>
          <w:color w:val="000000" w:themeColor="text1"/>
          <w:lang w:val="sq-AL"/>
        </w:rPr>
        <w:t>PP</w:t>
      </w:r>
      <w:r w:rsidRPr="005522F5">
        <w:rPr>
          <w:rFonts w:ascii="Times New Roman" w:hAnsi="Times New Roman"/>
          <w:color w:val="000000" w:themeColor="text1"/>
          <w:lang w:val="sq-AL"/>
        </w:rPr>
        <w:t xml:space="preserve">, atëherë duhet të disponojë sipas njërës së mënyrave të parashikuara nga shkronjat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b</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xml:space="preserve"> apo “c” të pikës 3 të kësaj dispozite ligjore. Gjykata vendos kthimin e akteve prokurorit dhe vazhdimin e hetimeve, kur çmon se ato janë të paplota, duke përcaktuar drejtimet e thellimit të tyre dhe, kur është rasti, edhe veprimet që duhet të kryhen, si dhe cakton afatin brenda të cilit hetimet duhet të përfundojnë, ose kthimin e akteve prokurorit, duke e urdhëruar që të formulojë akuzë dhe të paraqesë kërkesë për gjykimin e çështjes, kur çmon se hetimet janë të plota dhe rezulton se ka prova të mjaftueshme për të mbështetur akuzën në gjyq.</w:t>
      </w:r>
    </w:p>
    <w:p w14:paraId="083786B8" w14:textId="273AFB70" w:rsidR="00990CD2" w:rsidRPr="005522F5" w:rsidRDefault="00990CD2" w:rsidP="0005213F">
      <w:pPr>
        <w:pStyle w:val="ListParagraph"/>
        <w:numPr>
          <w:ilvl w:val="1"/>
          <w:numId w:val="11"/>
        </w:numPr>
        <w:tabs>
          <w:tab w:val="left" w:pos="540"/>
        </w:tabs>
        <w:ind w:left="0" w:firstLine="360"/>
        <w:jc w:val="both"/>
        <w:rPr>
          <w:rFonts w:ascii="Times New Roman" w:eastAsia="Calibri" w:hAnsi="Times New Roman"/>
          <w:bCs/>
          <w:color w:val="000000" w:themeColor="text1"/>
          <w:lang w:val="sq-AL" w:bidi="ar-SA"/>
        </w:rPr>
      </w:pPr>
      <w:r w:rsidRPr="005522F5">
        <w:rPr>
          <w:rFonts w:ascii="Times New Roman" w:hAnsi="Times New Roman"/>
          <w:color w:val="000000" w:themeColor="text1"/>
          <w:lang w:val="sq-AL"/>
        </w:rPr>
        <w:t>Pavarësisht të drejtës së gjyqtarit që të urdhërojë prokurorin që të formulojë akuzë, që në fakt është një përjashtim nga rregullat e përgjithshme pasi ushtrimi i ndjekjes penale është në fakt e drejtë dhe njëkohësisht detyrim kushtetues dhe ligjor i organit të akuzës, referuar pikës 4, të nenit 329 të K</w:t>
      </w:r>
      <w:r w:rsidR="0005213F" w:rsidRPr="005522F5">
        <w:rPr>
          <w:rFonts w:ascii="Times New Roman" w:hAnsi="Times New Roman"/>
          <w:color w:val="000000" w:themeColor="text1"/>
          <w:lang w:val="sq-AL"/>
        </w:rPr>
        <w:t>PP</w:t>
      </w:r>
      <w:r w:rsidRPr="005522F5">
        <w:rPr>
          <w:rFonts w:ascii="Times New Roman" w:hAnsi="Times New Roman"/>
          <w:color w:val="000000" w:themeColor="text1"/>
          <w:lang w:val="sq-AL"/>
        </w:rPr>
        <w:t xml:space="preserve">, gjykata nuk mund të urdhërojë prokurorin që të formulojë akuzë për persona të tjerë, emri i të cilëve nuk është regjistruar sipas nenit 287 të këtij Kodi. Kur nga aktet rezultojnë të dhëna për vepra penale të tjera, që ndiqen kryesisht ose në ngarkim të personave të tjerë, gjykata mund të kërkojë që të kryhen hetime, edhe në rastet kur vendos sipas shkronjës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c</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të paragrafit 3, të këtij neni.</w:t>
      </w:r>
      <w:r w:rsidR="00CC6DB9" w:rsidRPr="005522F5">
        <w:rPr>
          <w:rFonts w:ascii="Times New Roman" w:hAnsi="Times New Roman"/>
          <w:color w:val="000000" w:themeColor="text1"/>
          <w:lang w:val="sq-AL"/>
        </w:rPr>
        <w:t xml:space="preserve"> </w:t>
      </w:r>
      <w:r w:rsidRPr="005522F5">
        <w:rPr>
          <w:rFonts w:ascii="Times New Roman" w:hAnsi="Times New Roman"/>
          <w:color w:val="000000" w:themeColor="text1"/>
          <w:lang w:val="sq-AL"/>
        </w:rPr>
        <w:t>Gjyqtarit që shqyrton kërkesën e prokurorit për pushimin e çështjes nuk i lejohet vendimmarrje tjetër, përveç sa parashikon dispozita ligjore. Në rast se brenda këtij disponimi, gjyqtari vlerëson se kualifikimi i veprës penale nga ana e organit të akuzës është jo i duhuri, por vepra penale duhet kualifikuar ndryshe, gjë që e bën jokompetente prokurorinë që ka proceduar deri në atë moment, këtë gjë duhet të arsyetojë në vendimmarrjen e tij, duke i kërkuar organit procedues që të ndryshojë cilësimin juridik të veprës penale, gjë që passjell më pas deklarimin e moskompetencës lëndore të prokurorisë për të vijuar hetimet apo për të konkluduar përfundimisht lidhur me akuzat penale në ngarkim të personave nën hetim. Mirëpo disponimin në këtë rast do të duhet ta bëjë prokuroria. Pranimi i akteve nga prokuroria tjetër, së cilës i transferohen aktet, do të duhet të ketë në konsideratë edhe vendimmarrjen e gjykatës që ka "detyruar në njëfarë mënyre" prokurorin të ndryshojë cilësimin juridik të veprës penale nën hetim, kjo për të shmangur çdo lloj situate që do të çonte në ngërç procedimin penal.</w:t>
      </w:r>
    </w:p>
    <w:p w14:paraId="509C345E" w14:textId="2F53F897" w:rsidR="00990CD2" w:rsidRPr="005522F5" w:rsidRDefault="00990CD2" w:rsidP="0005213F">
      <w:pPr>
        <w:pStyle w:val="ListParagraph"/>
        <w:numPr>
          <w:ilvl w:val="1"/>
          <w:numId w:val="11"/>
        </w:numPr>
        <w:tabs>
          <w:tab w:val="left" w:pos="540"/>
        </w:tabs>
        <w:ind w:left="0" w:firstLine="360"/>
        <w:jc w:val="both"/>
        <w:rPr>
          <w:rFonts w:ascii="Times New Roman" w:eastAsia="Calibri" w:hAnsi="Times New Roman"/>
          <w:bCs/>
          <w:color w:val="000000" w:themeColor="text1"/>
          <w:lang w:val="sq-AL" w:bidi="ar-SA"/>
        </w:rPr>
      </w:pPr>
      <w:r w:rsidRPr="005522F5">
        <w:rPr>
          <w:rFonts w:ascii="Times New Roman" w:hAnsi="Times New Roman"/>
          <w:color w:val="000000" w:themeColor="text1"/>
          <w:lang w:val="sq-AL"/>
        </w:rPr>
        <w:t>Vetëm në rast të gjykimit të kërkesës për dërgimin e çështjes në gjyq, mund të procedohet në seancë paraprake me komunikimin e akuzave të reja në seancë nga ana e prokurorit, apo me ndryshimin e kualifikimit/cilësimit juridik të veprës penale nga ana e gjykatës, sipas nenit 332/d të K</w:t>
      </w:r>
      <w:r w:rsidR="0005213F" w:rsidRPr="005522F5">
        <w:rPr>
          <w:rFonts w:ascii="Times New Roman" w:hAnsi="Times New Roman"/>
          <w:color w:val="000000" w:themeColor="text1"/>
          <w:lang w:val="sq-AL"/>
        </w:rPr>
        <w:t>PP</w:t>
      </w:r>
      <w:r w:rsidRPr="005522F5">
        <w:rPr>
          <w:rFonts w:ascii="Times New Roman" w:hAnsi="Times New Roman"/>
          <w:color w:val="000000" w:themeColor="text1"/>
          <w:lang w:val="sq-AL"/>
        </w:rPr>
        <w:t xml:space="preserve">, madje edhe në këtë rast sikurse më sipër u evidentua, gjykata vetëm parashtron qëndrimin e saj, pasi vendimmarrja në çdo rast i takon prokurorisë. Në përfundim të seancës paraprake për dërgimin e çështjes në gjyq, mundet që gjykata, ndër të tjera, të disponojë edhe me deklarimin e moskompetencës dhe dërgimin e çështjes në gjykatën kompetente në rastet e parashikuara në ligj, në zbatim të nenit 332/dh, pika 1, shkronja </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d</w:t>
      </w:r>
      <w:r w:rsidR="0005213F" w:rsidRPr="005522F5">
        <w:rPr>
          <w:rFonts w:ascii="Times New Roman" w:hAnsi="Times New Roman"/>
          <w:color w:val="000000" w:themeColor="text1"/>
          <w:lang w:val="sq-AL"/>
        </w:rPr>
        <w:t>”</w:t>
      </w:r>
      <w:r w:rsidRPr="005522F5">
        <w:rPr>
          <w:rFonts w:ascii="Times New Roman" w:hAnsi="Times New Roman"/>
          <w:color w:val="000000" w:themeColor="text1"/>
          <w:lang w:val="sq-AL"/>
        </w:rPr>
        <w:t xml:space="preserve"> të K</w:t>
      </w:r>
      <w:r w:rsidR="0005213F" w:rsidRPr="005522F5">
        <w:rPr>
          <w:rFonts w:ascii="Times New Roman" w:hAnsi="Times New Roman"/>
          <w:color w:val="000000" w:themeColor="text1"/>
          <w:lang w:val="sq-AL"/>
        </w:rPr>
        <w:t>PP</w:t>
      </w:r>
      <w:r w:rsidRPr="005522F5">
        <w:rPr>
          <w:rFonts w:ascii="Times New Roman" w:hAnsi="Times New Roman"/>
          <w:color w:val="000000" w:themeColor="text1"/>
          <w:lang w:val="sq-AL"/>
        </w:rPr>
        <w:t>, por jo gjatë gjykimit të çështjes për pushimin e akuzës/çështjes penale të paraqitur nga prokuroria.</w:t>
      </w:r>
      <w:r w:rsidR="00CC6DB9" w:rsidRPr="005522F5">
        <w:rPr>
          <w:rFonts w:ascii="Times New Roman" w:hAnsi="Times New Roman"/>
          <w:color w:val="000000" w:themeColor="text1"/>
          <w:lang w:val="sq-AL"/>
        </w:rPr>
        <w:t xml:space="preserve"> </w:t>
      </w:r>
      <w:r w:rsidRPr="005522F5">
        <w:rPr>
          <w:rFonts w:ascii="Times New Roman" w:hAnsi="Times New Roman"/>
          <w:color w:val="000000" w:themeColor="text1"/>
          <w:lang w:val="sq-AL"/>
        </w:rPr>
        <w:t xml:space="preserve">Përsa sipër, duke qenë se nuk ndaj të njëjtin qëndrim me gjyqtarin që ka vendosur deklarimin e moskompetencës lëndore në këtë rast, lidhur me kompetencës lëndore të gjykatës kompetente që duhet të shprehet për kërkesën e paraqitur, parashtroj çështjen e mosmarrëveshjes së kompetencës lëndore Gjykatës së Lartë me anë të këtij vendimi gjyqësor. </w:t>
      </w:r>
    </w:p>
    <w:p w14:paraId="1C1E9367" w14:textId="77777777" w:rsidR="00CC6DB9" w:rsidRPr="005522F5" w:rsidRDefault="00CC6DB9" w:rsidP="00C6342A">
      <w:pPr>
        <w:pStyle w:val="ListParagraph"/>
        <w:tabs>
          <w:tab w:val="left" w:pos="540"/>
        </w:tabs>
        <w:ind w:left="180"/>
        <w:jc w:val="both"/>
        <w:rPr>
          <w:rFonts w:ascii="Times New Roman" w:eastAsia="Calibri" w:hAnsi="Times New Roman"/>
          <w:bCs/>
          <w:color w:val="000000" w:themeColor="text1"/>
          <w:lang w:val="sq-AL" w:bidi="ar-SA"/>
        </w:rPr>
      </w:pPr>
    </w:p>
    <w:p w14:paraId="489F4A3A" w14:textId="614922C7" w:rsidR="00CC6DB9" w:rsidRPr="005522F5" w:rsidRDefault="00CC6DB9" w:rsidP="0005213F">
      <w:pPr>
        <w:pStyle w:val="ListParagraph"/>
        <w:numPr>
          <w:ilvl w:val="0"/>
          <w:numId w:val="10"/>
        </w:numPr>
        <w:shd w:val="clear" w:color="auto" w:fill="FFFFFF"/>
        <w:ind w:left="720" w:hanging="360"/>
        <w:jc w:val="both"/>
        <w:rPr>
          <w:rFonts w:ascii="Times New Roman" w:hAnsi="Times New Roman"/>
          <w:b/>
          <w:color w:val="000000" w:themeColor="text1"/>
          <w:kern w:val="2"/>
          <w:lang w:val="sq-AL"/>
          <w14:ligatures w14:val="standardContextual"/>
        </w:rPr>
      </w:pPr>
      <w:r w:rsidRPr="005522F5">
        <w:rPr>
          <w:rFonts w:ascii="Times New Roman" w:hAnsi="Times New Roman"/>
          <w:b/>
          <w:color w:val="000000" w:themeColor="text1"/>
          <w:kern w:val="2"/>
          <w:lang w:val="sq-AL"/>
          <w14:ligatures w14:val="standardContextual"/>
        </w:rPr>
        <w:t xml:space="preserve">Vlerësimi i Kolegjit Penal </w:t>
      </w:r>
    </w:p>
    <w:p w14:paraId="21EF6F89" w14:textId="77777777" w:rsidR="00CC6DB9" w:rsidRPr="005522F5" w:rsidRDefault="00CC6DB9" w:rsidP="00C6342A">
      <w:pPr>
        <w:jc w:val="center"/>
        <w:rPr>
          <w:rFonts w:ascii="Times New Roman" w:eastAsia="Calibri" w:hAnsi="Times New Roman"/>
          <w:b/>
          <w:color w:val="000000" w:themeColor="text1"/>
          <w:lang w:bidi="ar-SA"/>
        </w:rPr>
      </w:pPr>
    </w:p>
    <w:p w14:paraId="5634A71C" w14:textId="49E85FBA" w:rsidR="00244AA0" w:rsidRPr="005522F5" w:rsidRDefault="0005213F" w:rsidP="0005213F">
      <w:pPr>
        <w:pStyle w:val="ListParagraph"/>
        <w:numPr>
          <w:ilvl w:val="0"/>
          <w:numId w:val="11"/>
        </w:numPr>
        <w:tabs>
          <w:tab w:val="left" w:pos="540"/>
        </w:tabs>
        <w:ind w:left="0" w:firstLine="360"/>
        <w:jc w:val="both"/>
        <w:rPr>
          <w:rFonts w:ascii="Times New Roman" w:hAnsi="Times New Roman"/>
          <w:iCs/>
          <w:color w:val="000000" w:themeColor="text1"/>
          <w:kern w:val="2"/>
          <w:lang w:val="sq-AL"/>
          <w14:ligatures w14:val="standardContextual"/>
        </w:rPr>
      </w:pPr>
      <w:r w:rsidRPr="005522F5">
        <w:rPr>
          <w:rFonts w:ascii="Times New Roman" w:hAnsi="Times New Roman"/>
          <w:color w:val="000000" w:themeColor="text1"/>
          <w:kern w:val="2"/>
          <w:lang w:val="sq-AL"/>
          <w14:ligatures w14:val="standardContextual"/>
        </w:rPr>
        <w:t xml:space="preserve"> </w:t>
      </w:r>
      <w:r w:rsidR="00CC6DB9" w:rsidRPr="005522F5">
        <w:rPr>
          <w:rFonts w:ascii="Times New Roman" w:hAnsi="Times New Roman"/>
          <w:color w:val="000000" w:themeColor="text1"/>
          <w:kern w:val="2"/>
          <w:lang w:val="sq-AL"/>
          <w14:ligatures w14:val="standardContextual"/>
        </w:rPr>
        <w:t xml:space="preserve">Kodi i Procedurës Penale, në Kreun II, seksionin V, i titulluar “Mosmarrëveshjet për kompetencat”, nenet 89, 90 dhe 91 të tij, ka parashikuar rastet e mosmarrëveshjeve (midis gjykatave), mënyrën e parashtrimit të tyre dhe zgjidhjen. Neni 89/1 i KPP parashikon se: </w:t>
      </w:r>
      <w:r w:rsidR="00CC6DB9" w:rsidRPr="005522F5">
        <w:rPr>
          <w:rFonts w:ascii="Times New Roman" w:hAnsi="Times New Roman"/>
          <w:i/>
          <w:color w:val="000000" w:themeColor="text1"/>
          <w:kern w:val="2"/>
          <w:lang w:val="sq-AL"/>
          <w14:ligatures w14:val="standardContextual"/>
        </w:rPr>
        <w:t>“Ka mosmarrëveshje, në çdo gjendje a shkallë të procedimit, kur dy a më shumë gjykata, në të njëjtën kohë, marrin ose nuk pranojnë të marrin për shqyrtim të njëjtën akuzë, që i atribuohet të njëjtit person.”</w:t>
      </w:r>
      <w:r w:rsidR="00CC6DB9" w:rsidRPr="005522F5">
        <w:rPr>
          <w:rFonts w:ascii="Times New Roman" w:hAnsi="Times New Roman"/>
          <w:iCs/>
          <w:color w:val="000000" w:themeColor="text1"/>
          <w:kern w:val="2"/>
          <w:lang w:val="sq-AL"/>
          <w14:ligatures w14:val="standardContextual"/>
        </w:rPr>
        <w:t xml:space="preserve">. Neni 90 i këtij Kodi parashikon parashtrimin e mosmarrëveshjes në këtë mënyrë: </w:t>
      </w:r>
      <w:r w:rsidR="00CC6DB9" w:rsidRPr="005522F5">
        <w:rPr>
          <w:rFonts w:ascii="Times New Roman" w:hAnsi="Times New Roman"/>
          <w:i/>
          <w:color w:val="000000" w:themeColor="text1"/>
          <w:kern w:val="2"/>
          <w:lang w:val="sq-AL"/>
          <w14:ligatures w14:val="standardContextual"/>
        </w:rPr>
        <w:t xml:space="preserve">“Mosmarrëveshja mund të parashtrohet nga prokurori pranë njërës prej gjykatave në mosmarrëveshje ose nga i pandehuri dhe palët private. Parashtrimi paraqitet në sekretarinë e njërës prej gjykatave në mosmarrëveshje, me kërkesë të shkruar e të motivuar, të cilës i bashkohet dokumentacioni i nevojshëm. 2. Gjykata </w:t>
      </w:r>
      <w:bookmarkStart w:id="2" w:name="_Hlk222219013"/>
      <w:r w:rsidR="00CC6DB9" w:rsidRPr="005522F5">
        <w:rPr>
          <w:rFonts w:ascii="Times New Roman" w:hAnsi="Times New Roman"/>
          <w:i/>
          <w:color w:val="000000" w:themeColor="text1"/>
          <w:kern w:val="2"/>
          <w:lang w:val="sq-AL"/>
          <w14:ligatures w14:val="standardContextual"/>
        </w:rPr>
        <w:t>që ngre çështjen e mosmarrëveshjes</w:t>
      </w:r>
      <w:bookmarkEnd w:id="2"/>
      <w:r w:rsidR="00CC6DB9" w:rsidRPr="005522F5">
        <w:rPr>
          <w:rFonts w:ascii="Times New Roman" w:hAnsi="Times New Roman"/>
          <w:i/>
          <w:color w:val="000000" w:themeColor="text1"/>
          <w:kern w:val="2"/>
          <w:lang w:val="sq-AL"/>
          <w14:ligatures w14:val="standardContextual"/>
        </w:rPr>
        <w:t>, merr vendim, me të cilin i paraqet Gjykatës së Lartë kopjen e akteve të nevojshme për zgjidhjen e saj, duke treguar palët dhe mbrojtësit. 3. Gjykata që ka dhënë vendimin, njofton menjëherë gjykatën në mosmarrëveshje.”</w:t>
      </w:r>
      <w:r w:rsidR="00CC6DB9" w:rsidRPr="005522F5">
        <w:rPr>
          <w:rFonts w:ascii="Times New Roman" w:hAnsi="Times New Roman"/>
          <w:iCs/>
          <w:color w:val="000000" w:themeColor="text1"/>
          <w:kern w:val="2"/>
          <w:lang w:val="sq-AL"/>
          <w14:ligatures w14:val="standardContextual"/>
        </w:rPr>
        <w:t xml:space="preserve">. Neni 91 i KPP parashikon se: </w:t>
      </w:r>
      <w:r w:rsidR="00CC6DB9" w:rsidRPr="005522F5">
        <w:rPr>
          <w:rFonts w:ascii="Times New Roman" w:hAnsi="Times New Roman"/>
          <w:i/>
          <w:color w:val="000000" w:themeColor="text1"/>
          <w:kern w:val="2"/>
          <w:lang w:val="sq-AL"/>
          <w14:ligatures w14:val="standardContextual"/>
        </w:rPr>
        <w:t>“1. Mosmarrëveshjet zgjidhen nga Gjykata e Lartë me vendim. Gjykata merr të dhënat, aktet dhe dokumentet që i çmon të nevojshme. 2. Vendimi u komunikohet menjëherë gjykatave në mosmarrëveshje, prokurorive përkatëse, të pandehurit dhe palëve private.”</w:t>
      </w:r>
      <w:r w:rsidR="00CC6DB9" w:rsidRPr="005522F5">
        <w:rPr>
          <w:rFonts w:ascii="Times New Roman" w:hAnsi="Times New Roman"/>
          <w:iCs/>
          <w:color w:val="000000" w:themeColor="text1"/>
          <w:kern w:val="2"/>
          <w:lang w:val="sq-AL"/>
          <w14:ligatures w14:val="standardContextual"/>
        </w:rPr>
        <w:t>.</w:t>
      </w:r>
      <w:r w:rsidR="00CC6DB9" w:rsidRPr="005522F5">
        <w:rPr>
          <w:rFonts w:ascii="Times New Roman" w:hAnsi="Times New Roman"/>
          <w:iCs/>
          <w:color w:val="000000" w:themeColor="text1"/>
          <w:kern w:val="2"/>
          <w:lang w:val="sq-AL" w:bidi="ar-SA"/>
          <w14:ligatures w14:val="standardContextual"/>
        </w:rPr>
        <w:t xml:space="preserve"> Neni 83 i KPP parashikon se: </w:t>
      </w:r>
      <w:r w:rsidRPr="005522F5">
        <w:rPr>
          <w:rFonts w:ascii="Times New Roman" w:hAnsi="Times New Roman"/>
          <w:i/>
          <w:color w:val="000000" w:themeColor="text1"/>
          <w:kern w:val="2"/>
          <w:lang w:val="sq-AL" w:bidi="ar-SA"/>
          <w14:ligatures w14:val="standardContextual"/>
        </w:rPr>
        <w:t>“</w:t>
      </w:r>
      <w:r w:rsidR="00CC6DB9" w:rsidRPr="005522F5">
        <w:rPr>
          <w:rFonts w:ascii="Times New Roman" w:hAnsi="Times New Roman"/>
          <w:i/>
          <w:color w:val="000000" w:themeColor="text1"/>
          <w:kern w:val="2"/>
          <w:lang w:val="sq-AL" w:bidi="ar-SA"/>
          <w14:ligatures w14:val="standardContextual"/>
        </w:rPr>
        <w:t>1. Moskompetenca lëndore ngrihet edhe kryesisht, në çdo e gjendje dhe shkallë të procesit.”</w:t>
      </w:r>
    </w:p>
    <w:p w14:paraId="4BC81348" w14:textId="5E260490" w:rsidR="00244AA0" w:rsidRPr="005522F5" w:rsidRDefault="0005213F" w:rsidP="0005213F">
      <w:pPr>
        <w:pStyle w:val="ListParagraph"/>
        <w:numPr>
          <w:ilvl w:val="0"/>
          <w:numId w:val="11"/>
        </w:numPr>
        <w:tabs>
          <w:tab w:val="left" w:pos="540"/>
        </w:tabs>
        <w:ind w:left="0" w:firstLine="360"/>
        <w:jc w:val="both"/>
        <w:rPr>
          <w:rFonts w:ascii="Times New Roman" w:hAnsi="Times New Roman"/>
          <w:iCs/>
          <w:color w:val="000000" w:themeColor="text1"/>
          <w:kern w:val="2"/>
          <w:lang w:val="sq-AL"/>
          <w14:ligatures w14:val="standardContextual"/>
        </w:rPr>
      </w:pPr>
      <w:r w:rsidRPr="005522F5">
        <w:rPr>
          <w:rFonts w:ascii="Times New Roman" w:eastAsia="Calibri" w:hAnsi="Times New Roman"/>
          <w:color w:val="000000" w:themeColor="text1"/>
          <w:lang w:val="sq-AL" w:bidi="ar-SA"/>
        </w:rPr>
        <w:t xml:space="preserve"> </w:t>
      </w:r>
      <w:r w:rsidR="00244AA0" w:rsidRPr="005522F5">
        <w:rPr>
          <w:rFonts w:ascii="Times New Roman" w:eastAsia="Calibri" w:hAnsi="Times New Roman"/>
          <w:color w:val="000000" w:themeColor="text1"/>
          <w:lang w:val="sq-AL" w:bidi="ar-SA"/>
        </w:rPr>
        <w:t>Në rastin konkret, objekti i shqyrtimit lidhet me kërkesën e prokurorit për pushimin e procedimit penal nr. 238/2021, të regjistruar dhe hetuar për veprën penale “Shpërdorimi i detyrës”, parashikuar nga neni 248 i Kodit Penal. Ky procedim është regjistruar nga prokuroria e juridiksionit të përgjithshëm, hetimet janë përfunduar prej saj dhe kërkesa për pushim është paraqitur pranë gjykatës së juridiksionit të përgjithshëm, si gjykata kompetente sipas nenit 74 KPP.</w:t>
      </w:r>
    </w:p>
    <w:p w14:paraId="1C496307" w14:textId="16A52CDE" w:rsidR="00F507FB" w:rsidRPr="005522F5" w:rsidRDefault="00244AA0" w:rsidP="0005213F">
      <w:pPr>
        <w:pStyle w:val="ListParagraph"/>
        <w:numPr>
          <w:ilvl w:val="0"/>
          <w:numId w:val="11"/>
        </w:numPr>
        <w:tabs>
          <w:tab w:val="left" w:pos="540"/>
        </w:tabs>
        <w:ind w:left="0" w:firstLine="360"/>
        <w:jc w:val="both"/>
        <w:rPr>
          <w:rFonts w:ascii="Times New Roman" w:hAnsi="Times New Roman"/>
          <w:iCs/>
          <w:color w:val="000000" w:themeColor="text1"/>
          <w:kern w:val="2"/>
          <w:lang w:val="sq-AL"/>
          <w14:ligatures w14:val="standardContextual"/>
        </w:rPr>
      </w:pPr>
      <w:r w:rsidRPr="005522F5">
        <w:rPr>
          <w:rFonts w:ascii="Times New Roman" w:eastAsia="Calibri" w:hAnsi="Times New Roman"/>
          <w:color w:val="000000" w:themeColor="text1"/>
          <w:lang w:val="sq-AL" w:bidi="ar-SA"/>
        </w:rPr>
        <w:t>Gjyqtari i seancës paraprake pranë gjykatës së juridiksionit të përgjithshëm ka shpallur moskompetencën lëndore, me arsyetimin se nga aktet rezultojnë dyshime për veprën penale “Shkelja e barazisë së pjesëmarrësve në tendera apo ankande publike” e parashikuar nga neni 258/2 i Kodit Penal, e cila sipas nenit 75/a KPP</w:t>
      </w:r>
      <w:r w:rsidRPr="005522F5">
        <w:rPr>
          <w:rFonts w:ascii="Times New Roman" w:eastAsia="Calibri" w:hAnsi="Times New Roman"/>
          <w:color w:val="000000" w:themeColor="text1"/>
          <w:vertAlign w:val="superscript"/>
          <w:lang w:val="sq-AL" w:bidi="ar-SA"/>
        </w:rPr>
        <w:footnoteReference w:id="1"/>
      </w:r>
      <w:r w:rsidRPr="005522F5">
        <w:rPr>
          <w:rFonts w:ascii="Times New Roman" w:eastAsia="Calibri" w:hAnsi="Times New Roman"/>
          <w:color w:val="000000" w:themeColor="text1"/>
          <w:lang w:val="sq-AL" w:bidi="ar-SA"/>
        </w:rPr>
        <w:t xml:space="preserve"> është në kompetencë 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ndore të Gjykat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Posa</w:t>
      </w:r>
      <w:r w:rsidR="00C742CD" w:rsidRPr="005522F5">
        <w:rPr>
          <w:rFonts w:ascii="Times New Roman" w:eastAsia="Calibri" w:hAnsi="Times New Roman"/>
          <w:color w:val="000000" w:themeColor="text1"/>
          <w:lang w:val="sq-AL" w:bidi="ar-SA"/>
        </w:rPr>
        <w:t>ç</w:t>
      </w:r>
      <w:r w:rsidRPr="005522F5">
        <w:rPr>
          <w:rFonts w:ascii="Times New Roman" w:eastAsia="Calibri" w:hAnsi="Times New Roman"/>
          <w:color w:val="000000" w:themeColor="text1"/>
          <w:lang w:val="sq-AL" w:bidi="ar-SA"/>
        </w:rPr>
        <w:t>me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Shkall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Par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 Korrupsionin dhe Krimin e Organizuar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vijim GJKKO). Gjykata ka argumentuar gjithashtu se personat e dyshuar kanë vepruar në të njëjtën procedurë prokurimi dhe se ndarja e procedimit nga prokuroria d</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mton v</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rtetimin e fakteve, duke iu referuar nenit 80 KPP për procedimet e lidhura.</w:t>
      </w:r>
      <w:r w:rsidR="00F507FB" w:rsidRPr="005522F5">
        <w:rPr>
          <w:rFonts w:ascii="Times New Roman" w:eastAsia="Calibri" w:hAnsi="Times New Roman"/>
          <w:color w:val="000000" w:themeColor="text1"/>
          <w:lang w:val="sq-AL" w:bidi="ar-SA"/>
        </w:rPr>
        <w:t xml:space="preserve"> </w:t>
      </w:r>
      <w:r w:rsidR="00F507FB" w:rsidRPr="005522F5">
        <w:rPr>
          <w:rFonts w:ascii="Times New Roman" w:hAnsi="Times New Roman"/>
          <w:iCs/>
          <w:color w:val="000000" w:themeColor="text1"/>
          <w:kern w:val="2"/>
          <w:lang w:val="sq-AL"/>
          <w14:ligatures w14:val="standardContextual"/>
        </w:rPr>
        <w:t>Duke qenë se procedimi ndodhet në fazën e seancës paraprake, gjyqtari i seanc</w:t>
      </w:r>
      <w:r w:rsidR="00C742CD" w:rsidRPr="005522F5">
        <w:rPr>
          <w:rFonts w:ascii="Times New Roman" w:hAnsi="Times New Roman"/>
          <w:iCs/>
          <w:color w:val="000000" w:themeColor="text1"/>
          <w:kern w:val="2"/>
          <w:lang w:val="sq-AL"/>
          <w14:ligatures w14:val="standardContextual"/>
        </w:rPr>
        <w:t>ë</w:t>
      </w:r>
      <w:r w:rsidR="00F507FB" w:rsidRPr="005522F5">
        <w:rPr>
          <w:rFonts w:ascii="Times New Roman" w:hAnsi="Times New Roman"/>
          <w:iCs/>
          <w:color w:val="000000" w:themeColor="text1"/>
          <w:kern w:val="2"/>
          <w:lang w:val="sq-AL"/>
          <w14:ligatures w14:val="standardContextual"/>
        </w:rPr>
        <w:t>s paraprake, duke iu referuar neneve 83/1, 85 dhe 332/dh/1/d të KPP, ka vler</w:t>
      </w:r>
      <w:r w:rsidR="00C742CD" w:rsidRPr="005522F5">
        <w:rPr>
          <w:rFonts w:ascii="Times New Roman" w:hAnsi="Times New Roman"/>
          <w:iCs/>
          <w:color w:val="000000" w:themeColor="text1"/>
          <w:kern w:val="2"/>
          <w:lang w:val="sq-AL"/>
          <w14:ligatures w14:val="standardContextual"/>
        </w:rPr>
        <w:t>ë</w:t>
      </w:r>
      <w:r w:rsidR="00F507FB" w:rsidRPr="005522F5">
        <w:rPr>
          <w:rFonts w:ascii="Times New Roman" w:hAnsi="Times New Roman"/>
          <w:iCs/>
          <w:color w:val="000000" w:themeColor="text1"/>
          <w:kern w:val="2"/>
          <w:lang w:val="sq-AL"/>
          <w14:ligatures w14:val="standardContextual"/>
        </w:rPr>
        <w:t>suar se mund të ngrejë kryesisht moskompetencën lëndore dhe të dërgojë çështjen për shqyrtim pranë gjyqtarit të seancës paraprake të GJKKO.</w:t>
      </w:r>
    </w:p>
    <w:p w14:paraId="05B69F5B" w14:textId="07F24C7A" w:rsidR="00244AA0" w:rsidRPr="005522F5" w:rsidRDefault="00244AA0" w:rsidP="0005213F">
      <w:pPr>
        <w:pStyle w:val="ListParagraph"/>
        <w:numPr>
          <w:ilvl w:val="0"/>
          <w:numId w:val="11"/>
        </w:numPr>
        <w:tabs>
          <w:tab w:val="left" w:pos="540"/>
        </w:tabs>
        <w:ind w:left="0" w:firstLine="360"/>
        <w:jc w:val="both"/>
        <w:rPr>
          <w:rFonts w:ascii="Times New Roman" w:hAnsi="Times New Roman"/>
          <w:iCs/>
          <w:color w:val="000000" w:themeColor="text1"/>
          <w:kern w:val="2"/>
          <w:lang w:val="sq-AL"/>
          <w14:ligatures w14:val="standardContextual"/>
        </w:rPr>
      </w:pPr>
      <w:r w:rsidRPr="005522F5">
        <w:rPr>
          <w:rFonts w:ascii="Times New Roman" w:eastAsia="Calibri" w:hAnsi="Times New Roman"/>
          <w:color w:val="000000" w:themeColor="text1"/>
          <w:lang w:val="sq-AL" w:bidi="ar-SA"/>
        </w:rPr>
        <w:t>Gjykata e Posaçme e Shkallës së Parë, që ka ngritur çështjen e mosmarrëveshjes, ka arsyetuar se kompetenca lëndore përcaktohet mbi bazën e cil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simit juridik të veprës penale për të cilën është regjistruar dhe hetuar procedimi penal, dhe jo mbi bazën e objektit material (l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nd</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të hetimit. Në rastin konkret, procedimi për të cilin kërkohet pushimi është regjistruar dhe hetuar për nenin 248 të Kodit Penal, i cili nuk bën pjesë në veprat penale të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rcaktuara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nenin 75/a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KPP. Për rrjedhojë, kjo vepër nuk hyn në kompetencën lëndore të GJKKO. Gjykata e Posaçme e Shkallës së Parë ka argumentuar më tej se, në fazën e shqyrtimit të kërkesës për pushim (nenet 329/a dhe 329 KPP), gjyqtari i seanc</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paraprake ka vetëm tre alternativa: të pranojë pushimin; të kthejë aktet për hetime të mëtejshme; të urdhërojë formulimin e akuzës. Ligji nuk parashikon si alternativë deklarimin e moskompetencës për shkak të një cil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simi tjetër </w:t>
      </w:r>
      <w:r w:rsidR="0010028D" w:rsidRPr="005522F5">
        <w:rPr>
          <w:rFonts w:ascii="Times New Roman" w:eastAsia="Calibri" w:hAnsi="Times New Roman"/>
          <w:color w:val="000000" w:themeColor="text1"/>
          <w:lang w:val="sq-AL" w:bidi="ar-SA"/>
        </w:rPr>
        <w:t>juridik</w:t>
      </w:r>
      <w:r w:rsidRPr="005522F5">
        <w:rPr>
          <w:rFonts w:ascii="Times New Roman" w:eastAsia="Calibri" w:hAnsi="Times New Roman"/>
          <w:color w:val="000000" w:themeColor="text1"/>
          <w:lang w:val="sq-AL" w:bidi="ar-SA"/>
        </w:rPr>
        <w:t xml:space="preserve"> </w:t>
      </w:r>
      <w:r w:rsidR="0010028D" w:rsidRPr="005522F5">
        <w:rPr>
          <w:rFonts w:ascii="Times New Roman" w:eastAsia="Calibri" w:hAnsi="Times New Roman"/>
          <w:color w:val="000000" w:themeColor="text1"/>
          <w:lang w:val="sq-AL" w:bidi="ar-SA"/>
        </w:rPr>
        <w:t>nga gjyqtari i seancës paraprake që shqyrton kërkesën për pushim</w:t>
      </w:r>
      <w:r w:rsidRPr="005522F5">
        <w:rPr>
          <w:rFonts w:ascii="Times New Roman" w:eastAsia="Calibri" w:hAnsi="Times New Roman"/>
          <w:color w:val="000000" w:themeColor="text1"/>
          <w:lang w:val="sq-AL" w:bidi="ar-SA"/>
        </w:rPr>
        <w:t xml:space="preserve">. Gjithashtu, Gjykata e Posaçme ka theksuar se ndjekja penale dhe kualifikimi juridik i </w:t>
      </w:r>
      <w:r w:rsidR="0010028D" w:rsidRPr="005522F5">
        <w:rPr>
          <w:rFonts w:ascii="Times New Roman" w:eastAsia="Calibri" w:hAnsi="Times New Roman"/>
          <w:color w:val="000000" w:themeColor="text1"/>
          <w:lang w:val="sq-AL" w:bidi="ar-SA"/>
        </w:rPr>
        <w:t>faktit</w:t>
      </w:r>
      <w:r w:rsidRPr="005522F5">
        <w:rPr>
          <w:rFonts w:ascii="Times New Roman" w:eastAsia="Calibri" w:hAnsi="Times New Roman"/>
          <w:color w:val="000000" w:themeColor="text1"/>
          <w:lang w:val="sq-AL" w:bidi="ar-SA"/>
        </w:rPr>
        <w:t xml:space="preserve"> janë atribut ekskluziv i prokurorit. Nëse gjyqtari i seanc</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paraprake vlerëson se cilësimi juridik është i gabuar, ai mund të kthejë aktet duke i k</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rkuar organit procedues q</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ndryshoj</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cil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simin juridik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vepr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penale, gj</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w:t>
      </w:r>
      <w:r w:rsidR="0010028D" w:rsidRPr="005522F5">
        <w:rPr>
          <w:rFonts w:ascii="Times New Roman" w:eastAsia="Calibri" w:hAnsi="Times New Roman"/>
          <w:color w:val="000000" w:themeColor="text1"/>
          <w:lang w:val="sq-AL" w:bidi="ar-SA"/>
        </w:rPr>
        <w:t xml:space="preserve">që </w:t>
      </w:r>
      <w:r w:rsidRPr="005522F5">
        <w:rPr>
          <w:rFonts w:ascii="Times New Roman" w:eastAsia="Calibri" w:hAnsi="Times New Roman"/>
          <w:color w:val="000000" w:themeColor="text1"/>
          <w:lang w:val="sq-AL" w:bidi="ar-SA"/>
        </w:rPr>
        <w:t>m</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pas sjell deklarimin e moskompetenc</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prokuroris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vijuar hetimet ose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konkluduar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rfundimisht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 akuzat penale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ngarkim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personave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hetim, por nuk mund të zëvendësojë prokurorin duke </w:t>
      </w:r>
      <w:r w:rsidR="0010028D" w:rsidRPr="005522F5">
        <w:rPr>
          <w:rFonts w:ascii="Times New Roman" w:eastAsia="Calibri" w:hAnsi="Times New Roman"/>
          <w:color w:val="000000" w:themeColor="text1"/>
          <w:lang w:val="sq-AL" w:bidi="ar-SA"/>
        </w:rPr>
        <w:t>bërë</w:t>
      </w:r>
      <w:r w:rsidRPr="005522F5">
        <w:rPr>
          <w:rFonts w:ascii="Times New Roman" w:eastAsia="Calibri" w:hAnsi="Times New Roman"/>
          <w:color w:val="000000" w:themeColor="text1"/>
          <w:lang w:val="sq-AL" w:bidi="ar-SA"/>
        </w:rPr>
        <w:t xml:space="preserve"> vetë një kualifikim të ri dhe duke deklaruar moskompetencën</w:t>
      </w:r>
      <w:r w:rsidR="0010028D" w:rsidRPr="005522F5">
        <w:rPr>
          <w:rFonts w:ascii="Times New Roman" w:eastAsia="Calibri" w:hAnsi="Times New Roman"/>
          <w:color w:val="000000" w:themeColor="text1"/>
          <w:lang w:val="sq-AL" w:bidi="ar-SA"/>
        </w:rPr>
        <w:t xml:space="preserve"> mbi këtë vlerësim</w:t>
      </w:r>
      <w:r w:rsidRPr="005522F5">
        <w:rPr>
          <w:rFonts w:ascii="Times New Roman" w:eastAsia="Calibri" w:hAnsi="Times New Roman"/>
          <w:color w:val="000000" w:themeColor="text1"/>
          <w:lang w:val="sq-AL" w:bidi="ar-SA"/>
        </w:rPr>
        <w:t>. Pra, Gjykata e Posa</w:t>
      </w:r>
      <w:r w:rsidR="00C742CD" w:rsidRPr="005522F5">
        <w:rPr>
          <w:rFonts w:ascii="Times New Roman" w:eastAsia="Calibri" w:hAnsi="Times New Roman"/>
          <w:color w:val="000000" w:themeColor="text1"/>
          <w:lang w:val="sq-AL" w:bidi="ar-SA"/>
        </w:rPr>
        <w:t>ç</w:t>
      </w:r>
      <w:r w:rsidRPr="005522F5">
        <w:rPr>
          <w:rFonts w:ascii="Times New Roman" w:eastAsia="Calibri" w:hAnsi="Times New Roman"/>
          <w:color w:val="000000" w:themeColor="text1"/>
          <w:lang w:val="sq-AL" w:bidi="ar-SA"/>
        </w:rPr>
        <w:t>me e Shkall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Par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thelb ka arsyetuar se, gjyqtari i seanc</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paraprake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shqyrtimin e k</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rkes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r pushimin e </w:t>
      </w:r>
      <w:r w:rsidR="00C742CD" w:rsidRPr="005522F5">
        <w:rPr>
          <w:rFonts w:ascii="Times New Roman" w:eastAsia="Calibri" w:hAnsi="Times New Roman"/>
          <w:color w:val="000000" w:themeColor="text1"/>
          <w:lang w:val="sq-AL" w:bidi="ar-SA"/>
        </w:rPr>
        <w:t>çë</w:t>
      </w:r>
      <w:r w:rsidRPr="005522F5">
        <w:rPr>
          <w:rFonts w:ascii="Times New Roman" w:eastAsia="Calibri" w:hAnsi="Times New Roman"/>
          <w:color w:val="000000" w:themeColor="text1"/>
          <w:lang w:val="sq-AL" w:bidi="ar-SA"/>
        </w:rPr>
        <w:t>shtjes/akuz</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kur ka vler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sim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ndrysh</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m nga prokurori lidhur me cil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simin juridik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faktit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cilin </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sht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regjistruar procedimi penal, mund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disponoj</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vet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m sipas parashikimeve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nenit 329, pika 3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KPP, nd</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rsa disponimi i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rket prokuroris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w:t>
      </w:r>
    </w:p>
    <w:p w14:paraId="5AB7E8C9" w14:textId="77777777" w:rsidR="00F507FB" w:rsidRPr="005522F5" w:rsidRDefault="00244AA0" w:rsidP="0005213F">
      <w:pPr>
        <w:pStyle w:val="ListParagraph"/>
        <w:numPr>
          <w:ilvl w:val="0"/>
          <w:numId w:val="11"/>
        </w:numPr>
        <w:tabs>
          <w:tab w:val="left" w:pos="540"/>
        </w:tabs>
        <w:ind w:left="0" w:firstLine="360"/>
        <w:jc w:val="both"/>
        <w:rPr>
          <w:rFonts w:ascii="Times New Roman" w:hAnsi="Times New Roman"/>
          <w:iCs/>
          <w:color w:val="000000" w:themeColor="text1"/>
          <w:kern w:val="2"/>
          <w:lang w:val="sq-AL"/>
          <w14:ligatures w14:val="standardContextual"/>
        </w:rPr>
      </w:pPr>
      <w:r w:rsidRPr="005522F5">
        <w:rPr>
          <w:rFonts w:ascii="Times New Roman" w:eastAsia="Calibri" w:hAnsi="Times New Roman"/>
          <w:color w:val="000000" w:themeColor="text1"/>
          <w:lang w:val="sq-AL" w:bidi="ar-SA"/>
        </w:rPr>
        <w:t>Kolegji vlerëson se argumentet e Gjykatës së Posaçme të Shkallës së Parë janë të bazuara në ligj dhe në një interpretim sistematik të dispozitave të KPP.</w:t>
      </w:r>
      <w:r w:rsidRPr="005522F5">
        <w:rPr>
          <w:rFonts w:ascii="Times New Roman" w:hAnsi="Times New Roman"/>
          <w:bCs/>
          <w:color w:val="000000" w:themeColor="text1"/>
          <w:lang w:val="sq-AL"/>
        </w:rPr>
        <w:t xml:space="preserve"> Për rrjedhojë, zgjidhja e mosmarrëveshjes së kompetencës lëndore do të bëhet duke përcaktuar si gjykatë kompetente për shqyrtimin e çështjes Gjykatën e Shkallës së Parë të Juridiksionit të Përgjithshëm Kukës.</w:t>
      </w:r>
    </w:p>
    <w:p w14:paraId="651B605E" w14:textId="2B0744BD" w:rsidR="00F507FB" w:rsidRPr="005522F5" w:rsidRDefault="00244AA0" w:rsidP="0005213F">
      <w:pPr>
        <w:pStyle w:val="ListParagraph"/>
        <w:numPr>
          <w:ilvl w:val="0"/>
          <w:numId w:val="11"/>
        </w:numPr>
        <w:tabs>
          <w:tab w:val="left" w:pos="540"/>
        </w:tabs>
        <w:ind w:left="0" w:firstLine="360"/>
        <w:jc w:val="both"/>
        <w:rPr>
          <w:rFonts w:ascii="Times New Roman" w:hAnsi="Times New Roman"/>
          <w:iCs/>
          <w:color w:val="000000" w:themeColor="text1"/>
          <w:kern w:val="2"/>
          <w:lang w:val="sq-AL"/>
          <w14:ligatures w14:val="standardContextual"/>
        </w:rPr>
      </w:pPr>
      <w:r w:rsidRPr="005522F5">
        <w:rPr>
          <w:rFonts w:ascii="Times New Roman" w:eastAsia="Calibri" w:hAnsi="Times New Roman"/>
          <w:color w:val="000000" w:themeColor="text1"/>
          <w:lang w:val="sq-AL" w:bidi="ar-SA"/>
        </w:rPr>
        <w:t>Rregulli i përgjithshëm i kompetencës, sipas nenit 74 KPP</w:t>
      </w:r>
      <w:r w:rsidRPr="005522F5">
        <w:rPr>
          <w:rFonts w:ascii="Times New Roman" w:eastAsia="Calibri" w:hAnsi="Times New Roman"/>
          <w:color w:val="000000" w:themeColor="text1"/>
          <w:vertAlign w:val="superscript"/>
          <w:lang w:val="sq-AL" w:bidi="ar-SA"/>
        </w:rPr>
        <w:footnoteReference w:id="2"/>
      </w:r>
      <w:r w:rsidRPr="005522F5">
        <w:rPr>
          <w:rFonts w:ascii="Times New Roman" w:eastAsia="Calibri" w:hAnsi="Times New Roman"/>
          <w:color w:val="000000" w:themeColor="text1"/>
          <w:lang w:val="sq-AL" w:bidi="ar-SA"/>
        </w:rPr>
        <w:t>, është se gjykata e juridiksionit të përgjithshëm është kompetente për gjykimin e veprave penale, përveç atyre që i përkasin kompetencës së GJKKO. Kompetenca e gjykat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posa</w:t>
      </w:r>
      <w:r w:rsidR="00C742CD" w:rsidRPr="005522F5">
        <w:rPr>
          <w:rFonts w:ascii="Times New Roman" w:eastAsia="Calibri" w:hAnsi="Times New Roman"/>
          <w:color w:val="000000" w:themeColor="text1"/>
          <w:lang w:val="sq-AL" w:bidi="ar-SA"/>
        </w:rPr>
        <w:t>ç</w:t>
      </w:r>
      <w:r w:rsidRPr="005522F5">
        <w:rPr>
          <w:rFonts w:ascii="Times New Roman" w:eastAsia="Calibri" w:hAnsi="Times New Roman"/>
          <w:color w:val="000000" w:themeColor="text1"/>
          <w:lang w:val="sq-AL" w:bidi="ar-SA"/>
        </w:rPr>
        <w:t>me është taksative dhe nuk mund të zgjerohet me interpretim. Në rastin konkret, Kolegji konstaton se procedimi penal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cilin k</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rkohet pushimi është regjistruar dhe hetuar për vepr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n penale “Shp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rdorimi i detyr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parashikuar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nenin 248 të Kodit Penal. Kjo vepër penale nuk përfshihet në kompetenc</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n 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ndore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GJKKO sipas parashikimeve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nenin 75/a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KPP.</w:t>
      </w:r>
      <w:r w:rsidR="0010028D" w:rsidRPr="005522F5">
        <w:rPr>
          <w:rFonts w:ascii="Times New Roman" w:eastAsia="Calibri" w:hAnsi="Times New Roman"/>
          <w:color w:val="000000" w:themeColor="text1"/>
          <w:lang w:val="sq-AL" w:bidi="ar-SA"/>
        </w:rPr>
        <w:t xml:space="preserve"> </w:t>
      </w:r>
      <w:r w:rsidRPr="005522F5">
        <w:rPr>
          <w:rFonts w:ascii="Times New Roman" w:eastAsia="Calibri" w:hAnsi="Times New Roman"/>
          <w:color w:val="000000" w:themeColor="text1"/>
          <w:lang w:val="sq-AL" w:bidi="ar-SA"/>
        </w:rPr>
        <w:t>Gjithashtu nga arsyetimi i gjykatave nuk rezulton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ket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procedim penal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regjistruar dhe/ose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pranuar në Prokurorin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e Posa</w:t>
      </w:r>
      <w:r w:rsidR="00C742CD" w:rsidRPr="005522F5">
        <w:rPr>
          <w:rFonts w:ascii="Times New Roman" w:eastAsia="Calibri" w:hAnsi="Times New Roman"/>
          <w:color w:val="000000" w:themeColor="text1"/>
          <w:lang w:val="sq-AL" w:bidi="ar-SA"/>
        </w:rPr>
        <w:t>ç</w:t>
      </w:r>
      <w:r w:rsidRPr="005522F5">
        <w:rPr>
          <w:rFonts w:ascii="Times New Roman" w:eastAsia="Calibri" w:hAnsi="Times New Roman"/>
          <w:color w:val="000000" w:themeColor="text1"/>
          <w:lang w:val="sq-AL" w:bidi="ar-SA"/>
        </w:rPr>
        <w:t>me kund</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 Korrupsionit dhe Krimit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Organizuar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vijim Prokuroria e Posa</w:t>
      </w:r>
      <w:r w:rsidR="00C742CD" w:rsidRPr="005522F5">
        <w:rPr>
          <w:rFonts w:ascii="Times New Roman" w:eastAsia="Calibri" w:hAnsi="Times New Roman"/>
          <w:color w:val="000000" w:themeColor="text1"/>
          <w:lang w:val="sq-AL" w:bidi="ar-SA"/>
        </w:rPr>
        <w:t>ç</w:t>
      </w:r>
      <w:r w:rsidRPr="005522F5">
        <w:rPr>
          <w:rFonts w:ascii="Times New Roman" w:eastAsia="Calibri" w:hAnsi="Times New Roman"/>
          <w:color w:val="000000" w:themeColor="text1"/>
          <w:lang w:val="sq-AL" w:bidi="ar-SA"/>
        </w:rPr>
        <w:t>me)</w:t>
      </w:r>
      <w:r w:rsidR="0010028D" w:rsidRPr="005522F5">
        <w:rPr>
          <w:rFonts w:ascii="Times New Roman" w:eastAsia="Calibri" w:hAnsi="Times New Roman"/>
          <w:color w:val="000000" w:themeColor="text1"/>
          <w:lang w:val="sq-AL" w:bidi="ar-SA"/>
        </w:rPr>
        <w:t xml:space="preserve"> për objektin material të këtij hetimi</w:t>
      </w:r>
      <w:r w:rsidRPr="005522F5">
        <w:rPr>
          <w:rFonts w:ascii="Times New Roman" w:eastAsia="Calibri" w:hAnsi="Times New Roman"/>
          <w:color w:val="000000" w:themeColor="text1"/>
          <w:lang w:val="sq-AL" w:bidi="ar-SA"/>
        </w:rPr>
        <w:t>, dhe si rrjedhoj</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kompetencë </w:t>
      </w:r>
      <w:r w:rsidR="00F507FB" w:rsidRPr="005522F5">
        <w:rPr>
          <w:rFonts w:ascii="Times New Roman" w:eastAsia="Calibri" w:hAnsi="Times New Roman"/>
          <w:color w:val="000000" w:themeColor="text1"/>
          <w:lang w:val="sq-AL" w:bidi="ar-SA"/>
        </w:rPr>
        <w:t>l</w:t>
      </w:r>
      <w:r w:rsidR="00C742CD" w:rsidRPr="005522F5">
        <w:rPr>
          <w:rFonts w:ascii="Times New Roman" w:eastAsia="Calibri" w:hAnsi="Times New Roman"/>
          <w:color w:val="000000" w:themeColor="text1"/>
          <w:lang w:val="sq-AL" w:bidi="ar-SA"/>
        </w:rPr>
        <w:t>ë</w:t>
      </w:r>
      <w:r w:rsidR="00F507FB" w:rsidRPr="005522F5">
        <w:rPr>
          <w:rFonts w:ascii="Times New Roman" w:eastAsia="Calibri" w:hAnsi="Times New Roman"/>
          <w:color w:val="000000" w:themeColor="text1"/>
          <w:lang w:val="sq-AL" w:bidi="ar-SA"/>
        </w:rPr>
        <w:t xml:space="preserve">ndore </w:t>
      </w:r>
      <w:r w:rsidRPr="005522F5">
        <w:rPr>
          <w:rFonts w:ascii="Times New Roman" w:eastAsia="Calibri" w:hAnsi="Times New Roman"/>
          <w:color w:val="000000" w:themeColor="text1"/>
          <w:lang w:val="sq-AL" w:bidi="ar-SA"/>
        </w:rPr>
        <w:t>të GJKKO. Kjo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 arsye se, edhe aktet e procedimit penal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ndar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nr. 238/1,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regjistruar për vepr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n penale “Shkelja e barazisë së pjesëmarrësve në tendera apo ankande publike”, parashikuar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nenin 258/2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Kodit Penal,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kompetenc</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ndore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GJKKO (neni 75/a KPP), nuk jan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pranuar nga Drejtuesi i Prokuroris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Posaçme</w:t>
      </w:r>
      <w:r w:rsidRPr="005522F5">
        <w:rPr>
          <w:rFonts w:ascii="Times New Roman" w:eastAsia="Calibri" w:hAnsi="Times New Roman"/>
          <w:color w:val="000000" w:themeColor="text1"/>
          <w:vertAlign w:val="superscript"/>
          <w:lang w:val="sq-AL" w:bidi="ar-SA"/>
        </w:rPr>
        <w:footnoteReference w:id="3"/>
      </w:r>
      <w:r w:rsidRPr="005522F5">
        <w:rPr>
          <w:rFonts w:ascii="Times New Roman" w:eastAsia="Calibri" w:hAnsi="Times New Roman"/>
          <w:color w:val="000000" w:themeColor="text1"/>
          <w:lang w:val="sq-AL" w:bidi="ar-SA"/>
        </w:rPr>
        <w:t xml:space="preserve"> dhe ato (aktet) jan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ridërguar në prokurorinë e mëparshme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juridiksionit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rgjithsh</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m). Kjo e fundit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zbatim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nenit 28/3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KPP ka detyrimin të pranojë aktet. Për rrjedhojë, neni 80 </w:t>
      </w:r>
      <w:r w:rsidR="00F507FB" w:rsidRPr="005522F5">
        <w:rPr>
          <w:rFonts w:ascii="Times New Roman" w:eastAsia="Calibri" w:hAnsi="Times New Roman"/>
          <w:color w:val="000000" w:themeColor="text1"/>
          <w:lang w:val="sq-AL" w:bidi="ar-SA"/>
        </w:rPr>
        <w:t xml:space="preserve">i </w:t>
      </w:r>
      <w:r w:rsidRPr="005522F5">
        <w:rPr>
          <w:rFonts w:ascii="Times New Roman" w:eastAsia="Calibri" w:hAnsi="Times New Roman"/>
          <w:color w:val="000000" w:themeColor="text1"/>
          <w:lang w:val="sq-AL" w:bidi="ar-SA"/>
        </w:rPr>
        <w:t>KPP mbi procedimet e lidhura, ndryshe nga sa gjyqtari i seanc</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paraprake i juridiksionit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rgjithsh</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m arsyeton, nuk gjen zbatim, pasi </w:t>
      </w:r>
      <w:r w:rsidR="00F507FB" w:rsidRPr="005522F5">
        <w:rPr>
          <w:rFonts w:ascii="Times New Roman" w:eastAsia="Calibri" w:hAnsi="Times New Roman"/>
          <w:color w:val="000000" w:themeColor="text1"/>
          <w:lang w:val="sq-AL" w:bidi="ar-SA"/>
        </w:rPr>
        <w:t>nuk ka</w:t>
      </w:r>
      <w:r w:rsidRPr="005522F5">
        <w:rPr>
          <w:rFonts w:ascii="Times New Roman" w:eastAsia="Calibri" w:hAnsi="Times New Roman"/>
          <w:color w:val="000000" w:themeColor="text1"/>
          <w:lang w:val="sq-AL" w:bidi="ar-SA"/>
        </w:rPr>
        <w:t xml:space="preserve"> një procedim penal </w:t>
      </w:r>
      <w:r w:rsidR="00F507FB" w:rsidRPr="005522F5">
        <w:rPr>
          <w:rFonts w:ascii="Times New Roman" w:eastAsia="Calibri" w:hAnsi="Times New Roman"/>
          <w:color w:val="000000" w:themeColor="text1"/>
          <w:lang w:val="sq-AL" w:bidi="ar-SA"/>
        </w:rPr>
        <w:t>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regjistruar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Prokurorin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e Posa</w:t>
      </w:r>
      <w:r w:rsidR="00C742CD" w:rsidRPr="005522F5">
        <w:rPr>
          <w:rFonts w:ascii="Times New Roman" w:eastAsia="Calibri" w:hAnsi="Times New Roman"/>
          <w:color w:val="000000" w:themeColor="text1"/>
          <w:lang w:val="sq-AL" w:bidi="ar-SA"/>
        </w:rPr>
        <w:t>ç</w:t>
      </w:r>
      <w:r w:rsidRPr="005522F5">
        <w:rPr>
          <w:rFonts w:ascii="Times New Roman" w:eastAsia="Calibri" w:hAnsi="Times New Roman"/>
          <w:color w:val="000000" w:themeColor="text1"/>
          <w:lang w:val="sq-AL" w:bidi="ar-SA"/>
        </w:rPr>
        <w:t>me dhe si rrjedhoj</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në kompetencë 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ndore të GJKKO me të cilin të lidhet </w:t>
      </w:r>
      <w:r w:rsidR="0010028D" w:rsidRPr="005522F5">
        <w:rPr>
          <w:rFonts w:ascii="Times New Roman" w:eastAsia="Calibri" w:hAnsi="Times New Roman"/>
          <w:color w:val="000000" w:themeColor="text1"/>
          <w:lang w:val="sq-AL" w:bidi="ar-SA"/>
        </w:rPr>
        <w:t>procedimi/</w:t>
      </w:r>
      <w:r w:rsidRPr="005522F5">
        <w:rPr>
          <w:rFonts w:ascii="Times New Roman" w:eastAsia="Calibri" w:hAnsi="Times New Roman"/>
          <w:color w:val="000000" w:themeColor="text1"/>
          <w:lang w:val="sq-AL" w:bidi="ar-SA"/>
        </w:rPr>
        <w:t>çështja objekt shqyrtimi.</w:t>
      </w:r>
    </w:p>
    <w:p w14:paraId="660E51C9" w14:textId="56C46E38" w:rsidR="00F507FB" w:rsidRPr="005522F5" w:rsidRDefault="00244AA0" w:rsidP="0005213F">
      <w:pPr>
        <w:pStyle w:val="ListParagraph"/>
        <w:numPr>
          <w:ilvl w:val="0"/>
          <w:numId w:val="11"/>
        </w:numPr>
        <w:tabs>
          <w:tab w:val="left" w:pos="540"/>
        </w:tabs>
        <w:ind w:left="0" w:firstLine="360"/>
        <w:jc w:val="both"/>
        <w:rPr>
          <w:rFonts w:ascii="Times New Roman" w:hAnsi="Times New Roman"/>
          <w:iCs/>
          <w:color w:val="000000" w:themeColor="text1"/>
          <w:kern w:val="2"/>
          <w:lang w:val="sq-AL"/>
          <w14:ligatures w14:val="standardContextual"/>
        </w:rPr>
      </w:pPr>
      <w:r w:rsidRPr="005522F5">
        <w:rPr>
          <w:rFonts w:ascii="Times New Roman" w:eastAsia="Calibri" w:hAnsi="Times New Roman"/>
          <w:color w:val="000000" w:themeColor="text1"/>
          <w:lang w:val="sq-AL" w:bidi="ar-SA"/>
        </w:rPr>
        <w:t>Kolegji vlerëson gjithashtu se referimi në nenin 83</w:t>
      </w:r>
      <w:r w:rsidR="00F507FB" w:rsidRPr="005522F5">
        <w:rPr>
          <w:rFonts w:ascii="Times New Roman" w:eastAsia="Calibri" w:hAnsi="Times New Roman"/>
          <w:color w:val="000000" w:themeColor="text1"/>
          <w:lang w:val="sq-AL" w:bidi="ar-SA"/>
        </w:rPr>
        <w:t>/1</w:t>
      </w:r>
      <w:r w:rsidRPr="005522F5">
        <w:rPr>
          <w:rFonts w:ascii="Times New Roman" w:eastAsia="Calibri" w:hAnsi="Times New Roman"/>
          <w:color w:val="000000" w:themeColor="text1"/>
          <w:lang w:val="sq-AL" w:bidi="ar-SA"/>
        </w:rPr>
        <w:t xml:space="preserve"> të KPP nuk mund të përbëjë bazë ligjore për shpalljen e moskompetencës lëndore mbi bazën e një cilësimi juridik të ndryshëm nga ai për të cilin është regjistruar procedimi penal dhe për të cilin është paraqitur kërkesa për pushim. Është e vërtetë se moskompetenca lëndore mund të ngrihet në çdo gjendje dhe shkallë të procesit, përfshirë edhe fazën e hetimeve paraprake. Megjithatë, kjo dispozitë duhet interpretuar në funksion të objektit konkret që është në shqyrtim dhe të kompetencave që ligji i njeh gjyqtarit në atë fazë të caktuar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procedimit penal.</w:t>
      </w:r>
      <w:r w:rsidR="0010028D" w:rsidRPr="005522F5">
        <w:rPr>
          <w:rFonts w:ascii="Times New Roman" w:eastAsia="Calibri" w:hAnsi="Times New Roman"/>
          <w:color w:val="000000" w:themeColor="text1"/>
          <w:lang w:val="sq-AL" w:bidi="ar-SA"/>
        </w:rPr>
        <w:t xml:space="preserve"> </w:t>
      </w:r>
      <w:r w:rsidRPr="005522F5">
        <w:rPr>
          <w:rFonts w:ascii="Times New Roman" w:eastAsia="Calibri" w:hAnsi="Times New Roman"/>
          <w:color w:val="000000" w:themeColor="text1"/>
          <w:lang w:val="sq-AL" w:bidi="ar-SA"/>
        </w:rPr>
        <w:t xml:space="preserve">Në ndryshim nga gjyqtari i seancës paraprake i konstituuar me paraqitjen e kërkesës për dërgimin e çështjes në gjyq, apo nga gjyqtari që shqyrton çështjen në themel, të cilët respektivisht, në bazë të nenit 332/dh, pika 1, shkronja “d”, ose nenit 85 të KPP, mund të deklarojnë moskompetencën dhe të dërgojnë çështjen në gjykatën kompetente në rastet e parashikuara nga ligji, gjyqtari para të cilit paraqitet kërkesa për pushimin e çështjes penale (në fazën e hetimit paraprak) ka kompetenca të kufizuara </w:t>
      </w:r>
      <w:r w:rsidR="00F507FB" w:rsidRPr="005522F5">
        <w:rPr>
          <w:rFonts w:ascii="Times New Roman" w:eastAsia="Calibri" w:hAnsi="Times New Roman"/>
          <w:color w:val="000000" w:themeColor="text1"/>
          <w:lang w:val="sq-AL" w:bidi="ar-SA"/>
        </w:rPr>
        <w:t>n</w:t>
      </w:r>
      <w:r w:rsidR="00C742CD" w:rsidRPr="005522F5">
        <w:rPr>
          <w:rFonts w:ascii="Times New Roman" w:eastAsia="Calibri" w:hAnsi="Times New Roman"/>
          <w:color w:val="000000" w:themeColor="text1"/>
          <w:lang w:val="sq-AL" w:bidi="ar-SA"/>
        </w:rPr>
        <w:t>ë</w:t>
      </w:r>
      <w:r w:rsidR="00F507FB" w:rsidRPr="005522F5">
        <w:rPr>
          <w:rFonts w:ascii="Times New Roman" w:eastAsia="Calibri" w:hAnsi="Times New Roman"/>
          <w:color w:val="000000" w:themeColor="text1"/>
          <w:lang w:val="sq-AL" w:bidi="ar-SA"/>
        </w:rPr>
        <w:t xml:space="preserve"> m</w:t>
      </w:r>
      <w:r w:rsidR="00C742CD" w:rsidRPr="005522F5">
        <w:rPr>
          <w:rFonts w:ascii="Times New Roman" w:eastAsia="Calibri" w:hAnsi="Times New Roman"/>
          <w:color w:val="000000" w:themeColor="text1"/>
          <w:lang w:val="sq-AL" w:bidi="ar-SA"/>
        </w:rPr>
        <w:t>ë</w:t>
      </w:r>
      <w:r w:rsidR="00F507FB" w:rsidRPr="005522F5">
        <w:rPr>
          <w:rFonts w:ascii="Times New Roman" w:eastAsia="Calibri" w:hAnsi="Times New Roman"/>
          <w:color w:val="000000" w:themeColor="text1"/>
          <w:lang w:val="sq-AL" w:bidi="ar-SA"/>
        </w:rPr>
        <w:t>nyr</w:t>
      </w:r>
      <w:r w:rsidR="00C742CD" w:rsidRPr="005522F5">
        <w:rPr>
          <w:rFonts w:ascii="Times New Roman" w:eastAsia="Calibri" w:hAnsi="Times New Roman"/>
          <w:color w:val="000000" w:themeColor="text1"/>
          <w:lang w:val="sq-AL" w:bidi="ar-SA"/>
        </w:rPr>
        <w:t>ë</w:t>
      </w:r>
      <w:r w:rsidR="00F507FB" w:rsidRPr="005522F5">
        <w:rPr>
          <w:rFonts w:ascii="Times New Roman" w:eastAsia="Calibri" w:hAnsi="Times New Roman"/>
          <w:color w:val="000000" w:themeColor="text1"/>
          <w:lang w:val="sq-AL" w:bidi="ar-SA"/>
        </w:rPr>
        <w:t xml:space="preserve"> t</w:t>
      </w:r>
      <w:r w:rsidR="00C742CD" w:rsidRPr="005522F5">
        <w:rPr>
          <w:rFonts w:ascii="Times New Roman" w:eastAsia="Calibri" w:hAnsi="Times New Roman"/>
          <w:color w:val="000000" w:themeColor="text1"/>
          <w:lang w:val="sq-AL" w:bidi="ar-SA"/>
        </w:rPr>
        <w:t>ë</w:t>
      </w:r>
      <w:r w:rsidR="00F507FB" w:rsidRPr="005522F5">
        <w:rPr>
          <w:rFonts w:ascii="Times New Roman" w:eastAsia="Calibri" w:hAnsi="Times New Roman"/>
          <w:color w:val="000000" w:themeColor="text1"/>
          <w:lang w:val="sq-AL" w:bidi="ar-SA"/>
        </w:rPr>
        <w:t xml:space="preserve"> qart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nga ligji.</w:t>
      </w:r>
      <w:r w:rsidR="00F507FB" w:rsidRPr="005522F5">
        <w:rPr>
          <w:rFonts w:ascii="Times New Roman" w:eastAsia="Calibri" w:hAnsi="Times New Roman"/>
          <w:color w:val="000000" w:themeColor="text1"/>
          <w:lang w:val="sq-AL" w:bidi="ar-SA"/>
        </w:rPr>
        <w:t xml:space="preserve"> </w:t>
      </w:r>
      <w:r w:rsidRPr="005522F5">
        <w:rPr>
          <w:rFonts w:ascii="Times New Roman" w:eastAsia="Calibri" w:hAnsi="Times New Roman"/>
          <w:color w:val="000000" w:themeColor="text1"/>
          <w:lang w:val="sq-AL" w:bidi="ar-SA"/>
        </w:rPr>
        <w:t>Konkretisht, sipas nenit 329/b, në lidhje me nenin 329 të KPP, ai mund të vendosë pushimin e akuzës ose çështjes, kur janë kushtet e parashikuara nga neni 328 ose, në rast të kundërt, të disponojë sipas shkronjës “b” ose “c” të pikës 3 të nenit 329, pra të kthejë aktet për hetime të mëtejshme ose të urdhërojë formulimin e akuzës. Ligji nuk parashikon si alternativë deklarimin e moskompetencës lëndore mbi bazën e një cilësimi tjetër juridik nga ai për të cilin është regjistruar procedimi penal nga prokurori.</w:t>
      </w:r>
    </w:p>
    <w:p w14:paraId="1F11709D" w14:textId="450A5296" w:rsidR="00F507FB" w:rsidRPr="005522F5" w:rsidRDefault="00244AA0" w:rsidP="00922916">
      <w:pPr>
        <w:pStyle w:val="ListParagraph"/>
        <w:numPr>
          <w:ilvl w:val="0"/>
          <w:numId w:val="11"/>
        </w:numPr>
        <w:tabs>
          <w:tab w:val="left" w:pos="540"/>
        </w:tabs>
        <w:ind w:left="0" w:firstLine="360"/>
        <w:jc w:val="both"/>
        <w:rPr>
          <w:rFonts w:ascii="Times New Roman" w:hAnsi="Times New Roman"/>
          <w:iCs/>
          <w:color w:val="000000" w:themeColor="text1"/>
          <w:kern w:val="2"/>
          <w:lang w:val="sq-AL"/>
          <w14:ligatures w14:val="standardContextual"/>
        </w:rPr>
      </w:pPr>
      <w:r w:rsidRPr="005522F5">
        <w:rPr>
          <w:rFonts w:ascii="Times New Roman" w:eastAsia="Calibri" w:hAnsi="Times New Roman"/>
          <w:color w:val="000000" w:themeColor="text1"/>
          <w:lang w:val="sq-AL" w:bidi="ar-SA"/>
        </w:rPr>
        <w:t>Sikundër me të drejtë ka arsyetuar gjykata që ka ngritur mosmarrëveshjen e kompetencës, Kolegji vler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son se, nëse gjatë shqyrtimit të kërkesës për pushim gjyqtari ka një vlerësim të ndryshëm nga prokurori lidhur me cilësimin juridik të faktit, ai mund të disponojë vetëm brenda kufijve të nenit 329/b, pika 3, në lidhje me nenin 329, pika 3 të KPP, duke kthyer aktet prokurorit dhe vazhdimin e hetimeve, kur çmon se ato janë të paplota, duke përcaktuar drejtimet e thellimit të tyre ose duke e urdhëruar që të formulojë akuzë dhe të paraqesë kërkesë për gjykimin e çështjes, kur çmon se hetimet janë të plota dhe rezulton se ka prova të mjaftueshme për të mbështetur akuzën në gjyq. Ndërsa deklarimi i moskompetencës, si pasojë e një ndryshimi të cilësimit juridik në regjistrin e njoftimit të veprave penale</w:t>
      </w:r>
      <w:r w:rsidR="0010028D" w:rsidRPr="005522F5">
        <w:rPr>
          <w:rFonts w:ascii="Times New Roman" w:eastAsia="Calibri" w:hAnsi="Times New Roman"/>
          <w:color w:val="000000" w:themeColor="text1"/>
          <w:lang w:val="sq-AL" w:bidi="ar-SA"/>
        </w:rPr>
        <w:t xml:space="preserve"> mbi baz</w:t>
      </w:r>
      <w:r w:rsidR="002F2F95" w:rsidRPr="005522F5">
        <w:rPr>
          <w:rFonts w:ascii="Times New Roman" w:eastAsia="Calibri" w:hAnsi="Times New Roman"/>
          <w:color w:val="000000" w:themeColor="text1"/>
          <w:lang w:val="sq-AL" w:bidi="ar-SA"/>
        </w:rPr>
        <w:t>ë</w:t>
      </w:r>
      <w:r w:rsidR="0010028D" w:rsidRPr="005522F5">
        <w:rPr>
          <w:rFonts w:ascii="Times New Roman" w:eastAsia="Calibri" w:hAnsi="Times New Roman"/>
          <w:color w:val="000000" w:themeColor="text1"/>
          <w:lang w:val="sq-AL" w:bidi="ar-SA"/>
        </w:rPr>
        <w:t>n e orientimit t</w:t>
      </w:r>
      <w:r w:rsidR="002F2F95" w:rsidRPr="005522F5">
        <w:rPr>
          <w:rFonts w:ascii="Times New Roman" w:eastAsia="Calibri" w:hAnsi="Times New Roman"/>
          <w:color w:val="000000" w:themeColor="text1"/>
          <w:lang w:val="sq-AL" w:bidi="ar-SA"/>
        </w:rPr>
        <w:t>ë</w:t>
      </w:r>
      <w:r w:rsidR="0010028D" w:rsidRPr="005522F5">
        <w:rPr>
          <w:rFonts w:ascii="Times New Roman" w:eastAsia="Calibri" w:hAnsi="Times New Roman"/>
          <w:color w:val="000000" w:themeColor="text1"/>
          <w:lang w:val="sq-AL" w:bidi="ar-SA"/>
        </w:rPr>
        <w:t xml:space="preserve"> gjyqtarit t</w:t>
      </w:r>
      <w:r w:rsidR="002F2F95" w:rsidRPr="005522F5">
        <w:rPr>
          <w:rFonts w:ascii="Times New Roman" w:eastAsia="Calibri" w:hAnsi="Times New Roman"/>
          <w:color w:val="000000" w:themeColor="text1"/>
          <w:lang w:val="sq-AL" w:bidi="ar-SA"/>
        </w:rPr>
        <w:t>ë</w:t>
      </w:r>
      <w:r w:rsidR="0010028D" w:rsidRPr="005522F5">
        <w:rPr>
          <w:rFonts w:ascii="Times New Roman" w:eastAsia="Calibri" w:hAnsi="Times New Roman"/>
          <w:color w:val="000000" w:themeColor="text1"/>
          <w:lang w:val="sq-AL" w:bidi="ar-SA"/>
        </w:rPr>
        <w:t xml:space="preserve"> seanc</w:t>
      </w:r>
      <w:r w:rsidR="002F2F95" w:rsidRPr="005522F5">
        <w:rPr>
          <w:rFonts w:ascii="Times New Roman" w:eastAsia="Calibri" w:hAnsi="Times New Roman"/>
          <w:color w:val="000000" w:themeColor="text1"/>
          <w:lang w:val="sq-AL" w:bidi="ar-SA"/>
        </w:rPr>
        <w:t>ë</w:t>
      </w:r>
      <w:r w:rsidR="0010028D" w:rsidRPr="005522F5">
        <w:rPr>
          <w:rFonts w:ascii="Times New Roman" w:eastAsia="Calibri" w:hAnsi="Times New Roman"/>
          <w:color w:val="000000" w:themeColor="text1"/>
          <w:lang w:val="sq-AL" w:bidi="ar-SA"/>
        </w:rPr>
        <w:t>s paraprake</w:t>
      </w:r>
      <w:r w:rsidRPr="005522F5">
        <w:rPr>
          <w:rFonts w:ascii="Times New Roman" w:eastAsia="Calibri" w:hAnsi="Times New Roman"/>
          <w:color w:val="000000" w:themeColor="text1"/>
          <w:lang w:val="sq-AL" w:bidi="ar-SA"/>
        </w:rPr>
        <w:t xml:space="preserve">, është një vendim që i përket prokurorisë, si organi që ushtron ndjekjen penale dhe që ka atributin </w:t>
      </w:r>
      <w:r w:rsidR="0010028D" w:rsidRPr="005522F5">
        <w:rPr>
          <w:rFonts w:ascii="Times New Roman" w:eastAsia="Calibri" w:hAnsi="Times New Roman"/>
          <w:color w:val="000000" w:themeColor="text1"/>
          <w:lang w:val="sq-AL" w:bidi="ar-SA"/>
        </w:rPr>
        <w:t>gjatë hetimeve paraprake t</w:t>
      </w:r>
      <w:r w:rsidR="002F2F95" w:rsidRPr="005522F5">
        <w:rPr>
          <w:rFonts w:ascii="Times New Roman" w:eastAsia="Calibri" w:hAnsi="Times New Roman"/>
          <w:color w:val="000000" w:themeColor="text1"/>
          <w:lang w:val="sq-AL" w:bidi="ar-SA"/>
        </w:rPr>
        <w:t>ë</w:t>
      </w:r>
      <w:r w:rsidR="0010028D" w:rsidRPr="005522F5">
        <w:rPr>
          <w:rFonts w:ascii="Times New Roman" w:eastAsia="Calibri" w:hAnsi="Times New Roman"/>
          <w:color w:val="000000" w:themeColor="text1"/>
          <w:lang w:val="sq-AL" w:bidi="ar-SA"/>
        </w:rPr>
        <w:t xml:space="preserve"> ndryshoj</w:t>
      </w:r>
      <w:r w:rsidR="002F2F95" w:rsidRPr="005522F5">
        <w:rPr>
          <w:rFonts w:ascii="Times New Roman" w:eastAsia="Calibri" w:hAnsi="Times New Roman"/>
          <w:color w:val="000000" w:themeColor="text1"/>
          <w:lang w:val="sq-AL" w:bidi="ar-SA"/>
        </w:rPr>
        <w:t>ë</w:t>
      </w:r>
      <w:r w:rsidR="0010028D" w:rsidRPr="005522F5">
        <w:rPr>
          <w:rFonts w:ascii="Times New Roman" w:eastAsia="Calibri" w:hAnsi="Times New Roman"/>
          <w:color w:val="000000" w:themeColor="text1"/>
          <w:lang w:val="sq-AL" w:bidi="ar-SA"/>
        </w:rPr>
        <w:t xml:space="preserve"> cilësimin juridik ose ndonjë rrethanë t</w:t>
      </w:r>
      <w:r w:rsidR="002F2F95" w:rsidRPr="005522F5">
        <w:rPr>
          <w:rFonts w:ascii="Times New Roman" w:eastAsia="Calibri" w:hAnsi="Times New Roman"/>
          <w:color w:val="000000" w:themeColor="text1"/>
          <w:lang w:val="sq-AL" w:bidi="ar-SA"/>
        </w:rPr>
        <w:t>ë</w:t>
      </w:r>
      <w:r w:rsidR="0010028D" w:rsidRPr="005522F5">
        <w:rPr>
          <w:rFonts w:ascii="Times New Roman" w:eastAsia="Calibri" w:hAnsi="Times New Roman"/>
          <w:color w:val="000000" w:themeColor="text1"/>
          <w:lang w:val="sq-AL" w:bidi="ar-SA"/>
        </w:rPr>
        <w:t xml:space="preserve"> kryerjes së veprës penale, duke urdhëruar pasqyrimin e tyre në shënimet e bëra sipas paragrafit 1 të </w:t>
      </w:r>
      <w:r w:rsidR="002F2F95" w:rsidRPr="005522F5">
        <w:rPr>
          <w:rFonts w:ascii="Times New Roman" w:eastAsia="Calibri" w:hAnsi="Times New Roman"/>
          <w:color w:val="000000" w:themeColor="text1"/>
          <w:lang w:val="sq-AL" w:bidi="ar-SA"/>
        </w:rPr>
        <w:t xml:space="preserve">nenit 287 të KPP. </w:t>
      </w:r>
      <w:r w:rsidRPr="005522F5">
        <w:rPr>
          <w:rFonts w:ascii="Times New Roman" w:eastAsia="Calibri" w:hAnsi="Times New Roman"/>
          <w:color w:val="000000" w:themeColor="text1"/>
          <w:lang w:val="sq-AL" w:bidi="ar-SA"/>
        </w:rPr>
        <w:t>Vetëm në rastin e shqyrtimit të kërkesës për dërgimin e çështjes në gjyq, gjyqtari i seancës paraprake mund të disponojë edhe me vendim për deklarimin e moskompetencës, në bazë të nenit 332/dh, pika 1, shkronja “d” të KPP. Në fazën e shqyrtimit të kërkesës për pushimin e çështjes penale, një disponim i tillë nuk parashikohet nga ligji.</w:t>
      </w:r>
    </w:p>
    <w:p w14:paraId="7387ACB0" w14:textId="540A3709" w:rsidR="0080622B" w:rsidRPr="005522F5" w:rsidRDefault="00244AA0" w:rsidP="00922916">
      <w:pPr>
        <w:pStyle w:val="ListParagraph"/>
        <w:numPr>
          <w:ilvl w:val="0"/>
          <w:numId w:val="11"/>
        </w:numPr>
        <w:tabs>
          <w:tab w:val="left" w:pos="540"/>
        </w:tabs>
        <w:ind w:left="0" w:firstLine="360"/>
        <w:jc w:val="both"/>
        <w:rPr>
          <w:rFonts w:ascii="Times New Roman" w:hAnsi="Times New Roman"/>
          <w:iCs/>
          <w:color w:val="000000" w:themeColor="text1"/>
          <w:kern w:val="2"/>
          <w:lang w:val="sq-AL"/>
          <w14:ligatures w14:val="standardContextual"/>
        </w:rPr>
      </w:pPr>
      <w:r w:rsidRPr="005522F5">
        <w:rPr>
          <w:rFonts w:ascii="Times New Roman" w:eastAsia="Calibri" w:hAnsi="Times New Roman"/>
          <w:color w:val="000000" w:themeColor="text1"/>
          <w:lang w:val="sq-AL" w:bidi="ar-SA"/>
        </w:rPr>
        <w:t>Në rastin konkret, objekti i shqyrtimit është kërkesa për pushimin e procedimit për nenin 248 të Kodit Penal. Për këtë vepër, kompetente është Gjykata e Shkallës së Parë e Juridiksionit të Përgjithshëm Kukës. Kolegji vler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son se, kompetenca lëndore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 shqyrtimin e k</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rkes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s</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prokurorit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 pushimin e akuz</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w:t>
      </w:r>
      <w:r w:rsidR="00C742CD" w:rsidRPr="005522F5">
        <w:rPr>
          <w:rFonts w:ascii="Times New Roman" w:eastAsia="Calibri" w:hAnsi="Times New Roman"/>
          <w:color w:val="000000" w:themeColor="text1"/>
          <w:lang w:val="sq-AL" w:bidi="ar-SA"/>
        </w:rPr>
        <w:t>çë</w:t>
      </w:r>
      <w:r w:rsidRPr="005522F5">
        <w:rPr>
          <w:rFonts w:ascii="Times New Roman" w:eastAsia="Calibri" w:hAnsi="Times New Roman"/>
          <w:color w:val="000000" w:themeColor="text1"/>
          <w:lang w:val="sq-AL" w:bidi="ar-SA"/>
        </w:rPr>
        <w:t>shtjes përcaktohet nga vepra penale konkrete për të cilën është regjistruar procedimi penal dhe për të cilën kërkohet vendimmarrje. GJKKO ka kompetencë 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ndore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parashikuar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m</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nyr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taksative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nenin 75/a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KPP, e cila nuk mund të zgjerohet mbi bazë objekti material të hetimit, si</w:t>
      </w:r>
      <w:r w:rsidR="00C742CD" w:rsidRPr="005522F5">
        <w:rPr>
          <w:rFonts w:ascii="Times New Roman" w:eastAsia="Calibri" w:hAnsi="Times New Roman"/>
          <w:color w:val="000000" w:themeColor="text1"/>
          <w:lang w:val="sq-AL" w:bidi="ar-SA"/>
        </w:rPr>
        <w:t>ç</w:t>
      </w:r>
      <w:r w:rsidRPr="005522F5">
        <w:rPr>
          <w:rFonts w:ascii="Times New Roman" w:eastAsia="Calibri" w:hAnsi="Times New Roman"/>
          <w:color w:val="000000" w:themeColor="text1"/>
          <w:lang w:val="sq-AL" w:bidi="ar-SA"/>
        </w:rPr>
        <w:t xml:space="preserve"> </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sht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rasti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gjykim,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 nj</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procedur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prokurimi publik. Në fazën e shqyrtimit të kërkesës për pushim, gjyqtari i seanc</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 paraprake nuk mund të deklarojë moskompetencën mbi bazën e një cil</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simi tjetër juridik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objektit material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hetimit të vler</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suar prej tij. </w:t>
      </w:r>
    </w:p>
    <w:p w14:paraId="70FA665E" w14:textId="621F6731" w:rsidR="0080622B" w:rsidRPr="005522F5" w:rsidRDefault="00244AA0" w:rsidP="00922916">
      <w:pPr>
        <w:pStyle w:val="ListParagraph"/>
        <w:numPr>
          <w:ilvl w:val="0"/>
          <w:numId w:val="11"/>
        </w:numPr>
        <w:tabs>
          <w:tab w:val="left" w:pos="540"/>
        </w:tabs>
        <w:ind w:left="0" w:firstLine="360"/>
        <w:jc w:val="both"/>
        <w:rPr>
          <w:rFonts w:ascii="Times New Roman" w:hAnsi="Times New Roman"/>
          <w:iCs/>
          <w:color w:val="000000" w:themeColor="text1"/>
          <w:kern w:val="2"/>
          <w:lang w:val="sq-AL"/>
          <w14:ligatures w14:val="standardContextual"/>
        </w:rPr>
      </w:pPr>
      <w:r w:rsidRPr="005522F5">
        <w:rPr>
          <w:rFonts w:ascii="Times New Roman" w:eastAsia="Calibri" w:hAnsi="Times New Roman"/>
          <w:color w:val="000000" w:themeColor="text1"/>
          <w:lang w:val="sq-AL" w:bidi="ar-SA"/>
        </w:rPr>
        <w:t>Kolegji thekson se vlerësimi i ekzistencës ose jo të elementëve të veprave penale i përket analizës së themelit të kërkesës për pushimin e procedimit. Gjykata e Shkallës së Parë të Juridiksionit të Përgjithshëm Kukës</w:t>
      </w:r>
      <w:r w:rsidR="002F2F95" w:rsidRPr="005522F5">
        <w:rPr>
          <w:rFonts w:ascii="Times New Roman" w:eastAsia="Calibri" w:hAnsi="Times New Roman"/>
          <w:color w:val="000000" w:themeColor="text1"/>
          <w:lang w:val="sq-AL" w:bidi="ar-SA"/>
        </w:rPr>
        <w:t>,</w:t>
      </w:r>
      <w:r w:rsidRPr="005522F5">
        <w:rPr>
          <w:rFonts w:ascii="Times New Roman" w:eastAsia="Calibri" w:hAnsi="Times New Roman"/>
          <w:color w:val="000000" w:themeColor="text1"/>
          <w:lang w:val="sq-AL" w:bidi="ar-SA"/>
        </w:rPr>
        <w:t xml:space="preserve"> e cila do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gjykoj</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çështjen </w:t>
      </w:r>
      <w:r w:rsidR="002F2F95" w:rsidRPr="005522F5">
        <w:rPr>
          <w:rFonts w:ascii="Times New Roman" w:eastAsia="Calibri" w:hAnsi="Times New Roman"/>
          <w:color w:val="000000" w:themeColor="text1"/>
          <w:lang w:val="sq-AL" w:bidi="ar-SA"/>
        </w:rPr>
        <w:t xml:space="preserve">objekt shqyrtimi </w:t>
      </w:r>
      <w:r w:rsidRPr="005522F5">
        <w:rPr>
          <w:rFonts w:ascii="Times New Roman" w:eastAsia="Calibri" w:hAnsi="Times New Roman"/>
          <w:color w:val="000000" w:themeColor="text1"/>
          <w:lang w:val="sq-AL" w:bidi="ar-SA"/>
        </w:rPr>
        <w:t>është e lirë për të vlerësuar ekzistencën ose jo të elementëve të veprave të ndryshme penale dhe në bazë të këtij vlerësimi, të disponojë mbi kërkesën për pushimin e procedimit penal, sipas parashikimit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nenit 329/b t</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KPP. </w:t>
      </w:r>
      <w:r w:rsidR="0080622B" w:rsidRPr="005522F5">
        <w:rPr>
          <w:rFonts w:ascii="Times New Roman" w:eastAsia="Calibri" w:hAnsi="Times New Roman"/>
          <w:color w:val="000000" w:themeColor="text1"/>
          <w:lang w:val="sq-AL" w:bidi="ar-SA"/>
        </w:rPr>
        <w:t xml:space="preserve">Nëse, brenda kufijve të këtij disponimi, gjyqtari vlerëson se kualifikimi juridik i veprës penale nga organi i akuzës nuk është i saktë dhe se fakti duhet të cilësohet ndryshe, në mënyrë të tillë që prokuroria që ka proceduar deri në atë moment të rezultojë jokompetente, ai duhet ta arsyetojë këtë qëndrim në vendimin e tij, duke i kërkuar organit procedues të reflektojë mbi ndryshimin e cilësimit juridik të veprës penale. Një ndryshim i tillë i cilësimit, i pasqyruar në regjistrin e njoftimit të veprave penale, mund të passjellë më pas deklarimin e moskompetencës lëndore të prokurorisë për të vijuar hetimet apo për të marrë një vendim përfundimtar lidhur me akuzat në ngarkim të personave nën hetim. Megjithatë, vetë disponimi për ndryshimin e cilësimit juridik dhe për deklarimin e moskompetencës i përket prokurorisë, si organi që ushtron ndjekjen penale. Prokuroria, së cilës i </w:t>
      </w:r>
      <w:r w:rsidR="002F2F95" w:rsidRPr="005522F5">
        <w:rPr>
          <w:rFonts w:ascii="Times New Roman" w:eastAsia="Calibri" w:hAnsi="Times New Roman"/>
          <w:color w:val="000000" w:themeColor="text1"/>
          <w:lang w:val="sq-AL" w:bidi="ar-SA"/>
        </w:rPr>
        <w:t>kalohen</w:t>
      </w:r>
      <w:r w:rsidR="0080622B" w:rsidRPr="005522F5">
        <w:rPr>
          <w:rFonts w:ascii="Times New Roman" w:eastAsia="Calibri" w:hAnsi="Times New Roman"/>
          <w:color w:val="000000" w:themeColor="text1"/>
          <w:lang w:val="sq-AL" w:bidi="ar-SA"/>
        </w:rPr>
        <w:t xml:space="preserve"> aktet, në momentin e shqyrtimit të pranimit të tyre, duhet të marrë në konsideratë edhe arsyetimin e gjykatës, e cila në njëfarë mënyre ka orientuar ndryshimin e cilësimit juridik. Një qasje e tillë shmang krijimin e situatave që mund të çojnë në </w:t>
      </w:r>
      <w:r w:rsidR="002F2F95" w:rsidRPr="005522F5">
        <w:rPr>
          <w:rFonts w:ascii="Times New Roman" w:eastAsia="Calibri" w:hAnsi="Times New Roman"/>
          <w:color w:val="000000" w:themeColor="text1"/>
          <w:lang w:val="sq-AL" w:bidi="ar-SA"/>
        </w:rPr>
        <w:t>“</w:t>
      </w:r>
      <w:r w:rsidR="0080622B" w:rsidRPr="005522F5">
        <w:rPr>
          <w:rFonts w:ascii="Times New Roman" w:eastAsia="Calibri" w:hAnsi="Times New Roman"/>
          <w:color w:val="000000" w:themeColor="text1"/>
          <w:lang w:val="sq-AL" w:bidi="ar-SA"/>
        </w:rPr>
        <w:t>ngërç</w:t>
      </w:r>
      <w:r w:rsidR="002F2F95" w:rsidRPr="005522F5">
        <w:rPr>
          <w:rFonts w:ascii="Times New Roman" w:eastAsia="Calibri" w:hAnsi="Times New Roman"/>
          <w:color w:val="000000" w:themeColor="text1"/>
          <w:lang w:val="sq-AL" w:bidi="ar-SA"/>
        </w:rPr>
        <w:t>”</w:t>
      </w:r>
      <w:r w:rsidR="0080622B" w:rsidRPr="005522F5">
        <w:rPr>
          <w:rFonts w:ascii="Times New Roman" w:eastAsia="Calibri" w:hAnsi="Times New Roman"/>
          <w:color w:val="000000" w:themeColor="text1"/>
          <w:lang w:val="sq-AL" w:bidi="ar-SA"/>
        </w:rPr>
        <w:t xml:space="preserve"> apo zvarritje të panevojshme të procedimit penal.</w:t>
      </w:r>
    </w:p>
    <w:p w14:paraId="281DCCC3" w14:textId="5F89E690" w:rsidR="00922916" w:rsidRPr="005522F5" w:rsidRDefault="00F507FB" w:rsidP="005E3F86">
      <w:pPr>
        <w:pStyle w:val="ListParagraph"/>
        <w:numPr>
          <w:ilvl w:val="0"/>
          <w:numId w:val="11"/>
        </w:numPr>
        <w:tabs>
          <w:tab w:val="left" w:pos="540"/>
        </w:tabs>
        <w:ind w:left="0" w:firstLine="360"/>
        <w:jc w:val="both"/>
        <w:rPr>
          <w:rFonts w:ascii="Times New Roman" w:hAnsi="Times New Roman"/>
          <w:iCs/>
          <w:color w:val="000000" w:themeColor="text1"/>
          <w:kern w:val="2"/>
          <w:lang w:val="sq-AL"/>
          <w14:ligatures w14:val="standardContextual"/>
        </w:rPr>
      </w:pPr>
      <w:r w:rsidRPr="005522F5">
        <w:rPr>
          <w:rFonts w:ascii="Times New Roman" w:eastAsia="Calibri" w:hAnsi="Times New Roman"/>
          <w:color w:val="000000" w:themeColor="text1"/>
          <w:lang w:val="sq-AL" w:bidi="ar-SA"/>
        </w:rPr>
        <w:t xml:space="preserve">Për </w:t>
      </w:r>
      <w:r w:rsidR="0080622B" w:rsidRPr="005522F5">
        <w:rPr>
          <w:rFonts w:ascii="Times New Roman" w:eastAsia="Calibri" w:hAnsi="Times New Roman"/>
          <w:color w:val="000000" w:themeColor="text1"/>
          <w:lang w:val="sq-AL" w:bidi="ar-SA"/>
        </w:rPr>
        <w:t>sa m</w:t>
      </w:r>
      <w:r w:rsidR="00C742CD" w:rsidRPr="005522F5">
        <w:rPr>
          <w:rFonts w:ascii="Times New Roman" w:eastAsia="Calibri" w:hAnsi="Times New Roman"/>
          <w:color w:val="000000" w:themeColor="text1"/>
          <w:lang w:val="sq-AL" w:bidi="ar-SA"/>
        </w:rPr>
        <w:t>ë</w:t>
      </w:r>
      <w:r w:rsidR="0080622B" w:rsidRPr="005522F5">
        <w:rPr>
          <w:rFonts w:ascii="Times New Roman" w:eastAsia="Calibri" w:hAnsi="Times New Roman"/>
          <w:color w:val="000000" w:themeColor="text1"/>
          <w:lang w:val="sq-AL" w:bidi="ar-SA"/>
        </w:rPr>
        <w:t xml:space="preserve"> sip</w:t>
      </w:r>
      <w:r w:rsidR="00C742CD" w:rsidRPr="005522F5">
        <w:rPr>
          <w:rFonts w:ascii="Times New Roman" w:eastAsia="Calibri" w:hAnsi="Times New Roman"/>
          <w:color w:val="000000" w:themeColor="text1"/>
          <w:lang w:val="sq-AL" w:bidi="ar-SA"/>
        </w:rPr>
        <w:t>ë</w:t>
      </w:r>
      <w:r w:rsidR="0080622B" w:rsidRPr="005522F5">
        <w:rPr>
          <w:rFonts w:ascii="Times New Roman" w:eastAsia="Calibri" w:hAnsi="Times New Roman"/>
          <w:color w:val="000000" w:themeColor="text1"/>
          <w:lang w:val="sq-AL" w:bidi="ar-SA"/>
        </w:rPr>
        <w:t>r</w:t>
      </w:r>
      <w:r w:rsidRPr="005522F5">
        <w:rPr>
          <w:rFonts w:ascii="Times New Roman" w:eastAsia="Calibri" w:hAnsi="Times New Roman"/>
          <w:color w:val="000000" w:themeColor="text1"/>
          <w:lang w:val="sq-AL" w:bidi="ar-SA"/>
        </w:rPr>
        <w:t>, Kolegji arrin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p</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rfundimin se mosmarrëveshja e kompetencës n</w:t>
      </w:r>
      <w:r w:rsidR="00C742CD" w:rsidRPr="005522F5">
        <w:rPr>
          <w:rFonts w:ascii="Times New Roman" w:eastAsia="Calibri" w:hAnsi="Times New Roman"/>
          <w:color w:val="000000" w:themeColor="text1"/>
          <w:lang w:val="sq-AL" w:bidi="ar-SA"/>
        </w:rPr>
        <w:t>ë</w:t>
      </w:r>
      <w:r w:rsidRPr="005522F5">
        <w:rPr>
          <w:rFonts w:ascii="Times New Roman" w:eastAsia="Calibri" w:hAnsi="Times New Roman"/>
          <w:color w:val="000000" w:themeColor="text1"/>
          <w:lang w:val="sq-AL" w:bidi="ar-SA"/>
        </w:rPr>
        <w:t xml:space="preserve"> rastin konkret do të zgjidhet duke përcaktuar si gjykatë kompetente për shqyrtimin e kërkesës për pushimin e procedimit penal nr. 238/2021, Gjykatën e Shkallës së Parë të Juridiksionit të Përgjithshëm Kukës, dhe jo Gjykatën e Posaçme kundër Korrupsionit dhe Krimit të Organizuar (GJKKO).</w:t>
      </w:r>
    </w:p>
    <w:p w14:paraId="542C5C41" w14:textId="77777777" w:rsidR="00922916" w:rsidRPr="005522F5" w:rsidRDefault="00922916" w:rsidP="00922916">
      <w:pPr>
        <w:pStyle w:val="ListParagraph"/>
        <w:tabs>
          <w:tab w:val="left" w:pos="540"/>
        </w:tabs>
        <w:ind w:left="360"/>
        <w:jc w:val="both"/>
        <w:rPr>
          <w:rFonts w:ascii="Times New Roman" w:hAnsi="Times New Roman"/>
          <w:iCs/>
          <w:color w:val="000000" w:themeColor="text1"/>
          <w:kern w:val="2"/>
          <w:lang w:val="sq-AL"/>
          <w14:ligatures w14:val="standardContextual"/>
        </w:rPr>
      </w:pPr>
    </w:p>
    <w:p w14:paraId="47ED65C5" w14:textId="5A6824C6" w:rsidR="00922916" w:rsidRPr="005522F5" w:rsidRDefault="0031088E" w:rsidP="00922916">
      <w:pPr>
        <w:jc w:val="center"/>
        <w:rPr>
          <w:rFonts w:ascii="Times New Roman" w:eastAsia="Calibri" w:hAnsi="Times New Roman"/>
          <w:b/>
          <w:color w:val="000000" w:themeColor="text1"/>
          <w:lang w:bidi="ar-SA"/>
        </w:rPr>
      </w:pPr>
      <w:r w:rsidRPr="005522F5">
        <w:rPr>
          <w:rFonts w:ascii="Times New Roman" w:eastAsia="Calibri" w:hAnsi="Times New Roman"/>
          <w:b/>
          <w:color w:val="000000" w:themeColor="text1"/>
          <w:lang w:bidi="ar-SA"/>
        </w:rPr>
        <w:t>PËR KËTO ARSYE</w:t>
      </w:r>
      <w:bookmarkEnd w:id="1"/>
    </w:p>
    <w:p w14:paraId="427D13A0" w14:textId="77777777" w:rsidR="006A7CCE" w:rsidRPr="005522F5" w:rsidRDefault="006A7CCE" w:rsidP="00C6342A">
      <w:pPr>
        <w:jc w:val="center"/>
        <w:rPr>
          <w:rFonts w:ascii="Times New Roman" w:eastAsia="Calibri" w:hAnsi="Times New Roman"/>
          <w:b/>
          <w:color w:val="000000" w:themeColor="text1"/>
          <w:lang w:bidi="ar-SA"/>
        </w:rPr>
      </w:pPr>
    </w:p>
    <w:p w14:paraId="3ABFA379" w14:textId="1E9F1EA0" w:rsidR="00FA6ED7" w:rsidRPr="005522F5" w:rsidRDefault="003E4FC4" w:rsidP="00C6342A">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imes New Roman" w:hAnsi="Times New Roman"/>
          <w:bCs/>
          <w:color w:val="000000" w:themeColor="text1"/>
          <w:lang w:bidi="ar-SA"/>
        </w:rPr>
      </w:pPr>
      <w:r w:rsidRPr="005522F5">
        <w:rPr>
          <w:rFonts w:ascii="Times New Roman" w:hAnsi="Times New Roman"/>
          <w:color w:val="000000" w:themeColor="text1"/>
        </w:rPr>
        <w:tab/>
        <w:t xml:space="preserve">Kolegji Penal i Gjykatës së Lartë, </w:t>
      </w:r>
      <w:r w:rsidRPr="005522F5">
        <w:rPr>
          <w:rFonts w:ascii="Times New Roman" w:hAnsi="Times New Roman"/>
          <w:bCs/>
          <w:color w:val="000000" w:themeColor="text1"/>
          <w:lang w:bidi="ar-SA"/>
        </w:rPr>
        <w:t xml:space="preserve">mbështetur në </w:t>
      </w:r>
      <w:r w:rsidR="00053DC0" w:rsidRPr="005522F5">
        <w:rPr>
          <w:rFonts w:ascii="Times New Roman" w:hAnsi="Times New Roman"/>
          <w:bCs/>
          <w:color w:val="000000" w:themeColor="text1"/>
          <w:lang w:bidi="ar-SA"/>
        </w:rPr>
        <w:t>nenin 91</w:t>
      </w:r>
      <w:r w:rsidRPr="005522F5">
        <w:rPr>
          <w:rFonts w:ascii="Times New Roman" w:hAnsi="Times New Roman"/>
          <w:bCs/>
          <w:color w:val="000000" w:themeColor="text1"/>
          <w:lang w:bidi="ar-SA"/>
        </w:rPr>
        <w:t xml:space="preserve"> të Kodit të Procedurës Penale,</w:t>
      </w:r>
    </w:p>
    <w:p w14:paraId="5966AAAD" w14:textId="77777777" w:rsidR="00053DC0" w:rsidRPr="005522F5" w:rsidRDefault="00053DC0" w:rsidP="00C6342A">
      <w:pPr>
        <w:tabs>
          <w:tab w:val="left" w:pos="3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imes New Roman" w:hAnsi="Times New Roman"/>
          <w:bCs/>
          <w:color w:val="000000" w:themeColor="text1"/>
          <w:lang w:bidi="ar-SA"/>
        </w:rPr>
      </w:pPr>
    </w:p>
    <w:p w14:paraId="3BB4F0EA" w14:textId="4CA9D050" w:rsidR="00056F9A" w:rsidRPr="005522F5" w:rsidRDefault="003E4FC4" w:rsidP="00C6342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center"/>
        <w:rPr>
          <w:rFonts w:ascii="Times New Roman" w:hAnsi="Times New Roman"/>
          <w:b/>
          <w:bCs/>
          <w:color w:val="000000" w:themeColor="text1"/>
          <w:lang w:bidi="ar-SA"/>
        </w:rPr>
      </w:pPr>
      <w:r w:rsidRPr="005522F5">
        <w:rPr>
          <w:rFonts w:ascii="Times New Roman" w:hAnsi="Times New Roman"/>
          <w:b/>
          <w:bCs/>
          <w:color w:val="000000" w:themeColor="text1"/>
          <w:lang w:bidi="ar-SA"/>
        </w:rPr>
        <w:t>V E N D O S I</w:t>
      </w:r>
    </w:p>
    <w:p w14:paraId="29A9682D" w14:textId="77777777" w:rsidR="00475EF6" w:rsidRPr="005522F5" w:rsidRDefault="00475EF6" w:rsidP="00C6342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center"/>
        <w:rPr>
          <w:rFonts w:ascii="Times New Roman" w:hAnsi="Times New Roman"/>
          <w:b/>
          <w:bCs/>
          <w:color w:val="000000" w:themeColor="text1"/>
          <w:lang w:bidi="ar-SA"/>
        </w:rPr>
      </w:pPr>
    </w:p>
    <w:p w14:paraId="57A92020" w14:textId="77777777" w:rsidR="00053DC0" w:rsidRPr="005522F5" w:rsidRDefault="00053DC0" w:rsidP="00C6342A">
      <w:pPr>
        <w:ind w:firstLine="360"/>
        <w:jc w:val="both"/>
        <w:rPr>
          <w:rFonts w:ascii="Times New Roman" w:hAnsi="Times New Roman"/>
          <w:bCs/>
          <w:color w:val="000000" w:themeColor="text1"/>
          <w:lang w:eastAsia="it-IT" w:bidi="it-IT"/>
        </w:rPr>
      </w:pPr>
      <w:r w:rsidRPr="005522F5">
        <w:rPr>
          <w:rFonts w:ascii="Times New Roman" w:hAnsi="Times New Roman"/>
          <w:bCs/>
          <w:iCs/>
          <w:color w:val="000000" w:themeColor="text1"/>
        </w:rPr>
        <w:t>1.</w:t>
      </w:r>
      <w:r w:rsidRPr="005522F5">
        <w:rPr>
          <w:rFonts w:ascii="Times New Roman" w:hAnsi="Times New Roman"/>
          <w:bCs/>
          <w:i/>
          <w:color w:val="000000" w:themeColor="text1"/>
        </w:rPr>
        <w:t xml:space="preserve"> </w:t>
      </w:r>
      <w:r w:rsidRPr="005522F5">
        <w:rPr>
          <w:rFonts w:ascii="Times New Roman" w:hAnsi="Times New Roman"/>
          <w:bCs/>
          <w:color w:val="000000" w:themeColor="text1"/>
          <w:lang w:eastAsia="it-IT" w:bidi="it-IT"/>
        </w:rPr>
        <w:t xml:space="preserve">Zgjidhjen e mosmarrëveshjes së kompetencës ndërmjet Gjykatës së Posaçme të Shkallës së Parë për Korrupsionin dhe Krimin e Organizuar dhe Gjykatës së Shkallës së Parë të Juridiksionit të Përgjithshëm Kukës, duke përcaktuar Gjykatën e Shkallës së Parë të Juridiksionit të Përgjithshëm Kukës, si gjykata kompetente për shqyrtimin e çështjes. </w:t>
      </w:r>
    </w:p>
    <w:p w14:paraId="22A755A8" w14:textId="5AF0819C" w:rsidR="00053DC0" w:rsidRPr="005522F5" w:rsidRDefault="00053DC0" w:rsidP="00C6342A">
      <w:pPr>
        <w:ind w:firstLine="360"/>
        <w:jc w:val="both"/>
        <w:rPr>
          <w:rFonts w:ascii="Times New Roman" w:hAnsi="Times New Roman"/>
          <w:bCs/>
          <w:color w:val="000000" w:themeColor="text1"/>
          <w:lang w:eastAsia="it-IT" w:bidi="it-IT"/>
        </w:rPr>
      </w:pPr>
      <w:r w:rsidRPr="005522F5">
        <w:rPr>
          <w:rFonts w:ascii="Times New Roman" w:hAnsi="Times New Roman"/>
          <w:color w:val="000000" w:themeColor="text1"/>
          <w:lang w:eastAsia="it-IT"/>
        </w:rPr>
        <w:t xml:space="preserve">2. Vendimi t’u komunikohet gjykatave në mosmarrëveshje. </w:t>
      </w:r>
      <w:r w:rsidRPr="005522F5">
        <w:rPr>
          <w:rFonts w:ascii="Times New Roman" w:hAnsi="Times New Roman"/>
          <w:b/>
          <w:color w:val="000000" w:themeColor="text1"/>
        </w:rPr>
        <w:t xml:space="preserve">      </w:t>
      </w:r>
    </w:p>
    <w:p w14:paraId="532EAA30" w14:textId="77777777" w:rsidR="003B3D5A" w:rsidRPr="005522F5" w:rsidRDefault="003B3D5A" w:rsidP="00C6342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firstLine="360"/>
        <w:jc w:val="both"/>
        <w:rPr>
          <w:rFonts w:ascii="Times New Roman" w:hAnsi="Times New Roman"/>
          <w:bCs/>
          <w:color w:val="000000" w:themeColor="text1"/>
        </w:rPr>
      </w:pPr>
    </w:p>
    <w:p w14:paraId="38F9F544" w14:textId="5D659108" w:rsidR="00A762DA" w:rsidRPr="005522F5" w:rsidRDefault="003E4FC4" w:rsidP="00C634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b/>
          <w:color w:val="000000" w:themeColor="text1"/>
        </w:rPr>
      </w:pPr>
      <w:r w:rsidRPr="005522F5">
        <w:rPr>
          <w:rFonts w:ascii="Times New Roman" w:hAnsi="Times New Roman"/>
          <w:bCs/>
          <w:i/>
          <w:color w:val="000000" w:themeColor="text1"/>
        </w:rPr>
        <w:tab/>
      </w:r>
      <w:r w:rsidRPr="005522F5">
        <w:rPr>
          <w:rFonts w:ascii="Times New Roman" w:hAnsi="Times New Roman"/>
          <w:bCs/>
          <w:i/>
          <w:color w:val="000000" w:themeColor="text1"/>
        </w:rPr>
        <w:tab/>
      </w:r>
      <w:r w:rsidRPr="005522F5">
        <w:rPr>
          <w:rFonts w:ascii="Times New Roman" w:hAnsi="Times New Roman"/>
          <w:bCs/>
          <w:i/>
          <w:color w:val="000000" w:themeColor="text1"/>
        </w:rPr>
        <w:tab/>
      </w:r>
      <w:r w:rsidRPr="005522F5">
        <w:rPr>
          <w:rFonts w:ascii="Times New Roman" w:hAnsi="Times New Roman"/>
          <w:bCs/>
          <w:i/>
          <w:color w:val="000000" w:themeColor="text1"/>
        </w:rPr>
        <w:tab/>
      </w:r>
      <w:r w:rsidRPr="005522F5">
        <w:rPr>
          <w:rFonts w:ascii="Times New Roman" w:hAnsi="Times New Roman"/>
          <w:bCs/>
          <w:i/>
          <w:color w:val="000000" w:themeColor="text1"/>
        </w:rPr>
        <w:tab/>
      </w:r>
      <w:r w:rsidRPr="005522F5">
        <w:rPr>
          <w:rFonts w:ascii="Times New Roman" w:hAnsi="Times New Roman"/>
          <w:bCs/>
          <w:i/>
          <w:color w:val="000000" w:themeColor="text1"/>
        </w:rPr>
        <w:tab/>
      </w:r>
      <w:r w:rsidRPr="005522F5">
        <w:rPr>
          <w:rFonts w:ascii="Times New Roman" w:hAnsi="Times New Roman"/>
          <w:b/>
          <w:color w:val="000000" w:themeColor="text1"/>
        </w:rPr>
        <w:t xml:space="preserve">Tiranë, më </w:t>
      </w:r>
      <w:r w:rsidR="00DC778D" w:rsidRPr="005522F5">
        <w:rPr>
          <w:rFonts w:ascii="Times New Roman" w:hAnsi="Times New Roman"/>
          <w:b/>
          <w:color w:val="000000" w:themeColor="text1"/>
        </w:rPr>
        <w:t>13.01.2026</w:t>
      </w:r>
    </w:p>
    <w:p w14:paraId="4D90B815" w14:textId="77777777" w:rsidR="00532FEA" w:rsidRPr="005522F5" w:rsidRDefault="00532FEA" w:rsidP="00C634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b/>
          <w:color w:val="000000" w:themeColor="text1"/>
        </w:rPr>
      </w:pPr>
    </w:p>
    <w:p w14:paraId="0BB6222F" w14:textId="77777777" w:rsidR="00100F20" w:rsidRPr="005522F5" w:rsidRDefault="00100F20" w:rsidP="00C634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b/>
          <w:color w:val="000000" w:themeColor="text1"/>
        </w:rPr>
      </w:pPr>
    </w:p>
    <w:p w14:paraId="31054085" w14:textId="194F62ED" w:rsidR="00DC778D" w:rsidRPr="005522F5" w:rsidRDefault="00DC778D" w:rsidP="00C6342A">
      <w:pPr>
        <w:rPr>
          <w:rFonts w:ascii="Times New Roman" w:hAnsi="Times New Roman"/>
          <w:b/>
          <w:color w:val="000000" w:themeColor="text1"/>
        </w:rPr>
      </w:pPr>
      <w:bookmarkStart w:id="3" w:name="_GoBack"/>
      <w:bookmarkEnd w:id="3"/>
    </w:p>
    <w:sectPr w:rsidR="00DC778D" w:rsidRPr="005522F5" w:rsidSect="005522F5">
      <w:footerReference w:type="default" r:id="rId10"/>
      <w:pgSz w:w="12240" w:h="15840"/>
      <w:pgMar w:top="1170" w:right="1440" w:bottom="207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0BED" w14:textId="77777777" w:rsidR="009A48EF" w:rsidRDefault="009A48EF" w:rsidP="005C5C65">
      <w:r>
        <w:separator/>
      </w:r>
    </w:p>
  </w:endnote>
  <w:endnote w:type="continuationSeparator" w:id="0">
    <w:p w14:paraId="6258DCFE" w14:textId="77777777" w:rsidR="009A48EF" w:rsidRDefault="009A48EF" w:rsidP="005C5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rlit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94314"/>
      <w:docPartObj>
        <w:docPartGallery w:val="Page Numbers (Bottom of Page)"/>
        <w:docPartUnique/>
      </w:docPartObj>
    </w:sdtPr>
    <w:sdtEndPr>
      <w:rPr>
        <w:noProof/>
      </w:rPr>
    </w:sdtEndPr>
    <w:sdtContent>
      <w:p w14:paraId="7DFAB9C4" w14:textId="75F8826D" w:rsidR="00CC6DB9" w:rsidRDefault="00CC6DB9">
        <w:pPr>
          <w:pStyle w:val="Footer"/>
          <w:jc w:val="right"/>
        </w:pPr>
        <w:r>
          <w:fldChar w:fldCharType="begin"/>
        </w:r>
        <w:r>
          <w:instrText xml:space="preserve"> PAGE   \* MERGEFORMAT </w:instrText>
        </w:r>
        <w:r>
          <w:fldChar w:fldCharType="separate"/>
        </w:r>
        <w:r w:rsidR="009A48EF">
          <w:rPr>
            <w:noProof/>
          </w:rPr>
          <w:t>1</w:t>
        </w:r>
        <w:r>
          <w:rPr>
            <w:noProof/>
          </w:rPr>
          <w:fldChar w:fldCharType="end"/>
        </w:r>
      </w:p>
    </w:sdtContent>
  </w:sdt>
  <w:p w14:paraId="6CE2122C" w14:textId="77777777" w:rsidR="008666BF" w:rsidRDefault="008666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0ACC5" w14:textId="77777777" w:rsidR="009A48EF" w:rsidRDefault="009A48EF" w:rsidP="005C5C65">
      <w:r>
        <w:separator/>
      </w:r>
    </w:p>
  </w:footnote>
  <w:footnote w:type="continuationSeparator" w:id="0">
    <w:p w14:paraId="285571CD" w14:textId="77777777" w:rsidR="009A48EF" w:rsidRDefault="009A48EF" w:rsidP="005C5C65">
      <w:r>
        <w:continuationSeparator/>
      </w:r>
    </w:p>
  </w:footnote>
  <w:footnote w:id="1">
    <w:p w14:paraId="2497B79C" w14:textId="77777777" w:rsidR="00244AA0" w:rsidRPr="00F507FB" w:rsidRDefault="00244AA0" w:rsidP="00244AA0">
      <w:pPr>
        <w:pStyle w:val="FootnoteText"/>
        <w:jc w:val="both"/>
        <w:rPr>
          <w:noProof/>
          <w:lang w:val="sq-AL"/>
        </w:rPr>
      </w:pPr>
      <w:r w:rsidRPr="00F507FB">
        <w:rPr>
          <w:rStyle w:val="FootnoteReference"/>
          <w:noProof/>
          <w:lang w:val="sq-AL"/>
        </w:rPr>
        <w:footnoteRef/>
      </w:r>
      <w:r w:rsidRPr="00F507FB">
        <w:rPr>
          <w:noProof/>
          <w:lang w:val="sq-AL"/>
        </w:rPr>
        <w:t xml:space="preserve"> Neni 75/a Kompetencat e Gjykatës kundër Korrupsionit dhe Krimit të Organizuar</w:t>
      </w:r>
    </w:p>
    <w:p w14:paraId="1F3BE01D" w14:textId="77777777" w:rsidR="00244AA0" w:rsidRPr="00F507FB" w:rsidRDefault="00244AA0" w:rsidP="00244AA0">
      <w:pPr>
        <w:pStyle w:val="FootnoteText"/>
        <w:jc w:val="both"/>
        <w:rPr>
          <w:i/>
          <w:iCs/>
          <w:noProof/>
          <w:lang w:val="sq-AL"/>
        </w:rPr>
      </w:pPr>
      <w:r w:rsidRPr="00F507FB">
        <w:rPr>
          <w:i/>
          <w:iCs/>
          <w:noProof/>
          <w:lang w:val="sq-AL"/>
        </w:rPr>
        <w:t>“Gjykata kundër Korrupsionit dhe Krimit të Organizuar gjykon: a) krimet e parashikuara nga nenet 230, 230/a, 230/b, 230/c, 230/ç, 231, 232, 232/a, 232/b, 233, 234, 234/a, 234/b, 244, paragrafi 2, 244/a, 245, 245/1, paragrafët 2 dhe 4, 257, 258, paragrafi 2, 259, paragrafi 2, 259/a, 260, 312, 319, 319/a, 319/b, 319/c, 319/ç, 319/d, 319/dh, 319/e, 328 dhe 328/b të Kodit Penal;”</w:t>
      </w:r>
    </w:p>
  </w:footnote>
  <w:footnote w:id="2">
    <w:p w14:paraId="1BCC2F09" w14:textId="1CD15619" w:rsidR="00244AA0" w:rsidRPr="00F507FB" w:rsidRDefault="00244AA0" w:rsidP="00244AA0">
      <w:pPr>
        <w:pStyle w:val="NoSpacing"/>
        <w:jc w:val="both"/>
        <w:rPr>
          <w:rFonts w:ascii="Times New Roman" w:hAnsi="Times New Roman"/>
          <w:i/>
          <w:iCs/>
          <w:noProof/>
          <w:sz w:val="20"/>
          <w:szCs w:val="20"/>
          <w:lang w:val="sq-AL"/>
        </w:rPr>
      </w:pPr>
      <w:r w:rsidRPr="00F507FB">
        <w:rPr>
          <w:rStyle w:val="FootnoteReference"/>
          <w:noProof/>
          <w:lang w:val="sq-AL"/>
        </w:rPr>
        <w:footnoteRef/>
      </w:r>
      <w:r w:rsidRPr="00F507FB">
        <w:rPr>
          <w:noProof/>
          <w:lang w:val="sq-AL"/>
        </w:rPr>
        <w:t xml:space="preserve"> </w:t>
      </w:r>
      <w:r w:rsidRPr="00F507FB">
        <w:rPr>
          <w:rFonts w:ascii="Times New Roman" w:hAnsi="Times New Roman"/>
          <w:noProof/>
          <w:sz w:val="20"/>
          <w:szCs w:val="20"/>
          <w:lang w:val="sq-AL"/>
        </w:rPr>
        <w:t>Neni 74</w:t>
      </w:r>
      <w:r w:rsidR="0005213F">
        <w:rPr>
          <w:rFonts w:ascii="Times New Roman" w:hAnsi="Times New Roman"/>
          <w:noProof/>
          <w:sz w:val="20"/>
          <w:szCs w:val="20"/>
          <w:lang w:val="sq-AL"/>
        </w:rPr>
        <w:t xml:space="preserve">, </w:t>
      </w:r>
      <w:r w:rsidRPr="00F507FB">
        <w:rPr>
          <w:rFonts w:ascii="Times New Roman" w:hAnsi="Times New Roman"/>
          <w:i/>
          <w:iCs/>
          <w:noProof/>
          <w:sz w:val="20"/>
          <w:szCs w:val="20"/>
          <w:lang w:val="sq-AL"/>
        </w:rPr>
        <w:t>“1. Gjykata e rrethit gjyqësor është kompetente për gjykimin e veprave penale, përveç atyre që i përkasin kompetencës së Gjykatës kundër Korrupsionit dhe Krimit të Organizuar.”</w:t>
      </w:r>
    </w:p>
  </w:footnote>
  <w:footnote w:id="3">
    <w:p w14:paraId="295D250F" w14:textId="3C5AACDD" w:rsidR="00244AA0" w:rsidRPr="00F507FB" w:rsidRDefault="00244AA0" w:rsidP="0005213F">
      <w:pPr>
        <w:pStyle w:val="FootnoteText"/>
        <w:rPr>
          <w:i/>
          <w:iCs/>
          <w:noProof/>
          <w:lang w:val="sq-AL"/>
        </w:rPr>
      </w:pPr>
      <w:r w:rsidRPr="00F507FB">
        <w:rPr>
          <w:rStyle w:val="FootnoteReference"/>
          <w:noProof/>
          <w:lang w:val="sq-AL"/>
        </w:rPr>
        <w:footnoteRef/>
      </w:r>
      <w:r w:rsidRPr="00F507FB">
        <w:rPr>
          <w:noProof/>
          <w:lang w:val="sq-AL"/>
        </w:rPr>
        <w:t xml:space="preserve"> Neni 28/3</w:t>
      </w:r>
      <w:r w:rsidR="0005213F">
        <w:rPr>
          <w:noProof/>
          <w:lang w:val="sq-AL"/>
        </w:rPr>
        <w:t>,</w:t>
      </w:r>
      <w:r w:rsidRPr="00F507FB">
        <w:rPr>
          <w:noProof/>
          <w:lang w:val="sq-AL"/>
        </w:rPr>
        <w:t xml:space="preserve"> Kalimi i akteve një prokurorie tjetër</w:t>
      </w:r>
      <w:r w:rsidR="0005213F">
        <w:rPr>
          <w:noProof/>
          <w:lang w:val="sq-AL"/>
        </w:rPr>
        <w:t xml:space="preserve">, </w:t>
      </w:r>
      <w:r w:rsidRPr="00F507FB">
        <w:rPr>
          <w:i/>
          <w:iCs/>
          <w:noProof/>
          <w:lang w:val="sq-AL"/>
        </w:rPr>
        <w:t>“3. Nëse prokurori çmon se vepra penale është në kompetencën e Prokurorisë së Posaçme ose merr dijeni se pranë kësaj prokurorie po zhvillohen hetime për të njëjtin fakt dhe në ngarkim të të njëjtit person, ia kalon aktet Drejtuesit të Prokurorisë së Posaçme, i cili, pasi i shqyrton ato, vendos pranimin e akteve ose i ridërgon ato në prokurorinë e mëparshme. Kjo e fundit ka detyrimin të pranojë aktet.”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C365D"/>
    <w:multiLevelType w:val="hybridMultilevel"/>
    <w:tmpl w:val="B47694CA"/>
    <w:lvl w:ilvl="0" w:tplc="AC282794">
      <w:start w:val="9"/>
      <w:numFmt w:val="bullet"/>
      <w:lvlText w:val="-"/>
      <w:lvlJc w:val="left"/>
      <w:pPr>
        <w:ind w:left="720" w:hanging="360"/>
      </w:pPr>
      <w:rPr>
        <w:rFonts w:ascii="Times New Roman" w:eastAsia="MS Mincho"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4D10F1"/>
    <w:multiLevelType w:val="hybridMultilevel"/>
    <w:tmpl w:val="97D0972E"/>
    <w:lvl w:ilvl="0" w:tplc="5E986E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605D5B"/>
    <w:multiLevelType w:val="hybridMultilevel"/>
    <w:tmpl w:val="72E2DE1E"/>
    <w:lvl w:ilvl="0" w:tplc="271A6698">
      <w:start w:val="1"/>
      <w:numFmt w:val="upperRoman"/>
      <w:lvlText w:val="%1."/>
      <w:lvlJc w:val="left"/>
      <w:pPr>
        <w:ind w:left="1080" w:hanging="72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BD0F09"/>
    <w:multiLevelType w:val="hybridMultilevel"/>
    <w:tmpl w:val="4E265690"/>
    <w:lvl w:ilvl="0" w:tplc="599C3BF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1655E5"/>
    <w:multiLevelType w:val="multilevel"/>
    <w:tmpl w:val="85AEF30E"/>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720" w:hanging="360"/>
      </w:pPr>
      <w:rPr>
        <w:rFonts w:eastAsia="Times New Roman" w:hint="default"/>
        <w:b w:val="0"/>
        <w:bCs w:val="0"/>
        <w:i w:val="0"/>
        <w:iCs w:val="0"/>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5" w15:restartNumberingAfterBreak="0">
    <w:nsid w:val="443567DE"/>
    <w:multiLevelType w:val="hybridMultilevel"/>
    <w:tmpl w:val="9FA023F8"/>
    <w:lvl w:ilvl="0" w:tplc="19924208">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3511E6"/>
    <w:multiLevelType w:val="hybridMultilevel"/>
    <w:tmpl w:val="E17AC916"/>
    <w:lvl w:ilvl="0" w:tplc="F1CE07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5A11FE"/>
    <w:multiLevelType w:val="hybridMultilevel"/>
    <w:tmpl w:val="C0D06086"/>
    <w:lvl w:ilvl="0" w:tplc="8A267C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7E331C"/>
    <w:multiLevelType w:val="hybridMultilevel"/>
    <w:tmpl w:val="C9F697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664384"/>
    <w:multiLevelType w:val="multilevel"/>
    <w:tmpl w:val="46CC78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E4B7604"/>
    <w:multiLevelType w:val="hybridMultilevel"/>
    <w:tmpl w:val="015A54F8"/>
    <w:lvl w:ilvl="0" w:tplc="81701230">
      <w:start w:val="13"/>
      <w:numFmt w:val="bullet"/>
      <w:lvlText w:val="-"/>
      <w:lvlJc w:val="left"/>
      <w:pPr>
        <w:ind w:left="720" w:hanging="360"/>
      </w:pPr>
      <w:rPr>
        <w:rFonts w:ascii="Times New Roman" w:eastAsia="MS Mincho"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6317C3"/>
    <w:multiLevelType w:val="hybridMultilevel"/>
    <w:tmpl w:val="55C4D488"/>
    <w:lvl w:ilvl="0" w:tplc="E0D846E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777FF4"/>
    <w:multiLevelType w:val="hybridMultilevel"/>
    <w:tmpl w:val="34087012"/>
    <w:lvl w:ilvl="0" w:tplc="FEBABF5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5"/>
  </w:num>
  <w:num w:numId="5">
    <w:abstractNumId w:val="1"/>
  </w:num>
  <w:num w:numId="6">
    <w:abstractNumId w:val="11"/>
  </w:num>
  <w:num w:numId="7">
    <w:abstractNumId w:val="0"/>
  </w:num>
  <w:num w:numId="8">
    <w:abstractNumId w:val="12"/>
  </w:num>
  <w:num w:numId="9">
    <w:abstractNumId w:val="10"/>
  </w:num>
  <w:num w:numId="10">
    <w:abstractNumId w:val="2"/>
  </w:num>
  <w:num w:numId="11">
    <w:abstractNumId w:val="9"/>
  </w:num>
  <w:num w:numId="12">
    <w:abstractNumId w:val="7"/>
  </w:num>
  <w:num w:numId="1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2E4"/>
    <w:rsid w:val="000036C0"/>
    <w:rsid w:val="00007795"/>
    <w:rsid w:val="00007E8F"/>
    <w:rsid w:val="00021DFF"/>
    <w:rsid w:val="000272F2"/>
    <w:rsid w:val="00032BF5"/>
    <w:rsid w:val="0003358F"/>
    <w:rsid w:val="00035817"/>
    <w:rsid w:val="000423EC"/>
    <w:rsid w:val="000469F5"/>
    <w:rsid w:val="0005213F"/>
    <w:rsid w:val="00053DC0"/>
    <w:rsid w:val="00056F9A"/>
    <w:rsid w:val="00061222"/>
    <w:rsid w:val="000619FD"/>
    <w:rsid w:val="00061E38"/>
    <w:rsid w:val="00065BB1"/>
    <w:rsid w:val="00074C10"/>
    <w:rsid w:val="00076906"/>
    <w:rsid w:val="00080D4C"/>
    <w:rsid w:val="00082148"/>
    <w:rsid w:val="0008708C"/>
    <w:rsid w:val="00087512"/>
    <w:rsid w:val="0009033E"/>
    <w:rsid w:val="00090391"/>
    <w:rsid w:val="00091290"/>
    <w:rsid w:val="00095892"/>
    <w:rsid w:val="0009661B"/>
    <w:rsid w:val="000A580B"/>
    <w:rsid w:val="000A6AAA"/>
    <w:rsid w:val="000B4845"/>
    <w:rsid w:val="000B790C"/>
    <w:rsid w:val="000B7D1F"/>
    <w:rsid w:val="000C03B2"/>
    <w:rsid w:val="000C05B2"/>
    <w:rsid w:val="000C7102"/>
    <w:rsid w:val="000D2310"/>
    <w:rsid w:val="000D4B6B"/>
    <w:rsid w:val="000D7B3A"/>
    <w:rsid w:val="000E2AC1"/>
    <w:rsid w:val="000E49C6"/>
    <w:rsid w:val="000F1494"/>
    <w:rsid w:val="000F2DE1"/>
    <w:rsid w:val="0010028D"/>
    <w:rsid w:val="00100AB7"/>
    <w:rsid w:val="00100F20"/>
    <w:rsid w:val="00103F36"/>
    <w:rsid w:val="00112CB4"/>
    <w:rsid w:val="001257C7"/>
    <w:rsid w:val="00126431"/>
    <w:rsid w:val="00131399"/>
    <w:rsid w:val="0013343F"/>
    <w:rsid w:val="00134FF2"/>
    <w:rsid w:val="00135DBB"/>
    <w:rsid w:val="00135E4E"/>
    <w:rsid w:val="001361C2"/>
    <w:rsid w:val="00136910"/>
    <w:rsid w:val="0014297F"/>
    <w:rsid w:val="00142C89"/>
    <w:rsid w:val="00143EC2"/>
    <w:rsid w:val="001456E8"/>
    <w:rsid w:val="00154B85"/>
    <w:rsid w:val="00154D03"/>
    <w:rsid w:val="001644B0"/>
    <w:rsid w:val="00166468"/>
    <w:rsid w:val="00166FF5"/>
    <w:rsid w:val="00167682"/>
    <w:rsid w:val="00170800"/>
    <w:rsid w:val="00171BD5"/>
    <w:rsid w:val="001741A9"/>
    <w:rsid w:val="0017566C"/>
    <w:rsid w:val="001818E5"/>
    <w:rsid w:val="001851D7"/>
    <w:rsid w:val="001A39BF"/>
    <w:rsid w:val="001B56C2"/>
    <w:rsid w:val="001C2557"/>
    <w:rsid w:val="001C28D4"/>
    <w:rsid w:val="001C497F"/>
    <w:rsid w:val="001C53A7"/>
    <w:rsid w:val="001C53DB"/>
    <w:rsid w:val="001D0E51"/>
    <w:rsid w:val="001D2692"/>
    <w:rsid w:val="001D4EAA"/>
    <w:rsid w:val="001D54FD"/>
    <w:rsid w:val="001E013E"/>
    <w:rsid w:val="001E5102"/>
    <w:rsid w:val="001E793E"/>
    <w:rsid w:val="00200D0B"/>
    <w:rsid w:val="0020776F"/>
    <w:rsid w:val="002113BF"/>
    <w:rsid w:val="00215ECD"/>
    <w:rsid w:val="00220DE0"/>
    <w:rsid w:val="002214C2"/>
    <w:rsid w:val="0022333A"/>
    <w:rsid w:val="00223DC1"/>
    <w:rsid w:val="00224450"/>
    <w:rsid w:val="00225A94"/>
    <w:rsid w:val="00244AA0"/>
    <w:rsid w:val="00247B1F"/>
    <w:rsid w:val="0025265A"/>
    <w:rsid w:val="00253702"/>
    <w:rsid w:val="00262EAE"/>
    <w:rsid w:val="0026320B"/>
    <w:rsid w:val="0026788D"/>
    <w:rsid w:val="00272BEA"/>
    <w:rsid w:val="002918A7"/>
    <w:rsid w:val="00292119"/>
    <w:rsid w:val="00293744"/>
    <w:rsid w:val="00297ABF"/>
    <w:rsid w:val="002A029B"/>
    <w:rsid w:val="002A2742"/>
    <w:rsid w:val="002A43EF"/>
    <w:rsid w:val="002B02B4"/>
    <w:rsid w:val="002B0C00"/>
    <w:rsid w:val="002B33C4"/>
    <w:rsid w:val="002B42CC"/>
    <w:rsid w:val="002B43D9"/>
    <w:rsid w:val="002C7893"/>
    <w:rsid w:val="002D4666"/>
    <w:rsid w:val="002E3D0A"/>
    <w:rsid w:val="002F2F95"/>
    <w:rsid w:val="003028B6"/>
    <w:rsid w:val="00303E2E"/>
    <w:rsid w:val="00307FE7"/>
    <w:rsid w:val="0031088E"/>
    <w:rsid w:val="0032721D"/>
    <w:rsid w:val="00327E1B"/>
    <w:rsid w:val="00337136"/>
    <w:rsid w:val="003416A5"/>
    <w:rsid w:val="003430F4"/>
    <w:rsid w:val="00345E46"/>
    <w:rsid w:val="00347AEC"/>
    <w:rsid w:val="00352553"/>
    <w:rsid w:val="0035386A"/>
    <w:rsid w:val="00353F24"/>
    <w:rsid w:val="00362137"/>
    <w:rsid w:val="00362C53"/>
    <w:rsid w:val="00370195"/>
    <w:rsid w:val="0037286A"/>
    <w:rsid w:val="00380948"/>
    <w:rsid w:val="00383A0E"/>
    <w:rsid w:val="003843D9"/>
    <w:rsid w:val="00387C2B"/>
    <w:rsid w:val="00394629"/>
    <w:rsid w:val="00394C6F"/>
    <w:rsid w:val="003A46CE"/>
    <w:rsid w:val="003A6806"/>
    <w:rsid w:val="003B3D5A"/>
    <w:rsid w:val="003C0062"/>
    <w:rsid w:val="003C2323"/>
    <w:rsid w:val="003D39BC"/>
    <w:rsid w:val="003D3A6C"/>
    <w:rsid w:val="003E4FC4"/>
    <w:rsid w:val="003F123B"/>
    <w:rsid w:val="003F36BB"/>
    <w:rsid w:val="003F38AA"/>
    <w:rsid w:val="003F5DE6"/>
    <w:rsid w:val="003F631E"/>
    <w:rsid w:val="00404274"/>
    <w:rsid w:val="00404ADF"/>
    <w:rsid w:val="004171D0"/>
    <w:rsid w:val="004204E1"/>
    <w:rsid w:val="004208E3"/>
    <w:rsid w:val="00424149"/>
    <w:rsid w:val="00424A4B"/>
    <w:rsid w:val="0042696D"/>
    <w:rsid w:val="00430AB9"/>
    <w:rsid w:val="004320B2"/>
    <w:rsid w:val="00436143"/>
    <w:rsid w:val="00436573"/>
    <w:rsid w:val="0044414B"/>
    <w:rsid w:val="00445118"/>
    <w:rsid w:val="0044534C"/>
    <w:rsid w:val="00447475"/>
    <w:rsid w:val="0045283C"/>
    <w:rsid w:val="0045551A"/>
    <w:rsid w:val="004714C1"/>
    <w:rsid w:val="00475EF6"/>
    <w:rsid w:val="00477D6C"/>
    <w:rsid w:val="00481C14"/>
    <w:rsid w:val="00484ABD"/>
    <w:rsid w:val="00496FDC"/>
    <w:rsid w:val="004A029E"/>
    <w:rsid w:val="004B0424"/>
    <w:rsid w:val="004B0FEC"/>
    <w:rsid w:val="004B1922"/>
    <w:rsid w:val="004B7F88"/>
    <w:rsid w:val="004C2971"/>
    <w:rsid w:val="004D29D2"/>
    <w:rsid w:val="004D40B6"/>
    <w:rsid w:val="004D64BC"/>
    <w:rsid w:val="004E2BF8"/>
    <w:rsid w:val="004F0BDE"/>
    <w:rsid w:val="004F382A"/>
    <w:rsid w:val="0050265F"/>
    <w:rsid w:val="005046EA"/>
    <w:rsid w:val="00504896"/>
    <w:rsid w:val="0051024C"/>
    <w:rsid w:val="005132A6"/>
    <w:rsid w:val="00517529"/>
    <w:rsid w:val="00517840"/>
    <w:rsid w:val="00521B98"/>
    <w:rsid w:val="005253FA"/>
    <w:rsid w:val="00530C24"/>
    <w:rsid w:val="00532316"/>
    <w:rsid w:val="00532FEA"/>
    <w:rsid w:val="00541579"/>
    <w:rsid w:val="00543748"/>
    <w:rsid w:val="00544916"/>
    <w:rsid w:val="00544AE5"/>
    <w:rsid w:val="00547F00"/>
    <w:rsid w:val="00550C51"/>
    <w:rsid w:val="005522F5"/>
    <w:rsid w:val="00560AC8"/>
    <w:rsid w:val="00561B8F"/>
    <w:rsid w:val="005759E3"/>
    <w:rsid w:val="00577C76"/>
    <w:rsid w:val="00585915"/>
    <w:rsid w:val="00586D51"/>
    <w:rsid w:val="005932C9"/>
    <w:rsid w:val="00595744"/>
    <w:rsid w:val="005A1D5E"/>
    <w:rsid w:val="005A2CD7"/>
    <w:rsid w:val="005A6900"/>
    <w:rsid w:val="005B148A"/>
    <w:rsid w:val="005C17D9"/>
    <w:rsid w:val="005C1878"/>
    <w:rsid w:val="005C5C65"/>
    <w:rsid w:val="005C635B"/>
    <w:rsid w:val="005D5FD1"/>
    <w:rsid w:val="005E196E"/>
    <w:rsid w:val="005F014B"/>
    <w:rsid w:val="005F18A1"/>
    <w:rsid w:val="005F2573"/>
    <w:rsid w:val="005F28A5"/>
    <w:rsid w:val="00600159"/>
    <w:rsid w:val="006007AC"/>
    <w:rsid w:val="00602E25"/>
    <w:rsid w:val="00605542"/>
    <w:rsid w:val="00605B83"/>
    <w:rsid w:val="0062401F"/>
    <w:rsid w:val="0062459C"/>
    <w:rsid w:val="006249C4"/>
    <w:rsid w:val="00626ED5"/>
    <w:rsid w:val="0063078C"/>
    <w:rsid w:val="00630DCE"/>
    <w:rsid w:val="00633371"/>
    <w:rsid w:val="00640EF0"/>
    <w:rsid w:val="006468E1"/>
    <w:rsid w:val="00656EBE"/>
    <w:rsid w:val="00657130"/>
    <w:rsid w:val="0067152C"/>
    <w:rsid w:val="00682AD6"/>
    <w:rsid w:val="00691FF4"/>
    <w:rsid w:val="006A254C"/>
    <w:rsid w:val="006A5451"/>
    <w:rsid w:val="006A6E1A"/>
    <w:rsid w:val="006A757A"/>
    <w:rsid w:val="006A7CCE"/>
    <w:rsid w:val="006B1945"/>
    <w:rsid w:val="006B2AB8"/>
    <w:rsid w:val="006B4416"/>
    <w:rsid w:val="006B4A59"/>
    <w:rsid w:val="006B6E59"/>
    <w:rsid w:val="006B7C52"/>
    <w:rsid w:val="006C07EB"/>
    <w:rsid w:val="006C57C7"/>
    <w:rsid w:val="006D340A"/>
    <w:rsid w:val="006D57A3"/>
    <w:rsid w:val="006E4941"/>
    <w:rsid w:val="006F7B46"/>
    <w:rsid w:val="00722318"/>
    <w:rsid w:val="007254BB"/>
    <w:rsid w:val="00725C5A"/>
    <w:rsid w:val="007317FA"/>
    <w:rsid w:val="00735E72"/>
    <w:rsid w:val="00736C54"/>
    <w:rsid w:val="0073709C"/>
    <w:rsid w:val="00741FBD"/>
    <w:rsid w:val="00744CB9"/>
    <w:rsid w:val="00747361"/>
    <w:rsid w:val="00750787"/>
    <w:rsid w:val="007510BA"/>
    <w:rsid w:val="00760E6C"/>
    <w:rsid w:val="007649E3"/>
    <w:rsid w:val="00770FD6"/>
    <w:rsid w:val="0077186A"/>
    <w:rsid w:val="00775B95"/>
    <w:rsid w:val="007778D0"/>
    <w:rsid w:val="00791E1D"/>
    <w:rsid w:val="00794FCD"/>
    <w:rsid w:val="007973EF"/>
    <w:rsid w:val="007A4BAA"/>
    <w:rsid w:val="007A52AD"/>
    <w:rsid w:val="007B4BA1"/>
    <w:rsid w:val="007C0207"/>
    <w:rsid w:val="007C3E58"/>
    <w:rsid w:val="007C5F95"/>
    <w:rsid w:val="007C7A54"/>
    <w:rsid w:val="007D2317"/>
    <w:rsid w:val="007D4D18"/>
    <w:rsid w:val="007D714E"/>
    <w:rsid w:val="007E0A63"/>
    <w:rsid w:val="007E3411"/>
    <w:rsid w:val="007E3DED"/>
    <w:rsid w:val="007E3EF5"/>
    <w:rsid w:val="007E4BB7"/>
    <w:rsid w:val="007E5472"/>
    <w:rsid w:val="007F194E"/>
    <w:rsid w:val="007F4294"/>
    <w:rsid w:val="007F4FC3"/>
    <w:rsid w:val="007F53AC"/>
    <w:rsid w:val="007F7598"/>
    <w:rsid w:val="0080622B"/>
    <w:rsid w:val="00806CA6"/>
    <w:rsid w:val="00812FC0"/>
    <w:rsid w:val="008140DB"/>
    <w:rsid w:val="00821E34"/>
    <w:rsid w:val="0082658E"/>
    <w:rsid w:val="0082751B"/>
    <w:rsid w:val="00830181"/>
    <w:rsid w:val="008310AF"/>
    <w:rsid w:val="00835F73"/>
    <w:rsid w:val="0084054F"/>
    <w:rsid w:val="008439AD"/>
    <w:rsid w:val="0084583C"/>
    <w:rsid w:val="00847BED"/>
    <w:rsid w:val="008501D1"/>
    <w:rsid w:val="00850C89"/>
    <w:rsid w:val="008535C9"/>
    <w:rsid w:val="00855CC2"/>
    <w:rsid w:val="00855FE7"/>
    <w:rsid w:val="008600F7"/>
    <w:rsid w:val="00863AE9"/>
    <w:rsid w:val="008666BF"/>
    <w:rsid w:val="00870D74"/>
    <w:rsid w:val="00871FAB"/>
    <w:rsid w:val="00872526"/>
    <w:rsid w:val="008734B5"/>
    <w:rsid w:val="00874B46"/>
    <w:rsid w:val="00885E9F"/>
    <w:rsid w:val="008869DE"/>
    <w:rsid w:val="00890D17"/>
    <w:rsid w:val="00895DFE"/>
    <w:rsid w:val="008A0295"/>
    <w:rsid w:val="008A107E"/>
    <w:rsid w:val="008A2A65"/>
    <w:rsid w:val="008B6223"/>
    <w:rsid w:val="008B699C"/>
    <w:rsid w:val="008C0AAD"/>
    <w:rsid w:val="008C0EBF"/>
    <w:rsid w:val="008C0EDF"/>
    <w:rsid w:val="008C1FBA"/>
    <w:rsid w:val="008D5EBC"/>
    <w:rsid w:val="008D7DB6"/>
    <w:rsid w:val="008E3C8A"/>
    <w:rsid w:val="008E4A58"/>
    <w:rsid w:val="008E4F28"/>
    <w:rsid w:val="008F13F0"/>
    <w:rsid w:val="009039AA"/>
    <w:rsid w:val="00906B00"/>
    <w:rsid w:val="00911331"/>
    <w:rsid w:val="00911702"/>
    <w:rsid w:val="00913C98"/>
    <w:rsid w:val="00915486"/>
    <w:rsid w:val="00922916"/>
    <w:rsid w:val="00922AFA"/>
    <w:rsid w:val="00925915"/>
    <w:rsid w:val="0092607D"/>
    <w:rsid w:val="00932F50"/>
    <w:rsid w:val="009339A7"/>
    <w:rsid w:val="00940B47"/>
    <w:rsid w:val="00942779"/>
    <w:rsid w:val="00945AA0"/>
    <w:rsid w:val="009535EB"/>
    <w:rsid w:val="0095491B"/>
    <w:rsid w:val="0096185E"/>
    <w:rsid w:val="009646C3"/>
    <w:rsid w:val="00967978"/>
    <w:rsid w:val="00977970"/>
    <w:rsid w:val="009860FF"/>
    <w:rsid w:val="00987485"/>
    <w:rsid w:val="00990CD2"/>
    <w:rsid w:val="00992437"/>
    <w:rsid w:val="00992C10"/>
    <w:rsid w:val="009A48EF"/>
    <w:rsid w:val="009A54F1"/>
    <w:rsid w:val="009B6198"/>
    <w:rsid w:val="009B6A55"/>
    <w:rsid w:val="009B7DD1"/>
    <w:rsid w:val="009C1231"/>
    <w:rsid w:val="009C1240"/>
    <w:rsid w:val="009C1C94"/>
    <w:rsid w:val="009C5C90"/>
    <w:rsid w:val="009D2AF4"/>
    <w:rsid w:val="009D696B"/>
    <w:rsid w:val="009E07EE"/>
    <w:rsid w:val="009E55DA"/>
    <w:rsid w:val="009E560E"/>
    <w:rsid w:val="009F0CE4"/>
    <w:rsid w:val="00A06AF5"/>
    <w:rsid w:val="00A07046"/>
    <w:rsid w:val="00A17971"/>
    <w:rsid w:val="00A2052E"/>
    <w:rsid w:val="00A206F5"/>
    <w:rsid w:val="00A22745"/>
    <w:rsid w:val="00A22B3B"/>
    <w:rsid w:val="00A23427"/>
    <w:rsid w:val="00A253BF"/>
    <w:rsid w:val="00A34CE1"/>
    <w:rsid w:val="00A34EC6"/>
    <w:rsid w:val="00A4051E"/>
    <w:rsid w:val="00A419A8"/>
    <w:rsid w:val="00A4609B"/>
    <w:rsid w:val="00A50CDB"/>
    <w:rsid w:val="00A51E78"/>
    <w:rsid w:val="00A55426"/>
    <w:rsid w:val="00A70E9A"/>
    <w:rsid w:val="00A762DA"/>
    <w:rsid w:val="00A76AF5"/>
    <w:rsid w:val="00A83E17"/>
    <w:rsid w:val="00AA30D5"/>
    <w:rsid w:val="00AA3260"/>
    <w:rsid w:val="00AA591C"/>
    <w:rsid w:val="00AA6F34"/>
    <w:rsid w:val="00AB0D52"/>
    <w:rsid w:val="00AB0F39"/>
    <w:rsid w:val="00AB2CC8"/>
    <w:rsid w:val="00AB471D"/>
    <w:rsid w:val="00AB7C57"/>
    <w:rsid w:val="00AC11CA"/>
    <w:rsid w:val="00AC20EA"/>
    <w:rsid w:val="00AC3FC1"/>
    <w:rsid w:val="00AD0694"/>
    <w:rsid w:val="00AD18FE"/>
    <w:rsid w:val="00AD6E22"/>
    <w:rsid w:val="00AD734D"/>
    <w:rsid w:val="00AE3C59"/>
    <w:rsid w:val="00AF1618"/>
    <w:rsid w:val="00AF4F1C"/>
    <w:rsid w:val="00B01361"/>
    <w:rsid w:val="00B021F5"/>
    <w:rsid w:val="00B117A8"/>
    <w:rsid w:val="00B12191"/>
    <w:rsid w:val="00B16403"/>
    <w:rsid w:val="00B16D4D"/>
    <w:rsid w:val="00B24990"/>
    <w:rsid w:val="00B252F6"/>
    <w:rsid w:val="00B26184"/>
    <w:rsid w:val="00B26769"/>
    <w:rsid w:val="00B31334"/>
    <w:rsid w:val="00B34929"/>
    <w:rsid w:val="00B36FC2"/>
    <w:rsid w:val="00B478E8"/>
    <w:rsid w:val="00B7372B"/>
    <w:rsid w:val="00B738CF"/>
    <w:rsid w:val="00B77B81"/>
    <w:rsid w:val="00BA0D35"/>
    <w:rsid w:val="00BA27A2"/>
    <w:rsid w:val="00BA3F2F"/>
    <w:rsid w:val="00BB283B"/>
    <w:rsid w:val="00BB59EB"/>
    <w:rsid w:val="00BB7136"/>
    <w:rsid w:val="00BC0968"/>
    <w:rsid w:val="00BC342E"/>
    <w:rsid w:val="00BC3FD4"/>
    <w:rsid w:val="00BC4DE0"/>
    <w:rsid w:val="00BD2078"/>
    <w:rsid w:val="00BD6991"/>
    <w:rsid w:val="00BD7D10"/>
    <w:rsid w:val="00BE0D53"/>
    <w:rsid w:val="00BE14FD"/>
    <w:rsid w:val="00BF2565"/>
    <w:rsid w:val="00BF2B1D"/>
    <w:rsid w:val="00BF386F"/>
    <w:rsid w:val="00BF5117"/>
    <w:rsid w:val="00BF5E7E"/>
    <w:rsid w:val="00C01644"/>
    <w:rsid w:val="00C01F47"/>
    <w:rsid w:val="00C03140"/>
    <w:rsid w:val="00C110C6"/>
    <w:rsid w:val="00C14FA3"/>
    <w:rsid w:val="00C3031D"/>
    <w:rsid w:val="00C336BC"/>
    <w:rsid w:val="00C45D26"/>
    <w:rsid w:val="00C57645"/>
    <w:rsid w:val="00C62D66"/>
    <w:rsid w:val="00C6342A"/>
    <w:rsid w:val="00C66B97"/>
    <w:rsid w:val="00C71B1C"/>
    <w:rsid w:val="00C72236"/>
    <w:rsid w:val="00C7426F"/>
    <w:rsid w:val="00C742CD"/>
    <w:rsid w:val="00C74596"/>
    <w:rsid w:val="00C81CCD"/>
    <w:rsid w:val="00C82BAA"/>
    <w:rsid w:val="00C84B89"/>
    <w:rsid w:val="00C90D73"/>
    <w:rsid w:val="00C9444D"/>
    <w:rsid w:val="00C96BC7"/>
    <w:rsid w:val="00CA33DE"/>
    <w:rsid w:val="00CA4A10"/>
    <w:rsid w:val="00CA62CA"/>
    <w:rsid w:val="00CB75EC"/>
    <w:rsid w:val="00CB7DC3"/>
    <w:rsid w:val="00CC5685"/>
    <w:rsid w:val="00CC5693"/>
    <w:rsid w:val="00CC6DB9"/>
    <w:rsid w:val="00CD2155"/>
    <w:rsid w:val="00CD2A5D"/>
    <w:rsid w:val="00CE2374"/>
    <w:rsid w:val="00CE30C5"/>
    <w:rsid w:val="00CE3FD7"/>
    <w:rsid w:val="00CF69AE"/>
    <w:rsid w:val="00CF72B3"/>
    <w:rsid w:val="00D03537"/>
    <w:rsid w:val="00D05802"/>
    <w:rsid w:val="00D141DF"/>
    <w:rsid w:val="00D35F04"/>
    <w:rsid w:val="00D426CA"/>
    <w:rsid w:val="00D46C61"/>
    <w:rsid w:val="00D4751C"/>
    <w:rsid w:val="00D531FA"/>
    <w:rsid w:val="00D55D72"/>
    <w:rsid w:val="00D5697C"/>
    <w:rsid w:val="00D61884"/>
    <w:rsid w:val="00D6218C"/>
    <w:rsid w:val="00D64569"/>
    <w:rsid w:val="00D65784"/>
    <w:rsid w:val="00D66A21"/>
    <w:rsid w:val="00D67730"/>
    <w:rsid w:val="00D67EB4"/>
    <w:rsid w:val="00D73B67"/>
    <w:rsid w:val="00D77E4D"/>
    <w:rsid w:val="00D800C8"/>
    <w:rsid w:val="00D82939"/>
    <w:rsid w:val="00D83D1A"/>
    <w:rsid w:val="00D843E9"/>
    <w:rsid w:val="00D8453B"/>
    <w:rsid w:val="00D84BBE"/>
    <w:rsid w:val="00D84E44"/>
    <w:rsid w:val="00D86774"/>
    <w:rsid w:val="00D909BC"/>
    <w:rsid w:val="00D91CCE"/>
    <w:rsid w:val="00D9635B"/>
    <w:rsid w:val="00DA2D2B"/>
    <w:rsid w:val="00DB5E00"/>
    <w:rsid w:val="00DB73FD"/>
    <w:rsid w:val="00DC2549"/>
    <w:rsid w:val="00DC282E"/>
    <w:rsid w:val="00DC3216"/>
    <w:rsid w:val="00DC778D"/>
    <w:rsid w:val="00DD4F8D"/>
    <w:rsid w:val="00DE7022"/>
    <w:rsid w:val="00DE7245"/>
    <w:rsid w:val="00DE757D"/>
    <w:rsid w:val="00DF0E32"/>
    <w:rsid w:val="00E01B48"/>
    <w:rsid w:val="00E11A1B"/>
    <w:rsid w:val="00E20F78"/>
    <w:rsid w:val="00E27BA6"/>
    <w:rsid w:val="00E30DA2"/>
    <w:rsid w:val="00E332FF"/>
    <w:rsid w:val="00E345A2"/>
    <w:rsid w:val="00E42899"/>
    <w:rsid w:val="00E442E4"/>
    <w:rsid w:val="00E4533C"/>
    <w:rsid w:val="00E50C09"/>
    <w:rsid w:val="00E56074"/>
    <w:rsid w:val="00E5646D"/>
    <w:rsid w:val="00E637AC"/>
    <w:rsid w:val="00E74A2B"/>
    <w:rsid w:val="00E76448"/>
    <w:rsid w:val="00E91456"/>
    <w:rsid w:val="00E93287"/>
    <w:rsid w:val="00EA583E"/>
    <w:rsid w:val="00EB15D1"/>
    <w:rsid w:val="00EB214F"/>
    <w:rsid w:val="00EB256E"/>
    <w:rsid w:val="00EB584E"/>
    <w:rsid w:val="00EC3DAB"/>
    <w:rsid w:val="00ED0F8E"/>
    <w:rsid w:val="00ED4245"/>
    <w:rsid w:val="00ED6F61"/>
    <w:rsid w:val="00EE1C2C"/>
    <w:rsid w:val="00EE79CE"/>
    <w:rsid w:val="00EF1A0F"/>
    <w:rsid w:val="00F03EA7"/>
    <w:rsid w:val="00F051A6"/>
    <w:rsid w:val="00F10357"/>
    <w:rsid w:val="00F11077"/>
    <w:rsid w:val="00F16985"/>
    <w:rsid w:val="00F25F95"/>
    <w:rsid w:val="00F3284F"/>
    <w:rsid w:val="00F329E9"/>
    <w:rsid w:val="00F35B04"/>
    <w:rsid w:val="00F35FF5"/>
    <w:rsid w:val="00F36416"/>
    <w:rsid w:val="00F405B2"/>
    <w:rsid w:val="00F411F3"/>
    <w:rsid w:val="00F4181F"/>
    <w:rsid w:val="00F41A82"/>
    <w:rsid w:val="00F470D1"/>
    <w:rsid w:val="00F47B01"/>
    <w:rsid w:val="00F507FB"/>
    <w:rsid w:val="00F50DAF"/>
    <w:rsid w:val="00F54528"/>
    <w:rsid w:val="00F56C6A"/>
    <w:rsid w:val="00F64C63"/>
    <w:rsid w:val="00F64DFC"/>
    <w:rsid w:val="00F7673A"/>
    <w:rsid w:val="00F81C03"/>
    <w:rsid w:val="00F90636"/>
    <w:rsid w:val="00F90BE7"/>
    <w:rsid w:val="00F90C1D"/>
    <w:rsid w:val="00F961E4"/>
    <w:rsid w:val="00F962D6"/>
    <w:rsid w:val="00F96EF7"/>
    <w:rsid w:val="00F97A68"/>
    <w:rsid w:val="00FA0BFF"/>
    <w:rsid w:val="00FA1A5A"/>
    <w:rsid w:val="00FA48C9"/>
    <w:rsid w:val="00FA6ED7"/>
    <w:rsid w:val="00FA78D2"/>
    <w:rsid w:val="00FA7AB4"/>
    <w:rsid w:val="00FB5F6E"/>
    <w:rsid w:val="00FC1A36"/>
    <w:rsid w:val="00FC3EF8"/>
    <w:rsid w:val="00FC42A3"/>
    <w:rsid w:val="00FC4DA2"/>
    <w:rsid w:val="00FC692A"/>
    <w:rsid w:val="00FD2525"/>
    <w:rsid w:val="00FE1294"/>
    <w:rsid w:val="00FE51FF"/>
    <w:rsid w:val="00FE75FF"/>
    <w:rsid w:val="00FF105A"/>
    <w:rsid w:val="00FF3CDC"/>
    <w:rsid w:val="00FF4DD9"/>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B6EFC"/>
  <w15:chartTrackingRefBased/>
  <w15:docId w15:val="{9548921C-DD23-4DD5-89CE-C183B045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E25"/>
    <w:pPr>
      <w:spacing w:after="0" w:line="240" w:lineRule="auto"/>
    </w:pPr>
    <w:rPr>
      <w:rFonts w:ascii="Calibri" w:eastAsia="Times New Roman" w:hAnsi="Calibri" w:cs="Times New Roman"/>
      <w:sz w:val="24"/>
      <w:szCs w:val="24"/>
      <w:lang w:val="sq-AL" w:bidi="en-US"/>
    </w:rPr>
  </w:style>
  <w:style w:type="paragraph" w:styleId="Heading1">
    <w:name w:val="heading 1"/>
    <w:basedOn w:val="Normal"/>
    <w:next w:val="Normal"/>
    <w:link w:val="Heading1Char"/>
    <w:uiPriority w:val="9"/>
    <w:qFormat/>
    <w:rsid w:val="00223DC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2E2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2E25"/>
    <w:rPr>
      <w:rFonts w:ascii="Cambria" w:eastAsia="Times New Roman" w:hAnsi="Cambria" w:cs="Times New Roman"/>
      <w:b/>
      <w:bCs/>
      <w:i/>
      <w:iCs/>
      <w:sz w:val="28"/>
      <w:szCs w:val="28"/>
      <w:lang w:val="sq-AL" w:bidi="en-US"/>
    </w:rPr>
  </w:style>
  <w:style w:type="paragraph" w:styleId="Title">
    <w:name w:val="Title"/>
    <w:basedOn w:val="Normal"/>
    <w:link w:val="TitleChar"/>
    <w:qFormat/>
    <w:rsid w:val="00602E25"/>
    <w:pPr>
      <w:jc w:val="center"/>
    </w:pPr>
    <w:rPr>
      <w:rFonts w:ascii="Times New Roman" w:hAnsi="Times New Roman"/>
      <w:sz w:val="28"/>
      <w:szCs w:val="28"/>
      <w:lang w:val="en-US" w:eastAsia="x-none" w:bidi="ar-SA"/>
    </w:rPr>
  </w:style>
  <w:style w:type="character" w:customStyle="1" w:styleId="TitleChar">
    <w:name w:val="Title Char"/>
    <w:basedOn w:val="DefaultParagraphFont"/>
    <w:link w:val="Title"/>
    <w:rsid w:val="00602E25"/>
    <w:rPr>
      <w:rFonts w:ascii="Times New Roman" w:eastAsia="Times New Roman" w:hAnsi="Times New Roman" w:cs="Times New Roman"/>
      <w:sz w:val="28"/>
      <w:szCs w:val="28"/>
      <w:lang w:eastAsia="x-none"/>
    </w:rPr>
  </w:style>
  <w:style w:type="character" w:customStyle="1" w:styleId="NoSpacingChar">
    <w:name w:val="No Spacing Char"/>
    <w:link w:val="NoSpacing"/>
    <w:uiPriority w:val="1"/>
    <w:locked/>
    <w:rsid w:val="00602E25"/>
    <w:rPr>
      <w:rFonts w:ascii="Calibri" w:eastAsia="Times New Roman" w:hAnsi="Calibri" w:cs="Times New Roman"/>
      <w:sz w:val="24"/>
      <w:szCs w:val="24"/>
      <w:lang w:bidi="en-US"/>
    </w:rPr>
  </w:style>
  <w:style w:type="paragraph" w:styleId="NoSpacing">
    <w:name w:val="No Spacing"/>
    <w:link w:val="NoSpacingChar"/>
    <w:uiPriority w:val="1"/>
    <w:qFormat/>
    <w:rsid w:val="00602E25"/>
    <w:pPr>
      <w:spacing w:after="0" w:line="240" w:lineRule="auto"/>
    </w:pPr>
    <w:rPr>
      <w:rFonts w:ascii="Calibri" w:eastAsia="Times New Roman" w:hAnsi="Calibri" w:cs="Times New Roman"/>
      <w:sz w:val="24"/>
      <w:szCs w:val="24"/>
      <w:lang w:bidi="en-US"/>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basedOn w:val="DefaultParagraphFont"/>
    <w:link w:val="ListParagraph"/>
    <w:uiPriority w:val="34"/>
    <w:qFormat/>
    <w:locked/>
    <w:rsid w:val="00602E25"/>
    <w:rPr>
      <w:rFonts w:ascii="Calibri" w:eastAsia="Times New Roman" w:hAnsi="Calibri" w:cs="Times New Roman"/>
      <w:sz w:val="24"/>
      <w:szCs w:val="24"/>
      <w:lang w:bidi="en-US"/>
    </w:rPr>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602E25"/>
    <w:pPr>
      <w:ind w:left="720"/>
      <w:contextualSpacing/>
    </w:pPr>
    <w:rPr>
      <w:lang w:val="en-US"/>
    </w:rPr>
  </w:style>
  <w:style w:type="paragraph" w:styleId="BodyText">
    <w:name w:val="Body Text"/>
    <w:basedOn w:val="Normal"/>
    <w:link w:val="BodyTextChar"/>
    <w:uiPriority w:val="99"/>
    <w:unhideWhenUsed/>
    <w:rsid w:val="00DF0E32"/>
    <w:pPr>
      <w:spacing w:after="120"/>
    </w:pPr>
    <w:rPr>
      <w:rFonts w:ascii="Times New Roman" w:hAnsi="Times New Roman"/>
      <w:sz w:val="20"/>
      <w:szCs w:val="20"/>
      <w:lang w:val="x-none" w:eastAsia="x-none" w:bidi="ar-SA"/>
    </w:rPr>
  </w:style>
  <w:style w:type="character" w:customStyle="1" w:styleId="BodyTextChar">
    <w:name w:val="Body Text Char"/>
    <w:basedOn w:val="DefaultParagraphFont"/>
    <w:link w:val="BodyText"/>
    <w:uiPriority w:val="99"/>
    <w:rsid w:val="00DF0E32"/>
    <w:rPr>
      <w:rFonts w:ascii="Times New Roman" w:eastAsia="Times New Roman" w:hAnsi="Times New Roman" w:cs="Times New Roman"/>
      <w:sz w:val="20"/>
      <w:szCs w:val="20"/>
      <w:lang w:val="x-none" w:eastAsia="x-none"/>
    </w:rPr>
  </w:style>
  <w:style w:type="paragraph" w:styleId="FootnoteText">
    <w:name w:val="footnote text"/>
    <w:aliases w:val=" Char Char,Char,Footnote Text Char1 Char Char Char,Footnote Text Char Char Char Char Char,Car,single space,footnote text,fn,FOOTNOTES,Footnote Text Char1,Footnote Text Char2 Char,Footnote Text Char1 Char Char,Char Char Char Char"/>
    <w:basedOn w:val="Normal"/>
    <w:link w:val="FootnoteTextChar"/>
    <w:uiPriority w:val="99"/>
    <w:unhideWhenUsed/>
    <w:qFormat/>
    <w:rsid w:val="005C5C65"/>
    <w:rPr>
      <w:rFonts w:ascii="Times New Roman" w:hAnsi="Times New Roman"/>
      <w:sz w:val="20"/>
      <w:szCs w:val="20"/>
      <w:lang w:val="en-US" w:eastAsia="x-none" w:bidi="ar-SA"/>
    </w:rPr>
  </w:style>
  <w:style w:type="character" w:customStyle="1" w:styleId="FootnoteTextChar">
    <w:name w:val="Footnote Text Char"/>
    <w:aliases w:val=" Char Char Char,Char Char,Footnote Text Char1 Char Char Char Char,Footnote Text Char Char Char Char Char Char,Car Char,single space Char,footnote text Char,fn Char,FOOTNOTES Char,Footnote Text Char1 Char,Footnote Text Char2 Char Char"/>
    <w:basedOn w:val="DefaultParagraphFont"/>
    <w:link w:val="FootnoteText"/>
    <w:uiPriority w:val="99"/>
    <w:rsid w:val="005C5C65"/>
    <w:rPr>
      <w:rFonts w:ascii="Times New Roman" w:eastAsia="Times New Roman" w:hAnsi="Times New Roman" w:cs="Times New Roman"/>
      <w:sz w:val="20"/>
      <w:szCs w:val="20"/>
      <w:lang w:eastAsia="x-none"/>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BVI fnr Char,fr,16 Point"/>
    <w:link w:val="Char2"/>
    <w:uiPriority w:val="99"/>
    <w:unhideWhenUsed/>
    <w:qFormat/>
    <w:rsid w:val="005C5C65"/>
    <w:rPr>
      <w:vertAlign w:val="superscript"/>
    </w:rPr>
  </w:style>
  <w:style w:type="paragraph" w:styleId="BalloonText">
    <w:name w:val="Balloon Text"/>
    <w:basedOn w:val="Normal"/>
    <w:link w:val="BalloonTextChar"/>
    <w:uiPriority w:val="99"/>
    <w:semiHidden/>
    <w:unhideWhenUsed/>
    <w:rsid w:val="002A27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742"/>
    <w:rPr>
      <w:rFonts w:ascii="Segoe UI" w:eastAsia="Times New Roman" w:hAnsi="Segoe UI" w:cs="Segoe UI"/>
      <w:sz w:val="18"/>
      <w:szCs w:val="18"/>
      <w:lang w:val="sq-AL" w:bidi="en-US"/>
    </w:rPr>
  </w:style>
  <w:style w:type="paragraph" w:styleId="Header">
    <w:name w:val="header"/>
    <w:basedOn w:val="Normal"/>
    <w:link w:val="HeaderChar"/>
    <w:uiPriority w:val="99"/>
    <w:unhideWhenUsed/>
    <w:rsid w:val="007510BA"/>
    <w:pPr>
      <w:tabs>
        <w:tab w:val="center" w:pos="4680"/>
        <w:tab w:val="right" w:pos="9360"/>
      </w:tabs>
    </w:pPr>
  </w:style>
  <w:style w:type="character" w:customStyle="1" w:styleId="HeaderChar">
    <w:name w:val="Header Char"/>
    <w:basedOn w:val="DefaultParagraphFont"/>
    <w:link w:val="Header"/>
    <w:uiPriority w:val="99"/>
    <w:rsid w:val="007510BA"/>
    <w:rPr>
      <w:rFonts w:ascii="Calibri" w:eastAsia="Times New Roman" w:hAnsi="Calibri" w:cs="Times New Roman"/>
      <w:sz w:val="24"/>
      <w:szCs w:val="24"/>
      <w:lang w:val="sq-AL" w:bidi="en-US"/>
    </w:rPr>
  </w:style>
  <w:style w:type="paragraph" w:styleId="Footer">
    <w:name w:val="footer"/>
    <w:basedOn w:val="Normal"/>
    <w:link w:val="FooterChar"/>
    <w:uiPriority w:val="99"/>
    <w:unhideWhenUsed/>
    <w:rsid w:val="007510BA"/>
    <w:pPr>
      <w:tabs>
        <w:tab w:val="center" w:pos="4680"/>
        <w:tab w:val="right" w:pos="9360"/>
      </w:tabs>
    </w:pPr>
  </w:style>
  <w:style w:type="character" w:customStyle="1" w:styleId="FooterChar">
    <w:name w:val="Footer Char"/>
    <w:basedOn w:val="DefaultParagraphFont"/>
    <w:link w:val="Footer"/>
    <w:uiPriority w:val="99"/>
    <w:rsid w:val="007510BA"/>
    <w:rPr>
      <w:rFonts w:ascii="Calibri" w:eastAsia="Times New Roman" w:hAnsi="Calibri" w:cs="Times New Roman"/>
      <w:sz w:val="24"/>
      <w:szCs w:val="24"/>
      <w:lang w:val="sq-AL" w:bidi="en-US"/>
    </w:rPr>
  </w:style>
  <w:style w:type="paragraph" w:styleId="NormalWeb">
    <w:name w:val="Normal (Web)"/>
    <w:basedOn w:val="Normal"/>
    <w:uiPriority w:val="99"/>
    <w:unhideWhenUsed/>
    <w:rsid w:val="008D5EBC"/>
    <w:pPr>
      <w:spacing w:before="100" w:beforeAutospacing="1" w:after="100" w:afterAutospacing="1"/>
    </w:pPr>
    <w:rPr>
      <w:rFonts w:ascii="Times New Roman" w:hAnsi="Times New Roman"/>
      <w:lang w:val="en-US" w:bidi="ar-SA"/>
    </w:rPr>
  </w:style>
  <w:style w:type="character" w:customStyle="1" w:styleId="fontstyle01">
    <w:name w:val="fontstyle01"/>
    <w:basedOn w:val="DefaultParagraphFont"/>
    <w:rsid w:val="00447475"/>
    <w:rPr>
      <w:rFonts w:ascii="Garamond" w:hAnsi="Garamond" w:hint="default"/>
      <w:b w:val="0"/>
      <w:bCs w:val="0"/>
      <w:i w:val="0"/>
      <w:iCs w:val="0"/>
      <w:color w:val="000000"/>
      <w:sz w:val="24"/>
      <w:szCs w:val="24"/>
    </w:rPr>
  </w:style>
  <w:style w:type="character" w:customStyle="1" w:styleId="fontstyle21">
    <w:name w:val="fontstyle21"/>
    <w:basedOn w:val="DefaultParagraphFont"/>
    <w:rsid w:val="002C7893"/>
    <w:rPr>
      <w:rFonts w:ascii="Carlito" w:hAnsi="Carlito" w:hint="default"/>
      <w:b w:val="0"/>
      <w:bCs w:val="0"/>
      <w:i w:val="0"/>
      <w:iCs w:val="0"/>
      <w:color w:val="000000"/>
      <w:sz w:val="22"/>
      <w:szCs w:val="22"/>
    </w:rPr>
  </w:style>
  <w:style w:type="character" w:customStyle="1" w:styleId="fontstyle31">
    <w:name w:val="fontstyle31"/>
    <w:basedOn w:val="DefaultParagraphFont"/>
    <w:rsid w:val="002C7893"/>
    <w:rPr>
      <w:rFonts w:ascii="Garamond" w:hAnsi="Garamond" w:hint="default"/>
      <w:b w:val="0"/>
      <w:bCs w:val="0"/>
      <w:i w:val="0"/>
      <w:iCs w:val="0"/>
      <w:color w:val="000000"/>
      <w:sz w:val="24"/>
      <w:szCs w:val="24"/>
    </w:rPr>
  </w:style>
  <w:style w:type="paragraph" w:customStyle="1" w:styleId="Char2">
    <w:name w:val="Char2"/>
    <w:basedOn w:val="Normal"/>
    <w:link w:val="FootnoteReference"/>
    <w:uiPriority w:val="99"/>
    <w:rsid w:val="0026788D"/>
    <w:pPr>
      <w:spacing w:after="160" w:line="240" w:lineRule="exact"/>
    </w:pPr>
    <w:rPr>
      <w:rFonts w:asciiTheme="minorHAnsi" w:eastAsiaTheme="minorHAnsi" w:hAnsiTheme="minorHAnsi" w:cstheme="minorBidi"/>
      <w:sz w:val="22"/>
      <w:szCs w:val="22"/>
      <w:vertAlign w:val="superscript"/>
      <w:lang w:val="en-US" w:bidi="ar-SA"/>
    </w:rPr>
  </w:style>
  <w:style w:type="character" w:styleId="Hyperlink">
    <w:name w:val="Hyperlink"/>
    <w:basedOn w:val="DefaultParagraphFont"/>
    <w:uiPriority w:val="99"/>
    <w:unhideWhenUsed/>
    <w:rsid w:val="003028B6"/>
    <w:rPr>
      <w:color w:val="0563C1" w:themeColor="hyperlink"/>
      <w:u w:val="single"/>
    </w:rPr>
  </w:style>
  <w:style w:type="paragraph" w:customStyle="1" w:styleId="FootnoteReferneceCharChar1">
    <w:name w:val="Footnote Refernece Char Char1"/>
    <w:aliases w:val="Car Char Car Char Car Char Char Char Char Char Char Char Char1"/>
    <w:basedOn w:val="Normal"/>
    <w:rsid w:val="00AB0F39"/>
    <w:pPr>
      <w:spacing w:after="160" w:line="240" w:lineRule="exact"/>
    </w:pPr>
    <w:rPr>
      <w:rFonts w:ascii="Times New Roman" w:eastAsia="Calibri" w:hAnsi="Times New Roman"/>
      <w:sz w:val="20"/>
      <w:szCs w:val="20"/>
      <w:vertAlign w:val="superscript"/>
      <w:lang w:val="x-none" w:eastAsia="x-none" w:bidi="ar-SA"/>
    </w:rPr>
  </w:style>
  <w:style w:type="character" w:customStyle="1" w:styleId="Style1Char">
    <w:name w:val="Style1 Char"/>
    <w:basedOn w:val="DefaultParagraphFont"/>
    <w:link w:val="Style1"/>
    <w:locked/>
    <w:rsid w:val="00223DC1"/>
    <w:rPr>
      <w:b/>
      <w:bCs/>
      <w:kern w:val="32"/>
      <w:sz w:val="24"/>
      <w:szCs w:val="24"/>
    </w:rPr>
  </w:style>
  <w:style w:type="paragraph" w:customStyle="1" w:styleId="Style1">
    <w:name w:val="Style1"/>
    <w:basedOn w:val="Heading1"/>
    <w:link w:val="Style1Char"/>
    <w:qFormat/>
    <w:rsid w:val="00223DC1"/>
    <w:pPr>
      <w:keepLines w:val="0"/>
      <w:spacing w:before="0"/>
      <w:jc w:val="center"/>
    </w:pPr>
    <w:rPr>
      <w:rFonts w:asciiTheme="minorHAnsi" w:eastAsiaTheme="minorHAnsi" w:hAnsiTheme="minorHAnsi" w:cstheme="minorBidi"/>
      <w:b/>
      <w:bCs/>
      <w:color w:val="auto"/>
      <w:kern w:val="32"/>
      <w:sz w:val="24"/>
      <w:szCs w:val="24"/>
      <w:lang w:val="en-US" w:bidi="ar-SA"/>
    </w:rPr>
  </w:style>
  <w:style w:type="character" w:customStyle="1" w:styleId="Heading1Char">
    <w:name w:val="Heading 1 Char"/>
    <w:basedOn w:val="DefaultParagraphFont"/>
    <w:link w:val="Heading1"/>
    <w:uiPriority w:val="9"/>
    <w:rsid w:val="00223DC1"/>
    <w:rPr>
      <w:rFonts w:asciiTheme="majorHAnsi" w:eastAsiaTheme="majorEastAsia" w:hAnsiTheme="majorHAnsi" w:cstheme="majorBidi"/>
      <w:color w:val="2E74B5" w:themeColor="accent1" w:themeShade="BF"/>
      <w:sz w:val="32"/>
      <w:szCs w:val="32"/>
      <w:lang w:val="sq-AL"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647418">
      <w:bodyDiv w:val="1"/>
      <w:marLeft w:val="0"/>
      <w:marRight w:val="0"/>
      <w:marTop w:val="0"/>
      <w:marBottom w:val="0"/>
      <w:divBdr>
        <w:top w:val="none" w:sz="0" w:space="0" w:color="auto"/>
        <w:left w:val="none" w:sz="0" w:space="0" w:color="auto"/>
        <w:bottom w:val="none" w:sz="0" w:space="0" w:color="auto"/>
        <w:right w:val="none" w:sz="0" w:space="0" w:color="auto"/>
      </w:divBdr>
    </w:div>
    <w:div w:id="476185967">
      <w:bodyDiv w:val="1"/>
      <w:marLeft w:val="0"/>
      <w:marRight w:val="0"/>
      <w:marTop w:val="0"/>
      <w:marBottom w:val="0"/>
      <w:divBdr>
        <w:top w:val="none" w:sz="0" w:space="0" w:color="auto"/>
        <w:left w:val="none" w:sz="0" w:space="0" w:color="auto"/>
        <w:bottom w:val="none" w:sz="0" w:space="0" w:color="auto"/>
        <w:right w:val="none" w:sz="0" w:space="0" w:color="auto"/>
      </w:divBdr>
    </w:div>
    <w:div w:id="831067518">
      <w:bodyDiv w:val="1"/>
      <w:marLeft w:val="0"/>
      <w:marRight w:val="0"/>
      <w:marTop w:val="0"/>
      <w:marBottom w:val="0"/>
      <w:divBdr>
        <w:top w:val="none" w:sz="0" w:space="0" w:color="auto"/>
        <w:left w:val="none" w:sz="0" w:space="0" w:color="auto"/>
        <w:bottom w:val="none" w:sz="0" w:space="0" w:color="auto"/>
        <w:right w:val="none" w:sz="0" w:space="0" w:color="auto"/>
      </w:divBdr>
    </w:div>
    <w:div w:id="854420646">
      <w:bodyDiv w:val="1"/>
      <w:marLeft w:val="0"/>
      <w:marRight w:val="0"/>
      <w:marTop w:val="0"/>
      <w:marBottom w:val="0"/>
      <w:divBdr>
        <w:top w:val="none" w:sz="0" w:space="0" w:color="auto"/>
        <w:left w:val="none" w:sz="0" w:space="0" w:color="auto"/>
        <w:bottom w:val="none" w:sz="0" w:space="0" w:color="auto"/>
        <w:right w:val="none" w:sz="0" w:space="0" w:color="auto"/>
      </w:divBdr>
    </w:div>
    <w:div w:id="1108311188">
      <w:bodyDiv w:val="1"/>
      <w:marLeft w:val="0"/>
      <w:marRight w:val="0"/>
      <w:marTop w:val="0"/>
      <w:marBottom w:val="0"/>
      <w:divBdr>
        <w:top w:val="none" w:sz="0" w:space="0" w:color="auto"/>
        <w:left w:val="none" w:sz="0" w:space="0" w:color="auto"/>
        <w:bottom w:val="none" w:sz="0" w:space="0" w:color="auto"/>
        <w:right w:val="none" w:sz="0" w:space="0" w:color="auto"/>
      </w:divBdr>
    </w:div>
    <w:div w:id="1508473502">
      <w:bodyDiv w:val="1"/>
      <w:marLeft w:val="0"/>
      <w:marRight w:val="0"/>
      <w:marTop w:val="0"/>
      <w:marBottom w:val="0"/>
      <w:divBdr>
        <w:top w:val="none" w:sz="0" w:space="0" w:color="auto"/>
        <w:left w:val="none" w:sz="0" w:space="0" w:color="auto"/>
        <w:bottom w:val="none" w:sz="0" w:space="0" w:color="auto"/>
        <w:right w:val="none" w:sz="0" w:space="0" w:color="auto"/>
      </w:divBdr>
    </w:div>
    <w:div w:id="1573587384">
      <w:bodyDiv w:val="1"/>
      <w:marLeft w:val="0"/>
      <w:marRight w:val="0"/>
      <w:marTop w:val="0"/>
      <w:marBottom w:val="0"/>
      <w:divBdr>
        <w:top w:val="none" w:sz="0" w:space="0" w:color="auto"/>
        <w:left w:val="none" w:sz="0" w:space="0" w:color="auto"/>
        <w:bottom w:val="none" w:sz="0" w:space="0" w:color="auto"/>
        <w:right w:val="none" w:sz="0" w:space="0" w:color="auto"/>
      </w:divBdr>
    </w:div>
    <w:div w:id="1719621089">
      <w:bodyDiv w:val="1"/>
      <w:marLeft w:val="0"/>
      <w:marRight w:val="0"/>
      <w:marTop w:val="0"/>
      <w:marBottom w:val="0"/>
      <w:divBdr>
        <w:top w:val="none" w:sz="0" w:space="0" w:color="auto"/>
        <w:left w:val="none" w:sz="0" w:space="0" w:color="auto"/>
        <w:bottom w:val="none" w:sz="0" w:space="0" w:color="auto"/>
        <w:right w:val="none" w:sz="0" w:space="0" w:color="auto"/>
      </w:divBdr>
    </w:div>
    <w:div w:id="1916282524">
      <w:bodyDiv w:val="1"/>
      <w:marLeft w:val="0"/>
      <w:marRight w:val="0"/>
      <w:marTop w:val="0"/>
      <w:marBottom w:val="0"/>
      <w:divBdr>
        <w:top w:val="none" w:sz="0" w:space="0" w:color="auto"/>
        <w:left w:val="none" w:sz="0" w:space="0" w:color="auto"/>
        <w:bottom w:val="none" w:sz="0" w:space="0" w:color="auto"/>
        <w:right w:val="none" w:sz="0" w:space="0" w:color="auto"/>
      </w:divBdr>
    </w:div>
    <w:div w:id="1967661200">
      <w:bodyDiv w:val="1"/>
      <w:marLeft w:val="0"/>
      <w:marRight w:val="0"/>
      <w:marTop w:val="0"/>
      <w:marBottom w:val="0"/>
      <w:divBdr>
        <w:top w:val="none" w:sz="0" w:space="0" w:color="auto"/>
        <w:left w:val="none" w:sz="0" w:space="0" w:color="auto"/>
        <w:bottom w:val="none" w:sz="0" w:space="0" w:color="auto"/>
        <w:right w:val="none" w:sz="0" w:space="0" w:color="auto"/>
      </w:divBdr>
      <w:divsChild>
        <w:div w:id="1150755097">
          <w:marLeft w:val="0"/>
          <w:marRight w:val="0"/>
          <w:marTop w:val="15"/>
          <w:marBottom w:val="0"/>
          <w:divBdr>
            <w:top w:val="none" w:sz="0" w:space="0" w:color="auto"/>
            <w:left w:val="none" w:sz="0" w:space="0" w:color="auto"/>
            <w:bottom w:val="none" w:sz="0" w:space="0" w:color="auto"/>
            <w:right w:val="none" w:sz="0" w:space="0" w:color="auto"/>
          </w:divBdr>
          <w:divsChild>
            <w:div w:id="8063535">
              <w:marLeft w:val="0"/>
              <w:marRight w:val="0"/>
              <w:marTop w:val="0"/>
              <w:marBottom w:val="0"/>
              <w:divBdr>
                <w:top w:val="single" w:sz="6" w:space="0" w:color="808080"/>
                <w:left w:val="single" w:sz="6" w:space="0" w:color="808080"/>
                <w:bottom w:val="single" w:sz="6" w:space="0" w:color="808080"/>
                <w:right w:val="single" w:sz="6" w:space="0" w:color="808080"/>
              </w:divBdr>
              <w:divsChild>
                <w:div w:id="835921796">
                  <w:marLeft w:val="0"/>
                  <w:marRight w:val="0"/>
                  <w:marTop w:val="0"/>
                  <w:marBottom w:val="0"/>
                  <w:divBdr>
                    <w:top w:val="none" w:sz="0" w:space="0" w:color="auto"/>
                    <w:left w:val="none" w:sz="0" w:space="0" w:color="auto"/>
                    <w:bottom w:val="none" w:sz="0" w:space="0" w:color="auto"/>
                    <w:right w:val="none" w:sz="0" w:space="0" w:color="auto"/>
                  </w:divBdr>
                </w:div>
                <w:div w:id="90780241">
                  <w:marLeft w:val="0"/>
                  <w:marRight w:val="0"/>
                  <w:marTop w:val="0"/>
                  <w:marBottom w:val="0"/>
                  <w:divBdr>
                    <w:top w:val="none" w:sz="0" w:space="0" w:color="auto"/>
                    <w:left w:val="none" w:sz="0" w:space="0" w:color="auto"/>
                    <w:bottom w:val="none" w:sz="0" w:space="0" w:color="auto"/>
                    <w:right w:val="none" w:sz="0" w:space="0" w:color="auto"/>
                  </w:divBdr>
                </w:div>
                <w:div w:id="1815297878">
                  <w:marLeft w:val="0"/>
                  <w:marRight w:val="0"/>
                  <w:marTop w:val="0"/>
                  <w:marBottom w:val="0"/>
                  <w:divBdr>
                    <w:top w:val="none" w:sz="0" w:space="0" w:color="auto"/>
                    <w:left w:val="none" w:sz="0" w:space="0" w:color="auto"/>
                    <w:bottom w:val="none" w:sz="0" w:space="0" w:color="auto"/>
                    <w:right w:val="none" w:sz="0" w:space="0" w:color="auto"/>
                  </w:divBdr>
                </w:div>
                <w:div w:id="1755084128">
                  <w:marLeft w:val="0"/>
                  <w:marRight w:val="0"/>
                  <w:marTop w:val="0"/>
                  <w:marBottom w:val="0"/>
                  <w:divBdr>
                    <w:top w:val="none" w:sz="0" w:space="0" w:color="auto"/>
                    <w:left w:val="none" w:sz="0" w:space="0" w:color="auto"/>
                    <w:bottom w:val="none" w:sz="0" w:space="0" w:color="auto"/>
                    <w:right w:val="none" w:sz="0" w:space="0" w:color="auto"/>
                  </w:divBdr>
                </w:div>
                <w:div w:id="36144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39388">
          <w:marLeft w:val="0"/>
          <w:marRight w:val="0"/>
          <w:marTop w:val="15"/>
          <w:marBottom w:val="0"/>
          <w:divBdr>
            <w:top w:val="none" w:sz="0" w:space="0" w:color="auto"/>
            <w:left w:val="none" w:sz="0" w:space="0" w:color="auto"/>
            <w:bottom w:val="none" w:sz="0" w:space="0" w:color="auto"/>
            <w:right w:val="none" w:sz="0" w:space="0" w:color="auto"/>
          </w:divBdr>
          <w:divsChild>
            <w:div w:id="1798987465">
              <w:marLeft w:val="0"/>
              <w:marRight w:val="0"/>
              <w:marTop w:val="0"/>
              <w:marBottom w:val="0"/>
              <w:divBdr>
                <w:top w:val="single" w:sz="6" w:space="0" w:color="808080"/>
                <w:left w:val="single" w:sz="6" w:space="0" w:color="808080"/>
                <w:bottom w:val="single" w:sz="6" w:space="0" w:color="808080"/>
                <w:right w:val="single" w:sz="6" w:space="0" w:color="808080"/>
              </w:divBdr>
              <w:divsChild>
                <w:div w:id="1523202761">
                  <w:marLeft w:val="0"/>
                  <w:marRight w:val="0"/>
                  <w:marTop w:val="0"/>
                  <w:marBottom w:val="0"/>
                  <w:divBdr>
                    <w:top w:val="none" w:sz="0" w:space="0" w:color="auto"/>
                    <w:left w:val="none" w:sz="0" w:space="0" w:color="auto"/>
                    <w:bottom w:val="none" w:sz="0" w:space="0" w:color="auto"/>
                    <w:right w:val="none" w:sz="0" w:space="0" w:color="auto"/>
                  </w:divBdr>
                </w:div>
                <w:div w:id="1366827982">
                  <w:marLeft w:val="0"/>
                  <w:marRight w:val="0"/>
                  <w:marTop w:val="0"/>
                  <w:marBottom w:val="0"/>
                  <w:divBdr>
                    <w:top w:val="none" w:sz="0" w:space="0" w:color="auto"/>
                    <w:left w:val="none" w:sz="0" w:space="0" w:color="auto"/>
                    <w:bottom w:val="none" w:sz="0" w:space="0" w:color="auto"/>
                    <w:right w:val="none" w:sz="0" w:space="0" w:color="auto"/>
                  </w:divBdr>
                </w:div>
                <w:div w:id="476151044">
                  <w:marLeft w:val="0"/>
                  <w:marRight w:val="0"/>
                  <w:marTop w:val="0"/>
                  <w:marBottom w:val="0"/>
                  <w:divBdr>
                    <w:top w:val="none" w:sz="0" w:space="0" w:color="auto"/>
                    <w:left w:val="none" w:sz="0" w:space="0" w:color="auto"/>
                    <w:bottom w:val="none" w:sz="0" w:space="0" w:color="auto"/>
                    <w:right w:val="none" w:sz="0" w:space="0" w:color="auto"/>
                  </w:divBdr>
                </w:div>
                <w:div w:id="785196013">
                  <w:marLeft w:val="0"/>
                  <w:marRight w:val="0"/>
                  <w:marTop w:val="0"/>
                  <w:marBottom w:val="0"/>
                  <w:divBdr>
                    <w:top w:val="none" w:sz="0" w:space="0" w:color="auto"/>
                    <w:left w:val="none" w:sz="0" w:space="0" w:color="auto"/>
                    <w:bottom w:val="none" w:sz="0" w:space="0" w:color="auto"/>
                    <w:right w:val="none" w:sz="0" w:space="0" w:color="auto"/>
                  </w:divBdr>
                </w:div>
                <w:div w:id="1344473999">
                  <w:marLeft w:val="0"/>
                  <w:marRight w:val="0"/>
                  <w:marTop w:val="0"/>
                  <w:marBottom w:val="0"/>
                  <w:divBdr>
                    <w:top w:val="none" w:sz="0" w:space="0" w:color="auto"/>
                    <w:left w:val="none" w:sz="0" w:space="0" w:color="auto"/>
                    <w:bottom w:val="none" w:sz="0" w:space="0" w:color="auto"/>
                    <w:right w:val="none" w:sz="0" w:space="0" w:color="auto"/>
                  </w:divBdr>
                </w:div>
                <w:div w:id="149834170">
                  <w:marLeft w:val="0"/>
                  <w:marRight w:val="0"/>
                  <w:marTop w:val="0"/>
                  <w:marBottom w:val="0"/>
                  <w:divBdr>
                    <w:top w:val="none" w:sz="0" w:space="0" w:color="auto"/>
                    <w:left w:val="none" w:sz="0" w:space="0" w:color="auto"/>
                    <w:bottom w:val="none" w:sz="0" w:space="0" w:color="auto"/>
                    <w:right w:val="none" w:sz="0" w:space="0" w:color="auto"/>
                  </w:divBdr>
                </w:div>
                <w:div w:id="2097048514">
                  <w:marLeft w:val="0"/>
                  <w:marRight w:val="0"/>
                  <w:marTop w:val="0"/>
                  <w:marBottom w:val="0"/>
                  <w:divBdr>
                    <w:top w:val="none" w:sz="0" w:space="0" w:color="auto"/>
                    <w:left w:val="none" w:sz="0" w:space="0" w:color="auto"/>
                    <w:bottom w:val="none" w:sz="0" w:space="0" w:color="auto"/>
                    <w:right w:val="none" w:sz="0" w:space="0" w:color="auto"/>
                  </w:divBdr>
                </w:div>
                <w:div w:id="193201027">
                  <w:marLeft w:val="0"/>
                  <w:marRight w:val="0"/>
                  <w:marTop w:val="0"/>
                  <w:marBottom w:val="0"/>
                  <w:divBdr>
                    <w:top w:val="none" w:sz="0" w:space="0" w:color="auto"/>
                    <w:left w:val="none" w:sz="0" w:space="0" w:color="auto"/>
                    <w:bottom w:val="none" w:sz="0" w:space="0" w:color="auto"/>
                    <w:right w:val="none" w:sz="0" w:space="0" w:color="auto"/>
                  </w:divBdr>
                </w:div>
                <w:div w:id="1331374442">
                  <w:marLeft w:val="0"/>
                  <w:marRight w:val="0"/>
                  <w:marTop w:val="0"/>
                  <w:marBottom w:val="0"/>
                  <w:divBdr>
                    <w:top w:val="none" w:sz="0" w:space="0" w:color="auto"/>
                    <w:left w:val="none" w:sz="0" w:space="0" w:color="auto"/>
                    <w:bottom w:val="none" w:sz="0" w:space="0" w:color="auto"/>
                    <w:right w:val="none" w:sz="0" w:space="0" w:color="auto"/>
                  </w:divBdr>
                </w:div>
                <w:div w:id="1249076966">
                  <w:marLeft w:val="0"/>
                  <w:marRight w:val="0"/>
                  <w:marTop w:val="0"/>
                  <w:marBottom w:val="0"/>
                  <w:divBdr>
                    <w:top w:val="none" w:sz="0" w:space="0" w:color="auto"/>
                    <w:left w:val="none" w:sz="0" w:space="0" w:color="auto"/>
                    <w:bottom w:val="none" w:sz="0" w:space="0" w:color="auto"/>
                    <w:right w:val="none" w:sz="0" w:space="0" w:color="auto"/>
                  </w:divBdr>
                </w:div>
                <w:div w:id="552277824">
                  <w:marLeft w:val="0"/>
                  <w:marRight w:val="0"/>
                  <w:marTop w:val="0"/>
                  <w:marBottom w:val="0"/>
                  <w:divBdr>
                    <w:top w:val="none" w:sz="0" w:space="0" w:color="auto"/>
                    <w:left w:val="none" w:sz="0" w:space="0" w:color="auto"/>
                    <w:bottom w:val="none" w:sz="0" w:space="0" w:color="auto"/>
                    <w:right w:val="none" w:sz="0" w:space="0" w:color="auto"/>
                  </w:divBdr>
                </w:div>
                <w:div w:id="1888762583">
                  <w:marLeft w:val="0"/>
                  <w:marRight w:val="0"/>
                  <w:marTop w:val="0"/>
                  <w:marBottom w:val="0"/>
                  <w:divBdr>
                    <w:top w:val="none" w:sz="0" w:space="0" w:color="auto"/>
                    <w:left w:val="none" w:sz="0" w:space="0" w:color="auto"/>
                    <w:bottom w:val="none" w:sz="0" w:space="0" w:color="auto"/>
                    <w:right w:val="none" w:sz="0" w:space="0" w:color="auto"/>
                  </w:divBdr>
                </w:div>
                <w:div w:id="1704164493">
                  <w:marLeft w:val="0"/>
                  <w:marRight w:val="0"/>
                  <w:marTop w:val="0"/>
                  <w:marBottom w:val="0"/>
                  <w:divBdr>
                    <w:top w:val="none" w:sz="0" w:space="0" w:color="auto"/>
                    <w:left w:val="none" w:sz="0" w:space="0" w:color="auto"/>
                    <w:bottom w:val="none" w:sz="0" w:space="0" w:color="auto"/>
                    <w:right w:val="none" w:sz="0" w:space="0" w:color="auto"/>
                  </w:divBdr>
                </w:div>
                <w:div w:id="17481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ED021-6579-4FD2-853D-3FACCDA00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5100</Words>
  <Characters>29076</Characters>
  <Application>Microsoft Office Word</Application>
  <DocSecurity>0</DocSecurity>
  <Lines>242</Lines>
  <Paragraphs>68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vt:lpstr>
      <vt:lpstr>    VENDIM</vt:lpstr>
    </vt:vector>
  </TitlesOfParts>
  <Company/>
  <LinksUpToDate>false</LinksUpToDate>
  <CharactersWithSpaces>34108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Planet</dc:creator>
  <cp:keywords/>
  <dc:description/>
  <cp:lastModifiedBy>User</cp:lastModifiedBy>
  <cp:revision>3</cp:revision>
  <cp:lastPrinted>2026-03-10T11:22:00Z</cp:lastPrinted>
  <dcterms:created xsi:type="dcterms:W3CDTF">2026-03-10T11:21:00Z</dcterms:created>
  <dcterms:modified xsi:type="dcterms:W3CDTF">2026-03-10T11:41:00Z</dcterms:modified>
</cp:coreProperties>
</file>