
<file path=[Content_Types].xml><?xml version="1.0" encoding="utf-8"?>
<Types xmlns="http://schemas.openxmlformats.org/package/2006/content-types">
  <Default Extension="bin" ContentType="application/vnd.openxmlformats-officedocument.oleObjec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380B92A" w14:textId="03306C64" w:rsidR="005F5550" w:rsidRPr="00F74CCD" w:rsidRDefault="00554BFB" w:rsidP="00F74CCD">
      <w:pPr>
        <w:tabs>
          <w:tab w:val="left" w:pos="3330"/>
        </w:tabs>
        <w:rPr>
          <w:rFonts w:ascii="Times New Roman" w:hAnsi="Times New Roman"/>
          <w:b/>
        </w:rPr>
      </w:pPr>
      <w:r w:rsidRPr="00F74CCD">
        <w:rPr>
          <w:rFonts w:ascii="Times New Roman" w:hAnsi="Times New Roman"/>
          <w:b/>
        </w:rPr>
        <w:t xml:space="preserve">                                                        </w:t>
      </w:r>
      <w:r w:rsidR="008564DD" w:rsidRPr="00F74CCD">
        <w:rPr>
          <w:rFonts w:ascii="Times New Roman" w:hAnsi="Times New Roman"/>
          <w:b/>
        </w:rPr>
        <w:t xml:space="preserve">  </w:t>
      </w:r>
      <w:r w:rsidR="00D975F2" w:rsidRPr="00F74CCD">
        <w:rPr>
          <w:rFonts w:ascii="Times New Roman" w:hAnsi="Times New Roman"/>
          <w:b/>
        </w:rPr>
        <w:t xml:space="preserve">      </w:t>
      </w:r>
      <w:r w:rsidR="00D358E9" w:rsidRPr="00F74CCD">
        <w:rPr>
          <w:rFonts w:ascii="Times New Roman" w:hAnsi="Times New Roman"/>
          <w:b/>
        </w:rPr>
        <w:t xml:space="preserve">    </w:t>
      </w:r>
      <w:r w:rsidR="00D975F2" w:rsidRPr="00F74CCD">
        <w:rPr>
          <w:rFonts w:ascii="Times New Roman" w:hAnsi="Times New Roman"/>
          <w:b/>
        </w:rPr>
        <w:t xml:space="preserve"> </w:t>
      </w:r>
      <w:r w:rsidR="00D975F2" w:rsidRPr="00F74CCD">
        <w:rPr>
          <w:rFonts w:ascii="Times New Roman" w:hAnsi="Times New Roman"/>
          <w:b/>
        </w:rPr>
        <w:object w:dxaOrig="660" w:dyaOrig="730" w14:anchorId="6752823A">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33.8pt;height:35.7pt" o:ole="">
            <v:imagedata r:id="rId8" o:title=""/>
          </v:shape>
          <o:OLEObject Type="Embed" ProgID="MSPhotoEd.3" ShapeID="_x0000_i1025" DrawAspect="Content" ObjectID="_1844846135" r:id="rId9"/>
        </w:object>
      </w:r>
    </w:p>
    <w:p w14:paraId="2C4C7D64" w14:textId="77777777" w:rsidR="005F5550" w:rsidRPr="00F74CCD" w:rsidRDefault="00D975F2" w:rsidP="00F74CCD">
      <w:pPr>
        <w:jc w:val="center"/>
        <w:rPr>
          <w:rFonts w:ascii="Times New Roman" w:hAnsi="Times New Roman"/>
          <w:b/>
        </w:rPr>
      </w:pPr>
      <w:r w:rsidRPr="00F74CCD">
        <w:rPr>
          <w:rFonts w:ascii="Times New Roman" w:hAnsi="Times New Roman"/>
          <w:b/>
        </w:rPr>
        <w:t>REPUBLIKA E SHQIPËRISË</w:t>
      </w:r>
    </w:p>
    <w:p w14:paraId="0D7325FF" w14:textId="77777777" w:rsidR="005F5550" w:rsidRPr="00F74CCD" w:rsidRDefault="00D975F2" w:rsidP="00F74CCD">
      <w:pPr>
        <w:jc w:val="center"/>
        <w:rPr>
          <w:rFonts w:ascii="Times New Roman" w:hAnsi="Times New Roman"/>
          <w:b/>
        </w:rPr>
      </w:pPr>
      <w:r w:rsidRPr="00F74CCD">
        <w:rPr>
          <w:rFonts w:ascii="Times New Roman" w:hAnsi="Times New Roman"/>
          <w:b/>
        </w:rPr>
        <w:t>GJYKATA E LARTË</w:t>
      </w:r>
    </w:p>
    <w:p w14:paraId="158551C0" w14:textId="77777777" w:rsidR="005F5550" w:rsidRPr="00F74CCD" w:rsidRDefault="00D975F2" w:rsidP="00F74CCD">
      <w:pPr>
        <w:jc w:val="center"/>
        <w:rPr>
          <w:rFonts w:ascii="Times New Roman" w:hAnsi="Times New Roman"/>
          <w:b/>
        </w:rPr>
      </w:pPr>
      <w:r w:rsidRPr="00F74CCD">
        <w:rPr>
          <w:rFonts w:ascii="Times New Roman" w:hAnsi="Times New Roman"/>
          <w:b/>
        </w:rPr>
        <w:t>KOLEGJI PENAL</w:t>
      </w:r>
    </w:p>
    <w:p w14:paraId="369DE960" w14:textId="77777777" w:rsidR="005F5550" w:rsidRPr="00F74CCD" w:rsidRDefault="005F5550" w:rsidP="00F74CCD">
      <w:pPr>
        <w:jc w:val="both"/>
        <w:rPr>
          <w:rFonts w:ascii="Times New Roman" w:eastAsia="Calibri" w:hAnsi="Times New Roman"/>
          <w:b/>
          <w:bCs/>
        </w:rPr>
      </w:pPr>
    </w:p>
    <w:p w14:paraId="630ECB4F" w14:textId="3744AC72" w:rsidR="005F5550" w:rsidRPr="00F74CCD" w:rsidRDefault="00D975F2" w:rsidP="00F74CCD">
      <w:pPr>
        <w:pStyle w:val="Title"/>
        <w:jc w:val="left"/>
        <w:rPr>
          <w:rFonts w:eastAsia="Calibri"/>
          <w:b/>
          <w:bCs/>
          <w:sz w:val="24"/>
          <w:szCs w:val="24"/>
          <w:lang w:val="it-IT"/>
        </w:rPr>
      </w:pPr>
      <w:r w:rsidRPr="00F74CCD">
        <w:rPr>
          <w:rFonts w:eastAsia="Calibri"/>
          <w:b/>
          <w:bCs/>
          <w:sz w:val="24"/>
          <w:szCs w:val="24"/>
          <w:lang w:val="it-IT"/>
        </w:rPr>
        <w:t>Nr</w:t>
      </w:r>
      <w:r w:rsidRPr="00F74CCD">
        <w:rPr>
          <w:b/>
          <w:bCs/>
          <w:iCs/>
          <w:sz w:val="24"/>
          <w:szCs w:val="24"/>
          <w:lang w:val="it-IT"/>
        </w:rPr>
        <w:t>.</w:t>
      </w:r>
      <w:r w:rsidRPr="00F74CCD">
        <w:rPr>
          <w:b/>
          <w:bCs/>
          <w:sz w:val="24"/>
          <w:szCs w:val="24"/>
          <w:lang w:val="it-IT"/>
        </w:rPr>
        <w:t xml:space="preserve"> </w:t>
      </w:r>
      <w:bookmarkStart w:id="0" w:name="_Hlk233720909"/>
      <w:r w:rsidR="00E41504" w:rsidRPr="00F74CCD">
        <w:rPr>
          <w:b/>
          <w:bCs/>
          <w:spacing w:val="2"/>
          <w:sz w:val="24"/>
          <w:szCs w:val="24"/>
        </w:rPr>
        <w:t>53201-00231-00-2026</w:t>
      </w:r>
      <w:bookmarkEnd w:id="0"/>
      <w:r w:rsidRPr="00F74CCD">
        <w:rPr>
          <w:b/>
          <w:bCs/>
          <w:iCs/>
          <w:sz w:val="24"/>
          <w:szCs w:val="24"/>
          <w:lang w:val="it-IT"/>
        </w:rPr>
        <w:t>,</w:t>
      </w:r>
      <w:r w:rsidRPr="00F74CCD">
        <w:rPr>
          <w:b/>
          <w:bCs/>
          <w:i/>
          <w:iCs/>
          <w:sz w:val="24"/>
          <w:szCs w:val="24"/>
          <w:lang w:val="it-IT"/>
        </w:rPr>
        <w:t xml:space="preserve"> </w:t>
      </w:r>
      <w:r w:rsidRPr="00F74CCD">
        <w:rPr>
          <w:rFonts w:eastAsia="Calibri"/>
          <w:b/>
          <w:bCs/>
          <w:sz w:val="24"/>
          <w:szCs w:val="24"/>
          <w:lang w:val="it-IT"/>
        </w:rPr>
        <w:t>i Regj. Themeltar</w:t>
      </w:r>
      <w:r w:rsidRPr="00F74CCD">
        <w:rPr>
          <w:b/>
          <w:bCs/>
          <w:sz w:val="24"/>
          <w:szCs w:val="24"/>
          <w:lang w:val="it-IT"/>
        </w:rPr>
        <w:t xml:space="preserve"> </w:t>
      </w:r>
    </w:p>
    <w:p w14:paraId="499A81D2" w14:textId="56E5BC9F" w:rsidR="005F5550" w:rsidRPr="00F74CCD" w:rsidRDefault="00D975F2" w:rsidP="00F74CCD">
      <w:pPr>
        <w:jc w:val="both"/>
        <w:rPr>
          <w:rFonts w:ascii="Times New Roman" w:eastAsia="Calibri" w:hAnsi="Times New Roman"/>
          <w:b/>
          <w:bCs/>
        </w:rPr>
      </w:pPr>
      <w:r w:rsidRPr="00F74CCD">
        <w:rPr>
          <w:rFonts w:ascii="Times New Roman" w:eastAsia="Calibri" w:hAnsi="Times New Roman"/>
          <w:b/>
          <w:bCs/>
        </w:rPr>
        <w:t>Nr.</w:t>
      </w:r>
      <w:r w:rsidR="00F74CCD">
        <w:rPr>
          <w:rFonts w:ascii="Times New Roman" w:eastAsia="Calibri" w:hAnsi="Times New Roman"/>
          <w:b/>
          <w:bCs/>
        </w:rPr>
        <w:t xml:space="preserve"> </w:t>
      </w:r>
      <w:r w:rsidR="00F74CCD" w:rsidRPr="00F74CCD">
        <w:rPr>
          <w:rFonts w:ascii="Times New Roman" w:eastAsia="Calibri" w:hAnsi="Times New Roman"/>
          <w:b/>
          <w:bCs/>
        </w:rPr>
        <w:t>00-2026-544</w:t>
      </w:r>
      <w:r w:rsidR="00F74CCD">
        <w:rPr>
          <w:rFonts w:ascii="Times New Roman" w:eastAsia="Calibri" w:hAnsi="Times New Roman"/>
          <w:b/>
          <w:bCs/>
        </w:rPr>
        <w:t xml:space="preserve"> </w:t>
      </w:r>
      <w:r w:rsidRPr="00F74CCD">
        <w:rPr>
          <w:rFonts w:ascii="Times New Roman" w:eastAsia="Calibri" w:hAnsi="Times New Roman"/>
          <w:b/>
          <w:bCs/>
        </w:rPr>
        <w:t xml:space="preserve">i Vendimit </w:t>
      </w:r>
      <w:r w:rsidR="00F74CCD">
        <w:rPr>
          <w:rFonts w:ascii="Times New Roman" w:eastAsia="Calibri" w:hAnsi="Times New Roman"/>
          <w:b/>
          <w:bCs/>
        </w:rPr>
        <w:t>(</w:t>
      </w:r>
      <w:r w:rsidR="00967B52">
        <w:rPr>
          <w:rFonts w:ascii="Times New Roman" w:eastAsia="Calibri" w:hAnsi="Times New Roman"/>
          <w:b/>
          <w:bCs/>
        </w:rPr>
        <w:t>89</w:t>
      </w:r>
      <w:r w:rsidR="00F74CCD">
        <w:rPr>
          <w:rFonts w:ascii="Times New Roman" w:eastAsia="Calibri" w:hAnsi="Times New Roman"/>
          <w:b/>
          <w:bCs/>
        </w:rPr>
        <w:t>)</w:t>
      </w:r>
    </w:p>
    <w:p w14:paraId="47733340" w14:textId="77777777" w:rsidR="005F5550" w:rsidRPr="00F74CCD" w:rsidRDefault="005F5550" w:rsidP="00F74CCD">
      <w:pPr>
        <w:jc w:val="both"/>
        <w:rPr>
          <w:rFonts w:ascii="Times New Roman" w:eastAsia="Calibri" w:hAnsi="Times New Roman"/>
          <w:b/>
          <w:bCs/>
        </w:rPr>
      </w:pPr>
    </w:p>
    <w:p w14:paraId="2981EF8D" w14:textId="77777777" w:rsidR="005F5550" w:rsidRPr="00F74CCD" w:rsidRDefault="005F5550" w:rsidP="00F74CCD">
      <w:pPr>
        <w:rPr>
          <w:rFonts w:ascii="Times New Roman" w:hAnsi="Times New Roman"/>
          <w:b/>
        </w:rPr>
      </w:pPr>
    </w:p>
    <w:p w14:paraId="78CFAAC4" w14:textId="77777777" w:rsidR="005F5550" w:rsidRPr="00F74CCD" w:rsidRDefault="00D975F2" w:rsidP="00F74CCD">
      <w:pPr>
        <w:pStyle w:val="Heading2"/>
        <w:spacing w:before="0" w:after="0"/>
        <w:jc w:val="center"/>
        <w:rPr>
          <w:rFonts w:ascii="Times New Roman" w:hAnsi="Times New Roman"/>
          <w:i w:val="0"/>
          <w:sz w:val="24"/>
          <w:szCs w:val="24"/>
        </w:rPr>
      </w:pPr>
      <w:r w:rsidRPr="00F74CCD">
        <w:rPr>
          <w:rFonts w:ascii="Times New Roman" w:hAnsi="Times New Roman"/>
          <w:i w:val="0"/>
          <w:sz w:val="24"/>
          <w:szCs w:val="24"/>
        </w:rPr>
        <w:t>VENDIM</w:t>
      </w:r>
    </w:p>
    <w:p w14:paraId="51D72A65" w14:textId="77777777" w:rsidR="005F5550" w:rsidRPr="00F74CCD" w:rsidRDefault="00D975F2" w:rsidP="00F74CCD">
      <w:pPr>
        <w:jc w:val="center"/>
        <w:rPr>
          <w:rFonts w:ascii="Times New Roman" w:hAnsi="Times New Roman"/>
          <w:b/>
          <w:bCs/>
        </w:rPr>
      </w:pPr>
      <w:r w:rsidRPr="00F74CCD">
        <w:rPr>
          <w:rFonts w:ascii="Times New Roman" w:hAnsi="Times New Roman"/>
          <w:b/>
          <w:bCs/>
        </w:rPr>
        <w:t>NË EMËR TË REPUBLIKËS</w:t>
      </w:r>
    </w:p>
    <w:p w14:paraId="46825502" w14:textId="77777777" w:rsidR="005F5550" w:rsidRPr="00F74CCD" w:rsidRDefault="005F5550" w:rsidP="00F74CCD">
      <w:pPr>
        <w:jc w:val="both"/>
        <w:rPr>
          <w:rFonts w:ascii="Times New Roman" w:hAnsi="Times New Roman"/>
          <w:b/>
          <w:bCs/>
        </w:rPr>
      </w:pPr>
    </w:p>
    <w:p w14:paraId="11041249" w14:textId="77777777" w:rsidR="005F5550" w:rsidRPr="00F74CCD" w:rsidRDefault="00D975F2" w:rsidP="00F74CCD">
      <w:pPr>
        <w:jc w:val="center"/>
        <w:rPr>
          <w:rFonts w:ascii="Times New Roman" w:hAnsi="Times New Roman"/>
        </w:rPr>
      </w:pPr>
      <w:r w:rsidRPr="00F74CCD">
        <w:rPr>
          <w:rFonts w:ascii="Times New Roman" w:hAnsi="Times New Roman"/>
        </w:rPr>
        <w:t>Kolegji Penal i Gjykatës së Lartë, me trup gjykues të përbërë nga:</w:t>
      </w:r>
    </w:p>
    <w:p w14:paraId="643E24DA" w14:textId="77777777" w:rsidR="005F5550" w:rsidRPr="00F74CCD" w:rsidRDefault="005F5550" w:rsidP="00F74CCD">
      <w:pPr>
        <w:ind w:left="2160" w:firstLine="720"/>
        <w:rPr>
          <w:rFonts w:ascii="Times New Roman" w:hAnsi="Times New Roman"/>
        </w:rPr>
      </w:pPr>
    </w:p>
    <w:p w14:paraId="3F18B116" w14:textId="7A9C5AB5" w:rsidR="005F5550" w:rsidRPr="00F74CCD" w:rsidRDefault="00D975F2" w:rsidP="00F74CCD">
      <w:pPr>
        <w:rPr>
          <w:rFonts w:ascii="Times New Roman" w:hAnsi="Times New Roman"/>
          <w:b/>
          <w:bCs/>
        </w:rPr>
      </w:pPr>
      <w:r w:rsidRPr="00F74CCD">
        <w:rPr>
          <w:rFonts w:ascii="Times New Roman" w:hAnsi="Times New Roman"/>
        </w:rPr>
        <w:t xml:space="preserve">                                                         </w:t>
      </w:r>
      <w:r w:rsidR="00AA3B59" w:rsidRPr="00F74CCD">
        <w:rPr>
          <w:rFonts w:ascii="Times New Roman" w:hAnsi="Times New Roman"/>
        </w:rPr>
        <w:t xml:space="preserve"> </w:t>
      </w:r>
      <w:r w:rsidRPr="00F74CCD">
        <w:rPr>
          <w:rFonts w:ascii="Times New Roman" w:hAnsi="Times New Roman"/>
          <w:b/>
          <w:bCs/>
        </w:rPr>
        <w:t>Ilir  PANDA</w:t>
      </w:r>
      <w:r w:rsidRPr="00F74CCD">
        <w:rPr>
          <w:rFonts w:ascii="Times New Roman" w:hAnsi="Times New Roman"/>
          <w:b/>
          <w:bCs/>
        </w:rPr>
        <w:tab/>
        <w:t xml:space="preserve">  </w:t>
      </w:r>
      <w:r w:rsidR="0020083B" w:rsidRPr="00F74CCD">
        <w:rPr>
          <w:rFonts w:ascii="Times New Roman" w:hAnsi="Times New Roman"/>
          <w:b/>
          <w:bCs/>
        </w:rPr>
        <w:t xml:space="preserve">  </w:t>
      </w:r>
      <w:r w:rsidRPr="00F74CCD">
        <w:rPr>
          <w:rFonts w:ascii="Times New Roman" w:hAnsi="Times New Roman"/>
          <w:b/>
          <w:bCs/>
        </w:rPr>
        <w:t xml:space="preserve">    -Kryesues</w:t>
      </w:r>
    </w:p>
    <w:p w14:paraId="314E766E" w14:textId="515756DA" w:rsidR="005F5550" w:rsidRPr="00F74CCD" w:rsidRDefault="00D975F2" w:rsidP="00F74CCD">
      <w:pPr>
        <w:tabs>
          <w:tab w:val="left" w:pos="2070"/>
          <w:tab w:val="left" w:pos="2250"/>
          <w:tab w:val="left" w:pos="3150"/>
        </w:tabs>
        <w:rPr>
          <w:rFonts w:ascii="Times New Roman" w:hAnsi="Times New Roman"/>
          <w:b/>
          <w:bCs/>
        </w:rPr>
      </w:pPr>
      <w:r w:rsidRPr="00F74CCD">
        <w:rPr>
          <w:rFonts w:ascii="Times New Roman" w:hAnsi="Times New Roman"/>
          <w:b/>
          <w:bCs/>
        </w:rPr>
        <w:tab/>
        <w:t xml:space="preserve">                    </w:t>
      </w:r>
      <w:r w:rsidR="008564DD" w:rsidRPr="00F74CCD">
        <w:rPr>
          <w:rFonts w:ascii="Times New Roman" w:hAnsi="Times New Roman"/>
          <w:b/>
          <w:bCs/>
        </w:rPr>
        <w:t xml:space="preserve"> </w:t>
      </w:r>
      <w:r w:rsidR="00280AA8" w:rsidRPr="00F74CCD">
        <w:rPr>
          <w:rFonts w:ascii="Times New Roman" w:hAnsi="Times New Roman"/>
          <w:b/>
          <w:bCs/>
        </w:rPr>
        <w:t xml:space="preserve"> </w:t>
      </w:r>
      <w:r w:rsidRPr="00F74CCD">
        <w:rPr>
          <w:rFonts w:ascii="Times New Roman" w:hAnsi="Times New Roman"/>
          <w:b/>
          <w:bCs/>
        </w:rPr>
        <w:t xml:space="preserve"> </w:t>
      </w:r>
      <w:r w:rsidR="0098121F" w:rsidRPr="00F74CCD">
        <w:rPr>
          <w:rFonts w:ascii="Times New Roman" w:hAnsi="Times New Roman"/>
          <w:b/>
          <w:bCs/>
        </w:rPr>
        <w:t>Sokol BINAJ</w:t>
      </w:r>
      <w:r w:rsidR="00514B3D" w:rsidRPr="00F74CCD">
        <w:rPr>
          <w:rFonts w:ascii="Times New Roman" w:hAnsi="Times New Roman"/>
          <w:b/>
          <w:bCs/>
        </w:rPr>
        <w:t xml:space="preserve">       </w:t>
      </w:r>
      <w:r w:rsidR="00AA3B59" w:rsidRPr="00F74CCD">
        <w:rPr>
          <w:rFonts w:ascii="Times New Roman" w:hAnsi="Times New Roman"/>
          <w:b/>
          <w:bCs/>
        </w:rPr>
        <w:t xml:space="preserve"> </w:t>
      </w:r>
      <w:r w:rsidR="0098121F" w:rsidRPr="00F74CCD">
        <w:rPr>
          <w:rFonts w:ascii="Times New Roman" w:hAnsi="Times New Roman"/>
          <w:b/>
          <w:bCs/>
        </w:rPr>
        <w:t xml:space="preserve">   </w:t>
      </w:r>
      <w:r w:rsidR="00514B3D" w:rsidRPr="00F74CCD">
        <w:rPr>
          <w:rFonts w:ascii="Times New Roman" w:hAnsi="Times New Roman"/>
          <w:b/>
          <w:bCs/>
        </w:rPr>
        <w:t xml:space="preserve"> </w:t>
      </w:r>
      <w:r w:rsidRPr="00F74CCD">
        <w:rPr>
          <w:rFonts w:ascii="Times New Roman" w:hAnsi="Times New Roman"/>
          <w:b/>
          <w:bCs/>
        </w:rPr>
        <w:t>-Anëtar</w:t>
      </w:r>
    </w:p>
    <w:p w14:paraId="2A2220D8" w14:textId="3A4D1B96" w:rsidR="005F5550" w:rsidRPr="00F74CCD" w:rsidRDefault="00D975F2" w:rsidP="00F74CCD">
      <w:pPr>
        <w:tabs>
          <w:tab w:val="left" w:pos="2070"/>
          <w:tab w:val="left" w:pos="2250"/>
          <w:tab w:val="left" w:pos="3150"/>
        </w:tabs>
        <w:rPr>
          <w:rFonts w:ascii="Times New Roman" w:hAnsi="Times New Roman"/>
          <w:b/>
          <w:bCs/>
        </w:rPr>
      </w:pPr>
      <w:r w:rsidRPr="00F74CCD">
        <w:rPr>
          <w:rFonts w:ascii="Times New Roman" w:hAnsi="Times New Roman"/>
          <w:b/>
          <w:bCs/>
        </w:rPr>
        <w:tab/>
      </w:r>
      <w:r w:rsidRPr="00F74CCD">
        <w:rPr>
          <w:rFonts w:ascii="Times New Roman" w:hAnsi="Times New Roman"/>
          <w:b/>
          <w:bCs/>
        </w:rPr>
        <w:tab/>
      </w:r>
      <w:r w:rsidRPr="00F74CCD">
        <w:rPr>
          <w:rFonts w:ascii="Times New Roman" w:hAnsi="Times New Roman"/>
          <w:b/>
          <w:bCs/>
        </w:rPr>
        <w:tab/>
        <w:t xml:space="preserve">    </w:t>
      </w:r>
      <w:r w:rsidR="008564DD" w:rsidRPr="00F74CCD">
        <w:rPr>
          <w:rFonts w:ascii="Times New Roman" w:hAnsi="Times New Roman"/>
          <w:b/>
          <w:bCs/>
        </w:rPr>
        <w:t xml:space="preserve"> </w:t>
      </w:r>
      <w:r w:rsidR="0098121F" w:rsidRPr="00F74CCD">
        <w:rPr>
          <w:rFonts w:ascii="Times New Roman" w:hAnsi="Times New Roman"/>
          <w:b/>
          <w:bCs/>
        </w:rPr>
        <w:t>Sandër SIMONI</w:t>
      </w:r>
      <w:r w:rsidR="00AA3B59" w:rsidRPr="00F74CCD">
        <w:rPr>
          <w:rFonts w:ascii="Times New Roman" w:hAnsi="Times New Roman"/>
          <w:b/>
          <w:bCs/>
        </w:rPr>
        <w:t xml:space="preserve">   </w:t>
      </w:r>
      <w:r w:rsidR="00AA3B59" w:rsidRPr="00F74CCD">
        <w:rPr>
          <w:rFonts w:ascii="Times New Roman" w:hAnsi="Times New Roman"/>
          <w:b/>
          <w:bCs/>
          <w:iCs/>
        </w:rPr>
        <w:t xml:space="preserve">   </w:t>
      </w:r>
      <w:r w:rsidRPr="00F74CCD">
        <w:rPr>
          <w:rFonts w:ascii="Times New Roman" w:hAnsi="Times New Roman"/>
          <w:b/>
          <w:bCs/>
        </w:rPr>
        <w:t>-Anëtar</w:t>
      </w:r>
    </w:p>
    <w:p w14:paraId="7A52D1DC" w14:textId="77777777" w:rsidR="005F5550" w:rsidRPr="00F74CCD" w:rsidRDefault="005F5550" w:rsidP="00F74CCD">
      <w:pPr>
        <w:rPr>
          <w:rFonts w:ascii="Times New Roman" w:hAnsi="Times New Roman"/>
          <w:b/>
          <w:bCs/>
        </w:rPr>
      </w:pPr>
    </w:p>
    <w:p w14:paraId="23A72026" w14:textId="2064C31B" w:rsidR="00305087" w:rsidRPr="00F74CCD" w:rsidRDefault="00D975F2" w:rsidP="00F74CCD">
      <w:pPr>
        <w:pStyle w:val="BodyText"/>
        <w:tabs>
          <w:tab w:val="left" w:pos="540"/>
        </w:tabs>
        <w:spacing w:after="0"/>
        <w:jc w:val="both"/>
        <w:rPr>
          <w:rFonts w:ascii="Times New Roman" w:hAnsi="Times New Roman"/>
        </w:rPr>
      </w:pPr>
      <w:r w:rsidRPr="00F74CCD">
        <w:rPr>
          <w:rFonts w:ascii="Times New Roman" w:hAnsi="Times New Roman"/>
        </w:rPr>
        <w:t xml:space="preserve">         sot, më datë </w:t>
      </w:r>
      <w:r w:rsidR="00E41504" w:rsidRPr="00F74CCD">
        <w:rPr>
          <w:rFonts w:ascii="Times New Roman" w:hAnsi="Times New Roman"/>
        </w:rPr>
        <w:t>12.05</w:t>
      </w:r>
      <w:r w:rsidR="00514B3D" w:rsidRPr="00F74CCD">
        <w:rPr>
          <w:rFonts w:ascii="Times New Roman" w:hAnsi="Times New Roman"/>
        </w:rPr>
        <w:t>.2026</w:t>
      </w:r>
      <w:r w:rsidRPr="00F74CCD">
        <w:rPr>
          <w:rFonts w:ascii="Times New Roman" w:hAnsi="Times New Roman"/>
        </w:rPr>
        <w:t xml:space="preserve">, mori në shqyrtim, në dhomë këshillimi, çështjen penale me </w:t>
      </w:r>
      <w:r w:rsidR="00277054" w:rsidRPr="00F74CCD">
        <w:rPr>
          <w:rFonts w:ascii="Times New Roman" w:hAnsi="Times New Roman"/>
        </w:rPr>
        <w:t>nr.</w:t>
      </w:r>
      <w:r w:rsidR="00E41504" w:rsidRPr="00F74CCD">
        <w:rPr>
          <w:rFonts w:ascii="Times New Roman" w:hAnsi="Times New Roman"/>
        </w:rPr>
        <w:t xml:space="preserve"> </w:t>
      </w:r>
      <w:r w:rsidR="00E41504" w:rsidRPr="00F74CCD">
        <w:rPr>
          <w:rFonts w:ascii="Times New Roman" w:hAnsi="Times New Roman"/>
          <w:spacing w:val="2"/>
        </w:rPr>
        <w:t>53201-00231-00-2026</w:t>
      </w:r>
      <w:r w:rsidR="00AA3B59" w:rsidRPr="00F74CCD">
        <w:rPr>
          <w:rFonts w:ascii="Times New Roman" w:hAnsi="Times New Roman"/>
          <w:spacing w:val="2"/>
        </w:rPr>
        <w:t xml:space="preserve"> </w:t>
      </w:r>
      <w:r w:rsidRPr="00F74CCD">
        <w:rPr>
          <w:rFonts w:ascii="Times New Roman" w:hAnsi="Times New Roman"/>
        </w:rPr>
        <w:t>akti, që i përket:</w:t>
      </w:r>
    </w:p>
    <w:p w14:paraId="34E5DCC7" w14:textId="77777777" w:rsidR="00F15C81" w:rsidRPr="00F74CCD" w:rsidRDefault="00F15C81" w:rsidP="00F74CCD">
      <w:pPr>
        <w:pStyle w:val="BodyText"/>
        <w:tabs>
          <w:tab w:val="left" w:pos="540"/>
        </w:tabs>
        <w:spacing w:after="0"/>
        <w:jc w:val="both"/>
        <w:rPr>
          <w:rFonts w:ascii="Times New Roman" w:hAnsi="Times New Roman"/>
        </w:rPr>
      </w:pPr>
    </w:p>
    <w:p w14:paraId="29FA06EB" w14:textId="549DAF16" w:rsidR="00E41504" w:rsidRPr="00F74CCD" w:rsidRDefault="00E41504" w:rsidP="00F74CCD">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rPr>
          <w:rFonts w:ascii="Times New Roman" w:hAnsi="Times New Roman"/>
        </w:rPr>
      </w:pPr>
      <w:bookmarkStart w:id="1" w:name="_Hlk233720926"/>
      <w:r w:rsidRPr="00F74CCD">
        <w:rPr>
          <w:rFonts w:ascii="Times New Roman" w:hAnsi="Times New Roman"/>
          <w:b/>
        </w:rPr>
        <w:t xml:space="preserve">KËRKUES:            </w:t>
      </w:r>
      <w:r w:rsidRPr="00F74CCD">
        <w:rPr>
          <w:rFonts w:ascii="Times New Roman" w:hAnsi="Times New Roman"/>
          <w:bCs/>
        </w:rPr>
        <w:t>Prokuroria e pranë Gjykatës së Rrethit Gjyqësor Tiran</w:t>
      </w:r>
      <w:r w:rsidRPr="00F74CCD">
        <w:rPr>
          <w:rFonts w:ascii="Times New Roman" w:hAnsi="Times New Roman"/>
        </w:rPr>
        <w:t>ë</w:t>
      </w:r>
    </w:p>
    <w:p w14:paraId="77E83F0F" w14:textId="77777777" w:rsidR="00E41504" w:rsidRPr="00F74CCD" w:rsidRDefault="00E41504" w:rsidP="00F74CCD">
      <w:pPr>
        <w:ind w:left="2340" w:hanging="2340"/>
        <w:jc w:val="both"/>
        <w:rPr>
          <w:rFonts w:ascii="Times New Roman" w:hAnsi="Times New Roman"/>
          <w:b/>
          <w:bCs/>
        </w:rPr>
      </w:pPr>
    </w:p>
    <w:p w14:paraId="23C80C8D" w14:textId="2880E625" w:rsidR="00E41504" w:rsidRPr="00F74CCD" w:rsidRDefault="00E41504" w:rsidP="00F74CCD">
      <w:pPr>
        <w:ind w:left="2340" w:hanging="2340"/>
        <w:jc w:val="both"/>
        <w:rPr>
          <w:rFonts w:ascii="Times New Roman" w:hAnsi="Times New Roman"/>
          <w:shd w:val="clear" w:color="auto" w:fill="FFFFFF"/>
        </w:rPr>
      </w:pPr>
      <w:r w:rsidRPr="00F74CCD">
        <w:rPr>
          <w:rFonts w:ascii="Times New Roman" w:hAnsi="Times New Roman"/>
          <w:b/>
          <w:bCs/>
        </w:rPr>
        <w:t>I PANDEHUR</w:t>
      </w:r>
      <w:r w:rsidRPr="00F74CCD">
        <w:rPr>
          <w:rFonts w:ascii="Times New Roman" w:hAnsi="Times New Roman"/>
        </w:rPr>
        <w:t>:      </w:t>
      </w:r>
      <w:r w:rsidR="00305087" w:rsidRPr="00F74CCD">
        <w:rPr>
          <w:rFonts w:ascii="Times New Roman" w:hAnsi="Times New Roman"/>
        </w:rPr>
        <w:t xml:space="preserve"> </w:t>
      </w:r>
      <w:r w:rsidRPr="00F74CCD">
        <w:rPr>
          <w:rFonts w:ascii="Times New Roman" w:hAnsi="Times New Roman"/>
        </w:rPr>
        <w:t>Julian Bregu </w:t>
      </w:r>
    </w:p>
    <w:p w14:paraId="4C96387E" w14:textId="4052B563" w:rsidR="00E41504" w:rsidRPr="00F74CCD" w:rsidRDefault="00E41504" w:rsidP="00F74CCD">
      <w:pPr>
        <w:ind w:left="2340" w:hanging="2340"/>
        <w:jc w:val="both"/>
        <w:rPr>
          <w:rFonts w:ascii="Times New Roman" w:hAnsi="Times New Roman"/>
        </w:rPr>
      </w:pPr>
      <w:r w:rsidRPr="00F74CCD">
        <w:rPr>
          <w:rFonts w:ascii="Times New Roman" w:hAnsi="Times New Roman"/>
        </w:rPr>
        <w:t> </w:t>
      </w:r>
    </w:p>
    <w:p w14:paraId="3A020740" w14:textId="7409D66E" w:rsidR="00E41504" w:rsidRPr="00F74CCD" w:rsidRDefault="00E41504" w:rsidP="00F74CCD">
      <w:pPr>
        <w:ind w:left="1980" w:hanging="1980"/>
        <w:jc w:val="both"/>
        <w:rPr>
          <w:rFonts w:ascii="Times New Roman" w:hAnsi="Times New Roman"/>
        </w:rPr>
      </w:pPr>
      <w:r w:rsidRPr="00F74CCD">
        <w:rPr>
          <w:rFonts w:ascii="Times New Roman" w:hAnsi="Times New Roman"/>
          <w:b/>
          <w:bCs/>
        </w:rPr>
        <w:t xml:space="preserve">AKUZUAR:         </w:t>
      </w:r>
      <w:r w:rsidR="00305087" w:rsidRPr="00F74CCD">
        <w:rPr>
          <w:rFonts w:ascii="Times New Roman" w:hAnsi="Times New Roman"/>
          <w:b/>
          <w:bCs/>
        </w:rPr>
        <w:t xml:space="preserve"> </w:t>
      </w:r>
      <w:r w:rsidRPr="00F74CCD">
        <w:rPr>
          <w:rFonts w:ascii="Times New Roman" w:hAnsi="Times New Roman"/>
          <w:b/>
          <w:bCs/>
        </w:rPr>
        <w:t xml:space="preserve"> </w:t>
      </w:r>
      <w:r w:rsidRPr="00F74CCD">
        <w:rPr>
          <w:rFonts w:ascii="Times New Roman" w:hAnsi="Times New Roman"/>
        </w:rPr>
        <w:t>Për kryerjen e veprave penale "Mashtrimi", parashikuar nga neni 143/3 i Kodit Penal</w:t>
      </w:r>
    </w:p>
    <w:p w14:paraId="7ADCF50B" w14:textId="77777777" w:rsidR="00E41504" w:rsidRPr="00F74CCD" w:rsidRDefault="00E41504" w:rsidP="00F74CCD">
      <w:pPr>
        <w:ind w:left="2340" w:hanging="2340"/>
        <w:jc w:val="both"/>
        <w:rPr>
          <w:rFonts w:ascii="Times New Roman" w:hAnsi="Times New Roman"/>
          <w:b/>
          <w:bCs/>
        </w:rPr>
      </w:pPr>
    </w:p>
    <w:p w14:paraId="7DC19435" w14:textId="4F057DD0" w:rsidR="00E41504" w:rsidRPr="00F74CCD" w:rsidRDefault="00E41504" w:rsidP="00F74CCD">
      <w:pPr>
        <w:ind w:left="2340" w:hanging="2340"/>
        <w:jc w:val="both"/>
        <w:rPr>
          <w:rFonts w:ascii="Times New Roman" w:hAnsi="Times New Roman"/>
          <w:b/>
          <w:bCs/>
        </w:rPr>
      </w:pPr>
      <w:r w:rsidRPr="00F74CCD">
        <w:rPr>
          <w:rFonts w:ascii="Times New Roman" w:hAnsi="Times New Roman"/>
          <w:b/>
          <w:bCs/>
        </w:rPr>
        <w:t xml:space="preserve">VIKTIMA:             </w:t>
      </w:r>
      <w:r w:rsidRPr="00F74CCD">
        <w:rPr>
          <w:rFonts w:ascii="Times New Roman" w:hAnsi="Times New Roman"/>
        </w:rPr>
        <w:t>Renata Kiri</w:t>
      </w:r>
    </w:p>
    <w:bookmarkEnd w:id="1"/>
    <w:p w14:paraId="5E75A7BF" w14:textId="77777777" w:rsidR="0098121F" w:rsidRPr="00F74CCD" w:rsidRDefault="0098121F" w:rsidP="00F74CCD">
      <w:pPr>
        <w:rPr>
          <w:rFonts w:ascii="Times New Roman" w:hAnsi="Times New Roman"/>
          <w:b/>
        </w:rPr>
      </w:pPr>
    </w:p>
    <w:p w14:paraId="652AF23B" w14:textId="77777777" w:rsidR="005F5550" w:rsidRPr="00F74CCD" w:rsidRDefault="00D975F2" w:rsidP="00F74CCD">
      <w:pPr>
        <w:jc w:val="center"/>
        <w:rPr>
          <w:rFonts w:ascii="Times New Roman" w:hAnsi="Times New Roman"/>
          <w:b/>
        </w:rPr>
      </w:pPr>
      <w:r w:rsidRPr="00F74CCD">
        <w:rPr>
          <w:rFonts w:ascii="Times New Roman" w:hAnsi="Times New Roman"/>
          <w:b/>
        </w:rPr>
        <w:t>KOLEGJI PENAL I GJYKATËS SË LARTË</w:t>
      </w:r>
    </w:p>
    <w:p w14:paraId="3B9BB02E" w14:textId="77777777" w:rsidR="005F5550" w:rsidRPr="00F74CCD" w:rsidRDefault="005F5550" w:rsidP="00F74CCD">
      <w:pPr>
        <w:jc w:val="both"/>
        <w:rPr>
          <w:rFonts w:ascii="Times New Roman" w:hAnsi="Times New Roman"/>
        </w:rPr>
      </w:pPr>
    </w:p>
    <w:p w14:paraId="6A9B8C54" w14:textId="5DACBFE2" w:rsidR="005F5550" w:rsidRDefault="00D975F2" w:rsidP="00F74CCD">
      <w:pPr>
        <w:ind w:firstLine="540"/>
        <w:jc w:val="both"/>
        <w:rPr>
          <w:rFonts w:ascii="Times New Roman" w:hAnsi="Times New Roman"/>
        </w:rPr>
      </w:pPr>
      <w:r w:rsidRPr="00F74CCD">
        <w:rPr>
          <w:rFonts w:ascii="Times New Roman" w:hAnsi="Times New Roman"/>
        </w:rPr>
        <w:t>pasi dëgjoi relatimin e gjyqtarit Ilir Panda dhe diskutoi në dhomë këshillimi çështjen në tërësi,</w:t>
      </w:r>
    </w:p>
    <w:p w14:paraId="02A78DD4" w14:textId="77777777" w:rsidR="00F74CCD" w:rsidRPr="00F74CCD" w:rsidRDefault="00F74CCD" w:rsidP="00F74CCD">
      <w:pPr>
        <w:ind w:firstLine="540"/>
        <w:jc w:val="both"/>
        <w:rPr>
          <w:rFonts w:ascii="Times New Roman" w:hAnsi="Times New Roman"/>
        </w:rPr>
      </w:pPr>
    </w:p>
    <w:p w14:paraId="3AE1F4CC" w14:textId="20B8694F" w:rsidR="005F5550" w:rsidRPr="00F74CCD" w:rsidRDefault="00D975F2" w:rsidP="00F74CCD">
      <w:pPr>
        <w:shd w:val="clear" w:color="auto" w:fill="FFFFFF" w:themeFill="background1"/>
        <w:jc w:val="center"/>
        <w:rPr>
          <w:rFonts w:ascii="Times New Roman" w:hAnsi="Times New Roman"/>
          <w:b/>
        </w:rPr>
      </w:pPr>
      <w:r w:rsidRPr="00F74CCD">
        <w:rPr>
          <w:rFonts w:ascii="Times New Roman" w:hAnsi="Times New Roman"/>
          <w:b/>
        </w:rPr>
        <w:t>VËREN</w:t>
      </w:r>
    </w:p>
    <w:p w14:paraId="3ADFAD51" w14:textId="77777777" w:rsidR="00161764" w:rsidRPr="00F74CCD" w:rsidRDefault="00D975F2" w:rsidP="00F74CCD">
      <w:pPr>
        <w:pStyle w:val="ListParagraph"/>
        <w:numPr>
          <w:ilvl w:val="0"/>
          <w:numId w:val="1"/>
        </w:numPr>
        <w:tabs>
          <w:tab w:val="left" w:pos="1080"/>
          <w:tab w:val="left" w:pos="153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s>
        <w:ind w:left="270" w:firstLine="450"/>
        <w:rPr>
          <w:b/>
          <w:bCs/>
          <w:iCs/>
          <w:sz w:val="24"/>
          <w:szCs w:val="24"/>
        </w:rPr>
      </w:pPr>
      <w:r w:rsidRPr="00F74CCD">
        <w:rPr>
          <w:b/>
          <w:bCs/>
          <w:iCs/>
          <w:sz w:val="24"/>
          <w:szCs w:val="24"/>
        </w:rPr>
        <w:t>Rrethanat e çështjes</w:t>
      </w:r>
      <w:bookmarkStart w:id="2" w:name="_Hlk109144753"/>
      <w:r w:rsidR="00B16C70" w:rsidRPr="00F74CCD">
        <w:rPr>
          <w:b/>
          <w:bCs/>
          <w:iCs/>
          <w:sz w:val="24"/>
          <w:szCs w:val="24"/>
        </w:rPr>
        <w:t>.</w:t>
      </w:r>
    </w:p>
    <w:p w14:paraId="58E28D24" w14:textId="77777777" w:rsidR="00E41504" w:rsidRPr="00F74CCD" w:rsidRDefault="00E41504" w:rsidP="00F74CCD">
      <w:pPr>
        <w:tabs>
          <w:tab w:val="left" w:pos="900"/>
        </w:tabs>
        <w:jc w:val="both"/>
        <w:rPr>
          <w:rFonts w:ascii="Times New Roman" w:hAnsi="Times New Roman"/>
          <w:color w:val="FFC000"/>
        </w:rPr>
      </w:pPr>
    </w:p>
    <w:p w14:paraId="6D550BAC" w14:textId="20062262" w:rsidR="00D94C43" w:rsidRPr="00F74CCD" w:rsidRDefault="00D94C43" w:rsidP="00F74CCD">
      <w:pPr>
        <w:tabs>
          <w:tab w:val="left" w:pos="360"/>
          <w:tab w:val="left" w:pos="900"/>
        </w:tabs>
        <w:jc w:val="both"/>
        <w:rPr>
          <w:rFonts w:ascii="Times New Roman" w:hAnsi="Times New Roman"/>
          <w:color w:val="FFC000"/>
        </w:rPr>
      </w:pPr>
      <w:r w:rsidRPr="00F74CCD">
        <w:rPr>
          <w:rFonts w:ascii="Times New Roman" w:hAnsi="Times New Roman"/>
          <w:b/>
          <w:bCs/>
          <w:color w:val="000000"/>
        </w:rPr>
        <w:t xml:space="preserve">Faktet objekt </w:t>
      </w:r>
      <w:r w:rsidR="003B34C0" w:rsidRPr="00F74CCD">
        <w:rPr>
          <w:rFonts w:ascii="Times New Roman" w:hAnsi="Times New Roman"/>
          <w:b/>
          <w:bCs/>
          <w:color w:val="000000"/>
        </w:rPr>
        <w:t>i</w:t>
      </w:r>
      <w:r w:rsidRPr="00F74CCD">
        <w:rPr>
          <w:rFonts w:ascii="Times New Roman" w:hAnsi="Times New Roman"/>
          <w:b/>
          <w:bCs/>
          <w:color w:val="000000"/>
        </w:rPr>
        <w:t xml:space="preserve"> procedimit penal nr.</w:t>
      </w:r>
      <w:r w:rsidR="00FD165D" w:rsidRPr="00F74CCD">
        <w:rPr>
          <w:rFonts w:ascii="Times New Roman" w:hAnsi="Times New Roman"/>
          <w:b/>
          <w:bCs/>
          <w:color w:val="000000"/>
        </w:rPr>
        <w:t xml:space="preserve"> </w:t>
      </w:r>
      <w:r w:rsidRPr="00F74CCD">
        <w:rPr>
          <w:rFonts w:ascii="Times New Roman" w:hAnsi="Times New Roman"/>
          <w:b/>
          <w:bCs/>
          <w:color w:val="000000"/>
        </w:rPr>
        <w:t>9704/2016.</w:t>
      </w:r>
    </w:p>
    <w:p w14:paraId="7DD364EE" w14:textId="2661BE21" w:rsidR="00E41504" w:rsidRPr="00F74CCD" w:rsidRDefault="00E41504" w:rsidP="00F74CCD">
      <w:pPr>
        <w:pStyle w:val="NormalWeb"/>
        <w:numPr>
          <w:ilvl w:val="0"/>
          <w:numId w:val="35"/>
        </w:numPr>
        <w:tabs>
          <w:tab w:val="left" w:pos="900"/>
        </w:tabs>
        <w:spacing w:before="0" w:beforeAutospacing="0" w:after="0" w:afterAutospacing="0"/>
        <w:ind w:left="0" w:firstLine="540"/>
        <w:jc w:val="both"/>
        <w:rPr>
          <w:lang w:val="sq-AL"/>
        </w:rPr>
      </w:pPr>
      <w:r w:rsidRPr="00F74CCD">
        <w:rPr>
          <w:lang w:val="sq-AL"/>
        </w:rPr>
        <w:t>Në dat</w:t>
      </w:r>
      <w:r w:rsidR="00FD165D" w:rsidRPr="00F74CCD">
        <w:rPr>
          <w:lang w:val="sq-AL"/>
        </w:rPr>
        <w:t>ë</w:t>
      </w:r>
      <w:r w:rsidRPr="00F74CCD">
        <w:rPr>
          <w:lang w:val="sq-AL"/>
        </w:rPr>
        <w:t>n 03.11.2016 në Prokurorinë e Rrethit Gjyqësor Tiranë është paraqitur dhe ka bërë kallëzim shtetasi (i pandehuri në këtë proces) Julian Bregu. Në kallëzimin e tij ai</w:t>
      </w:r>
      <w:r w:rsidR="000B02AF" w:rsidRPr="00F74CCD">
        <w:rPr>
          <w:lang w:val="sq-AL"/>
        </w:rPr>
        <w:t>,</w:t>
      </w:r>
      <w:r w:rsidRPr="00F74CCD">
        <w:rPr>
          <w:lang w:val="sq-AL"/>
        </w:rPr>
        <w:t xml:space="preserve"> nd</w:t>
      </w:r>
      <w:r w:rsidR="00FD165D" w:rsidRPr="00F74CCD">
        <w:rPr>
          <w:lang w:val="sq-AL"/>
        </w:rPr>
        <w:t>ë</w:t>
      </w:r>
      <w:r w:rsidRPr="00F74CCD">
        <w:rPr>
          <w:lang w:val="sq-AL"/>
        </w:rPr>
        <w:t>r t</w:t>
      </w:r>
      <w:r w:rsidR="00FD165D" w:rsidRPr="00F74CCD">
        <w:rPr>
          <w:lang w:val="sq-AL"/>
        </w:rPr>
        <w:t>ë</w:t>
      </w:r>
      <w:r w:rsidRPr="00F74CCD">
        <w:rPr>
          <w:lang w:val="sq-AL"/>
        </w:rPr>
        <w:t xml:space="preserve"> tjera</w:t>
      </w:r>
      <w:r w:rsidR="000B02AF" w:rsidRPr="00F74CCD">
        <w:rPr>
          <w:lang w:val="sq-AL"/>
        </w:rPr>
        <w:t>,</w:t>
      </w:r>
      <w:r w:rsidRPr="00F74CCD">
        <w:rPr>
          <w:lang w:val="sq-AL"/>
        </w:rPr>
        <w:t xml:space="preserve"> ka kallëzuar përmbaruesin gjyqësor Igli Gugashi për veprën penale “Shpërdorimi i detyrës”</w:t>
      </w:r>
      <w:r w:rsidR="000B02AF" w:rsidRPr="00F74CCD">
        <w:rPr>
          <w:lang w:val="sq-AL"/>
        </w:rPr>
        <w:t>,</w:t>
      </w:r>
      <w:r w:rsidRPr="00F74CCD">
        <w:rPr>
          <w:lang w:val="sq-AL"/>
        </w:rPr>
        <w:t xml:space="preserve"> parashikuar nga neni 248 i Kodit Penal. Në kallëzimin e tij pandehuri Julian Bregu ka deklaruar se pasi është lajmëruar nga përmbaruesi gjyqësor Igli Gugashi për shkresën me nr.</w:t>
      </w:r>
      <w:r w:rsidR="000B02AF" w:rsidRPr="00F74CCD">
        <w:rPr>
          <w:lang w:val="sq-AL"/>
        </w:rPr>
        <w:t xml:space="preserve"> </w:t>
      </w:r>
      <w:r w:rsidRPr="00F74CCD">
        <w:rPr>
          <w:lang w:val="sq-AL"/>
        </w:rPr>
        <w:t>160/2 Prot</w:t>
      </w:r>
      <w:r w:rsidR="000B02AF" w:rsidRPr="00F74CCD">
        <w:rPr>
          <w:lang w:val="sq-AL"/>
        </w:rPr>
        <w:t>.</w:t>
      </w:r>
      <w:r w:rsidRPr="00F74CCD">
        <w:rPr>
          <w:lang w:val="sq-AL"/>
        </w:rPr>
        <w:t>, datë 21.09.2016</w:t>
      </w:r>
      <w:r w:rsidR="000B02AF" w:rsidRPr="00F74CCD">
        <w:rPr>
          <w:lang w:val="sq-AL"/>
        </w:rPr>
        <w:t>,</w:t>
      </w:r>
      <w:r w:rsidRPr="00F74CCD">
        <w:rPr>
          <w:lang w:val="sq-AL"/>
        </w:rPr>
        <w:t xml:space="preserve"> “Lajmërim për ekzekutim vullnetar”, ka konstatuar se nga Gjykata e Rrethit Gjyqësor Tiranë është lëshuar Urdhri i Ekzekutimit për Kontratën e Huasë me nr.</w:t>
      </w:r>
      <w:r w:rsidR="000B02AF" w:rsidRPr="00F74CCD">
        <w:rPr>
          <w:lang w:val="sq-AL"/>
        </w:rPr>
        <w:t xml:space="preserve"> </w:t>
      </w:r>
      <w:r w:rsidRPr="00F74CCD">
        <w:rPr>
          <w:lang w:val="sq-AL"/>
        </w:rPr>
        <w:t>2489 Rep</w:t>
      </w:r>
      <w:r w:rsidR="000B02AF" w:rsidRPr="00F74CCD">
        <w:rPr>
          <w:lang w:val="sq-AL"/>
        </w:rPr>
        <w:t>.</w:t>
      </w:r>
      <w:r w:rsidRPr="00F74CCD">
        <w:rPr>
          <w:lang w:val="sq-AL"/>
        </w:rPr>
        <w:t xml:space="preserve"> dhe nr.</w:t>
      </w:r>
      <w:r w:rsidR="000B02AF" w:rsidRPr="00F74CCD">
        <w:rPr>
          <w:lang w:val="sq-AL"/>
        </w:rPr>
        <w:t xml:space="preserve"> </w:t>
      </w:r>
      <w:r w:rsidRPr="00F74CCD">
        <w:rPr>
          <w:lang w:val="sq-AL"/>
        </w:rPr>
        <w:t>1595 Kol</w:t>
      </w:r>
      <w:r w:rsidR="000B02AF" w:rsidRPr="00F74CCD">
        <w:rPr>
          <w:lang w:val="sq-AL"/>
        </w:rPr>
        <w:t>.</w:t>
      </w:r>
      <w:r w:rsidRPr="00F74CCD">
        <w:rPr>
          <w:lang w:val="sq-AL"/>
        </w:rPr>
        <w:t>, datë 17.11.2015</w:t>
      </w:r>
      <w:r w:rsidR="000B02AF" w:rsidRPr="00F74CCD">
        <w:rPr>
          <w:lang w:val="sq-AL"/>
        </w:rPr>
        <w:t>,</w:t>
      </w:r>
      <w:r w:rsidRPr="00F74CCD">
        <w:rPr>
          <w:lang w:val="sq-AL"/>
        </w:rPr>
        <w:t xml:space="preserve"> në favor të shtetases Renata Kiri. I ndodhur para këtij fakti, i pandehuri ka paraqitur një kërkesë padi në Gjykatën e Rrethit </w:t>
      </w:r>
      <w:r w:rsidRPr="00F74CCD">
        <w:rPr>
          <w:lang w:val="sq-AL"/>
        </w:rPr>
        <w:lastRenderedPageBreak/>
        <w:t>Gjyqësor</w:t>
      </w:r>
      <w:r w:rsidR="000B02AF" w:rsidRPr="00F74CCD">
        <w:rPr>
          <w:lang w:val="sq-AL"/>
        </w:rPr>
        <w:t>,</w:t>
      </w:r>
      <w:r w:rsidRPr="00F74CCD">
        <w:rPr>
          <w:lang w:val="sq-AL"/>
        </w:rPr>
        <w:t xml:space="preserve"> me objekt</w:t>
      </w:r>
      <w:r w:rsidRPr="00F74CCD">
        <w:rPr>
          <w:iCs/>
          <w:lang w:val="sq-AL"/>
        </w:rPr>
        <w:t xml:space="preserve">: </w:t>
      </w:r>
      <w:r w:rsidRPr="00F74CCD">
        <w:rPr>
          <w:i/>
          <w:iCs/>
          <w:lang w:val="sq-AL"/>
        </w:rPr>
        <w:t>“Konstatimin e pavlefshmërisë së Kontratës së Huasë Nr.2489 Rep dhe nr.1595 Kol, datë 17.11.2015”</w:t>
      </w:r>
      <w:r w:rsidRPr="00F74CCD">
        <w:rPr>
          <w:iCs/>
          <w:lang w:val="sq-AL"/>
        </w:rPr>
        <w:t xml:space="preserve">. </w:t>
      </w:r>
      <w:r w:rsidRPr="00F74CCD">
        <w:rPr>
          <w:lang w:val="sq-AL"/>
        </w:rPr>
        <w:t>Më tej</w:t>
      </w:r>
      <w:r w:rsidR="000B02AF" w:rsidRPr="00F74CCD">
        <w:rPr>
          <w:lang w:val="sq-AL"/>
        </w:rPr>
        <w:t>,</w:t>
      </w:r>
      <w:r w:rsidRPr="00F74CCD">
        <w:rPr>
          <w:lang w:val="sq-AL"/>
        </w:rPr>
        <w:t xml:space="preserve"> pasi është njohur me shkresën nr.</w:t>
      </w:r>
      <w:r w:rsidR="000B02AF" w:rsidRPr="00F74CCD">
        <w:rPr>
          <w:lang w:val="sq-AL"/>
        </w:rPr>
        <w:t xml:space="preserve"> </w:t>
      </w:r>
      <w:r w:rsidRPr="00F74CCD">
        <w:rPr>
          <w:lang w:val="sq-AL"/>
        </w:rPr>
        <w:t>160 Extra</w:t>
      </w:r>
      <w:r w:rsidR="000B02AF" w:rsidRPr="00F74CCD">
        <w:rPr>
          <w:lang w:val="sq-AL"/>
        </w:rPr>
        <w:t>,</w:t>
      </w:r>
      <w:r w:rsidRPr="00F74CCD">
        <w:rPr>
          <w:lang w:val="sq-AL"/>
        </w:rPr>
        <w:t xml:space="preserve"> datë 20.10.2016</w:t>
      </w:r>
      <w:r w:rsidR="000B02AF" w:rsidRPr="00F74CCD">
        <w:rPr>
          <w:lang w:val="sq-AL"/>
        </w:rPr>
        <w:t>,</w:t>
      </w:r>
      <w:r w:rsidRPr="00F74CCD">
        <w:rPr>
          <w:lang w:val="sq-AL"/>
        </w:rPr>
        <w:t xml:space="preserve"> bashkëngjitur të cilave kanë qenë edhe shkresat nr.</w:t>
      </w:r>
      <w:r w:rsidR="000B02AF" w:rsidRPr="00F74CCD">
        <w:rPr>
          <w:lang w:val="sq-AL"/>
        </w:rPr>
        <w:t xml:space="preserve"> </w:t>
      </w:r>
      <w:r w:rsidRPr="00F74CCD">
        <w:rPr>
          <w:lang w:val="sq-AL"/>
        </w:rPr>
        <w:t>160/3</w:t>
      </w:r>
      <w:r w:rsidR="000B02AF" w:rsidRPr="00F74CCD">
        <w:rPr>
          <w:lang w:val="sq-AL"/>
        </w:rPr>
        <w:t>,</w:t>
      </w:r>
      <w:r w:rsidRPr="00F74CCD">
        <w:rPr>
          <w:lang w:val="sq-AL"/>
        </w:rPr>
        <w:t xml:space="preserve"> datë 10.10.2016 dhe 160/4</w:t>
      </w:r>
      <w:r w:rsidR="000B02AF" w:rsidRPr="00F74CCD">
        <w:rPr>
          <w:lang w:val="sq-AL"/>
        </w:rPr>
        <w:t>,</w:t>
      </w:r>
      <w:r w:rsidRPr="00F74CCD">
        <w:rPr>
          <w:lang w:val="sq-AL"/>
        </w:rPr>
        <w:t xml:space="preserve"> datë 10.10.2016 dhe</w:t>
      </w:r>
      <w:r w:rsidR="000B02AF" w:rsidRPr="00F74CCD">
        <w:rPr>
          <w:lang w:val="sq-AL"/>
        </w:rPr>
        <w:t>,</w:t>
      </w:r>
      <w:r w:rsidRPr="00F74CCD">
        <w:rPr>
          <w:lang w:val="sq-AL"/>
        </w:rPr>
        <w:t xml:space="preserve"> sipas tij</w:t>
      </w:r>
      <w:r w:rsidR="000B02AF" w:rsidRPr="00F74CCD">
        <w:rPr>
          <w:lang w:val="sq-AL"/>
        </w:rPr>
        <w:t>,</w:t>
      </w:r>
      <w:r w:rsidRPr="00F74CCD">
        <w:rPr>
          <w:lang w:val="sq-AL"/>
        </w:rPr>
        <w:t xml:space="preserve"> nga përmbajtja e tyre rezulton se përmbaruesi gjyqësor në kundërshtim me shkresën nr.</w:t>
      </w:r>
      <w:r w:rsidR="000B02AF" w:rsidRPr="00F74CCD">
        <w:rPr>
          <w:lang w:val="sq-AL"/>
        </w:rPr>
        <w:t xml:space="preserve"> </w:t>
      </w:r>
      <w:r w:rsidRPr="00F74CCD">
        <w:rPr>
          <w:lang w:val="sq-AL"/>
        </w:rPr>
        <w:t>160/2 Prot</w:t>
      </w:r>
      <w:r w:rsidR="000B02AF" w:rsidRPr="00F74CCD">
        <w:rPr>
          <w:lang w:val="sq-AL"/>
        </w:rPr>
        <w:t>.</w:t>
      </w:r>
      <w:r w:rsidRPr="00F74CCD">
        <w:rPr>
          <w:lang w:val="sq-AL"/>
        </w:rPr>
        <w:t>, datë 21.09.2016</w:t>
      </w:r>
      <w:r w:rsidR="000B02AF" w:rsidRPr="00F74CCD">
        <w:rPr>
          <w:lang w:val="sq-AL"/>
        </w:rPr>
        <w:t>,</w:t>
      </w:r>
      <w:r w:rsidRPr="00F74CCD">
        <w:rPr>
          <w:lang w:val="sq-AL"/>
        </w:rPr>
        <w:t xml:space="preserve"> fillonte ekzekutimin e detyrueshëm dhe vendoste sekuestro për një vlerë prej 200.000 (dyqind mijë Euro) plus tarifën e përmbaruesit. Sipas kallëzuesit</w:t>
      </w:r>
      <w:r w:rsidR="000B02AF" w:rsidRPr="00F74CCD">
        <w:rPr>
          <w:lang w:val="sq-AL"/>
        </w:rPr>
        <w:t>,</w:t>
      </w:r>
      <w:r w:rsidRPr="00F74CCD">
        <w:rPr>
          <w:lang w:val="sq-AL"/>
        </w:rPr>
        <w:t xml:space="preserve"> nga përmbaruesi gjyqësor nuk ishin respektuar nenet 32 dhe 44 të ligjit nr.</w:t>
      </w:r>
      <w:r w:rsidR="000B02AF" w:rsidRPr="00F74CCD">
        <w:rPr>
          <w:lang w:val="sq-AL"/>
        </w:rPr>
        <w:t xml:space="preserve"> </w:t>
      </w:r>
      <w:r w:rsidRPr="00F74CCD">
        <w:rPr>
          <w:lang w:val="sq-AL"/>
        </w:rPr>
        <w:t>10031, datë 11.05.2009</w:t>
      </w:r>
      <w:r w:rsidR="000B02AF" w:rsidRPr="00F74CCD">
        <w:rPr>
          <w:lang w:val="sq-AL"/>
        </w:rPr>
        <w:t>,</w:t>
      </w:r>
      <w:r w:rsidRPr="00F74CCD">
        <w:rPr>
          <w:lang w:val="sq-AL"/>
        </w:rPr>
        <w:t xml:space="preserve"> si dhe neni 581 i Kodit të Procedurës Civile dhe nuk ishte njoftuar për shkresat me nr.</w:t>
      </w:r>
      <w:r w:rsidR="000B02AF" w:rsidRPr="00F74CCD">
        <w:rPr>
          <w:lang w:val="sq-AL"/>
        </w:rPr>
        <w:t xml:space="preserve"> </w:t>
      </w:r>
      <w:r w:rsidRPr="00F74CCD">
        <w:rPr>
          <w:lang w:val="sq-AL"/>
        </w:rPr>
        <w:t>160/7 Prot</w:t>
      </w:r>
      <w:r w:rsidR="000B02AF" w:rsidRPr="00F74CCD">
        <w:rPr>
          <w:lang w:val="sq-AL"/>
        </w:rPr>
        <w:t>.</w:t>
      </w:r>
      <w:r w:rsidRPr="00F74CCD">
        <w:rPr>
          <w:lang w:val="sq-AL"/>
        </w:rPr>
        <w:t>, datë 24.10.2016 dhe nr.</w:t>
      </w:r>
      <w:r w:rsidR="000B02AF" w:rsidRPr="00F74CCD">
        <w:rPr>
          <w:lang w:val="sq-AL"/>
        </w:rPr>
        <w:t xml:space="preserve"> </w:t>
      </w:r>
      <w:r w:rsidRPr="00F74CCD">
        <w:rPr>
          <w:lang w:val="sq-AL"/>
        </w:rPr>
        <w:t xml:space="preserve">160/8, datë 25.10.2016 dhe as i ishin krijuar mundësi për të kundërshtuar këto veprime në gjykatë. </w:t>
      </w:r>
    </w:p>
    <w:p w14:paraId="2B2245DC" w14:textId="5760ED73" w:rsidR="00E41504" w:rsidRPr="00F74CCD" w:rsidRDefault="00E41504" w:rsidP="00F74CCD">
      <w:pPr>
        <w:pStyle w:val="NormalWeb"/>
        <w:numPr>
          <w:ilvl w:val="1"/>
          <w:numId w:val="35"/>
        </w:numPr>
        <w:tabs>
          <w:tab w:val="left" w:pos="1080"/>
        </w:tabs>
        <w:spacing w:before="0" w:beforeAutospacing="0" w:after="0" w:afterAutospacing="0"/>
        <w:ind w:left="0" w:firstLine="540"/>
        <w:jc w:val="both"/>
        <w:rPr>
          <w:lang w:val="sq-AL"/>
        </w:rPr>
      </w:pPr>
      <w:r w:rsidRPr="00F74CCD">
        <w:rPr>
          <w:lang w:val="sq-AL"/>
        </w:rPr>
        <w:t>Në vijim</w:t>
      </w:r>
      <w:r w:rsidR="000B02AF" w:rsidRPr="00F74CCD">
        <w:rPr>
          <w:lang w:val="sq-AL"/>
        </w:rPr>
        <w:t>,</w:t>
      </w:r>
      <w:r w:rsidRPr="00F74CCD">
        <w:rPr>
          <w:lang w:val="sq-AL"/>
        </w:rPr>
        <w:t xml:space="preserve"> kallëzuesi ka pretenduar se përmbaruesi gjyqësor Igli Gugashi pa pasur asnjë vendim gjyqësor ka urdhëruar Zyr</w:t>
      </w:r>
      <w:r w:rsidR="00FD165D" w:rsidRPr="00F74CCD">
        <w:rPr>
          <w:lang w:val="sq-AL"/>
        </w:rPr>
        <w:t>ë</w:t>
      </w:r>
      <w:r w:rsidRPr="00F74CCD">
        <w:rPr>
          <w:lang w:val="sq-AL"/>
        </w:rPr>
        <w:t>n Vendore t</w:t>
      </w:r>
      <w:r w:rsidR="00FD165D" w:rsidRPr="00F74CCD">
        <w:rPr>
          <w:lang w:val="sq-AL"/>
        </w:rPr>
        <w:t>ë</w:t>
      </w:r>
      <w:r w:rsidRPr="00F74CCD">
        <w:rPr>
          <w:lang w:val="sq-AL"/>
        </w:rPr>
        <w:t xml:space="preserve"> Regjistrimit t</w:t>
      </w:r>
      <w:r w:rsidR="00FD165D" w:rsidRPr="00F74CCD">
        <w:rPr>
          <w:lang w:val="sq-AL"/>
        </w:rPr>
        <w:t>ë</w:t>
      </w:r>
      <w:r w:rsidRPr="00F74CCD">
        <w:rPr>
          <w:lang w:val="sq-AL"/>
        </w:rPr>
        <w:t xml:space="preserve"> Pasurive t</w:t>
      </w:r>
      <w:r w:rsidR="00FD165D" w:rsidRPr="00F74CCD">
        <w:rPr>
          <w:lang w:val="sq-AL"/>
        </w:rPr>
        <w:t>ë</w:t>
      </w:r>
      <w:r w:rsidRPr="00F74CCD">
        <w:rPr>
          <w:lang w:val="sq-AL"/>
        </w:rPr>
        <w:t xml:space="preserve"> Paluajtshme Tiranë që të heqë bllokimin për pasurinë me nr.</w:t>
      </w:r>
      <w:r w:rsidR="000B02AF" w:rsidRPr="00F74CCD">
        <w:rPr>
          <w:lang w:val="sq-AL"/>
        </w:rPr>
        <w:t xml:space="preserve"> </w:t>
      </w:r>
      <w:r w:rsidRPr="00F74CCD">
        <w:rPr>
          <w:lang w:val="sq-AL"/>
        </w:rPr>
        <w:t>3/514, ZK 8270, Vol</w:t>
      </w:r>
      <w:r w:rsidR="000B02AF" w:rsidRPr="00F74CCD">
        <w:rPr>
          <w:lang w:val="sq-AL"/>
        </w:rPr>
        <w:t>.</w:t>
      </w:r>
      <w:r w:rsidRPr="00F74CCD">
        <w:rPr>
          <w:lang w:val="sq-AL"/>
        </w:rPr>
        <w:t xml:space="preserve"> 64, faqe 236, truall me sipërfaqe 258.6 m</w:t>
      </w:r>
      <w:r w:rsidRPr="00F74CCD">
        <w:rPr>
          <w:vertAlign w:val="superscript"/>
          <w:lang w:val="sq-AL"/>
        </w:rPr>
        <w:t>2</w:t>
      </w:r>
      <w:r w:rsidRPr="00F74CCD">
        <w:rPr>
          <w:lang w:val="sq-AL"/>
        </w:rPr>
        <w:t>, pronë e cila ka qenë e bllokuar në favor të shtetases Renata Kiri dhe të tij në bazë të Kontratës Shitblerjes me Rezervë të Pronës Nr.</w:t>
      </w:r>
      <w:r w:rsidR="000B02AF" w:rsidRPr="00F74CCD">
        <w:rPr>
          <w:lang w:val="sq-AL"/>
        </w:rPr>
        <w:t xml:space="preserve"> </w:t>
      </w:r>
      <w:r w:rsidRPr="00F74CCD">
        <w:rPr>
          <w:lang w:val="sq-AL"/>
        </w:rPr>
        <w:t>5847 Rep</w:t>
      </w:r>
      <w:r w:rsidR="000B02AF" w:rsidRPr="00F74CCD">
        <w:rPr>
          <w:lang w:val="sq-AL"/>
        </w:rPr>
        <w:t>.</w:t>
      </w:r>
      <w:r w:rsidRPr="00F74CCD">
        <w:rPr>
          <w:lang w:val="sq-AL"/>
        </w:rPr>
        <w:t xml:space="preserve"> dhe Nr.</w:t>
      </w:r>
      <w:r w:rsidR="000B02AF" w:rsidRPr="00F74CCD">
        <w:rPr>
          <w:lang w:val="sq-AL"/>
        </w:rPr>
        <w:t xml:space="preserve"> </w:t>
      </w:r>
      <w:r w:rsidRPr="00F74CCD">
        <w:rPr>
          <w:lang w:val="sq-AL"/>
        </w:rPr>
        <w:t>1783 Kol</w:t>
      </w:r>
      <w:r w:rsidR="000B02AF" w:rsidRPr="00F74CCD">
        <w:rPr>
          <w:lang w:val="sq-AL"/>
        </w:rPr>
        <w:t>.</w:t>
      </w:r>
      <w:r w:rsidRPr="00F74CCD">
        <w:rPr>
          <w:lang w:val="sq-AL"/>
        </w:rPr>
        <w:t>, datë 20.11.2015</w:t>
      </w:r>
      <w:r w:rsidR="000B02AF" w:rsidRPr="00F74CCD">
        <w:rPr>
          <w:lang w:val="sq-AL"/>
        </w:rPr>
        <w:t>,</w:t>
      </w:r>
      <w:r w:rsidRPr="00F74CCD">
        <w:rPr>
          <w:lang w:val="sq-AL"/>
        </w:rPr>
        <w:t xml:space="preserve"> të hartuar pranë Noteres Edlira Hyseni. Gjithashtu, kallëzuesi ka pretenduar se vendimi i Gjykatës së Rrethit Gjyqësor Tiranë me nr.</w:t>
      </w:r>
      <w:r w:rsidR="000B02AF" w:rsidRPr="00F74CCD">
        <w:rPr>
          <w:lang w:val="sq-AL"/>
        </w:rPr>
        <w:t xml:space="preserve"> </w:t>
      </w:r>
      <w:r w:rsidRPr="00F74CCD">
        <w:rPr>
          <w:lang w:val="sq-AL"/>
        </w:rPr>
        <w:t>5390 Akti, datë 14.09.2016</w:t>
      </w:r>
      <w:r w:rsidR="000B02AF" w:rsidRPr="00F74CCD">
        <w:rPr>
          <w:lang w:val="sq-AL"/>
        </w:rPr>
        <w:t>,</w:t>
      </w:r>
      <w:r w:rsidRPr="00F74CCD">
        <w:rPr>
          <w:lang w:val="sq-AL"/>
        </w:rPr>
        <w:t xml:space="preserve"> urdhëron vënien në ekzekutim të titullit ekzekutiv Kontratës së Huasë Nr.</w:t>
      </w:r>
      <w:r w:rsidR="000B02AF" w:rsidRPr="00F74CCD">
        <w:rPr>
          <w:lang w:val="sq-AL"/>
        </w:rPr>
        <w:t xml:space="preserve"> </w:t>
      </w:r>
      <w:r w:rsidRPr="00F74CCD">
        <w:rPr>
          <w:lang w:val="sq-AL"/>
        </w:rPr>
        <w:t>2489 Rep</w:t>
      </w:r>
      <w:r w:rsidR="000B02AF" w:rsidRPr="00F74CCD">
        <w:rPr>
          <w:lang w:val="sq-AL"/>
        </w:rPr>
        <w:t>.</w:t>
      </w:r>
      <w:r w:rsidRPr="00F74CCD">
        <w:rPr>
          <w:lang w:val="sq-AL"/>
        </w:rPr>
        <w:t xml:space="preserve"> dhe Nr.</w:t>
      </w:r>
      <w:r w:rsidR="000B02AF" w:rsidRPr="00F74CCD">
        <w:rPr>
          <w:lang w:val="sq-AL"/>
        </w:rPr>
        <w:t xml:space="preserve"> </w:t>
      </w:r>
      <w:r w:rsidRPr="00F74CCD">
        <w:rPr>
          <w:lang w:val="sq-AL"/>
        </w:rPr>
        <w:t>1595 Kol</w:t>
      </w:r>
      <w:r w:rsidR="000B02AF" w:rsidRPr="00F74CCD">
        <w:rPr>
          <w:lang w:val="sq-AL"/>
        </w:rPr>
        <w:t>.</w:t>
      </w:r>
      <w:r w:rsidRPr="00F74CCD">
        <w:rPr>
          <w:lang w:val="sq-AL"/>
        </w:rPr>
        <w:t>, datë 17.11.2015 dhe nuk përmban asnjë urdhërim tjetër shtesë dhe për pasojë ky urdhër ekzekutimi nuk mund të shtrinte pasojat e tij mbi veprimet e tij në lidhje me pasurinë nr.</w:t>
      </w:r>
      <w:r w:rsidR="000B02AF" w:rsidRPr="00F74CCD">
        <w:rPr>
          <w:lang w:val="sq-AL"/>
        </w:rPr>
        <w:t xml:space="preserve"> </w:t>
      </w:r>
      <w:r w:rsidRPr="00F74CCD">
        <w:rPr>
          <w:lang w:val="sq-AL"/>
        </w:rPr>
        <w:t>3/514, ZK 8270, Vol</w:t>
      </w:r>
      <w:r w:rsidR="000B02AF" w:rsidRPr="00F74CCD">
        <w:rPr>
          <w:lang w:val="sq-AL"/>
        </w:rPr>
        <w:t>.</w:t>
      </w:r>
      <w:r w:rsidRPr="00F74CCD">
        <w:rPr>
          <w:lang w:val="sq-AL"/>
        </w:rPr>
        <w:t xml:space="preserve"> 64, faqe 236, truall me sipërfaqe 258.6 m</w:t>
      </w:r>
      <w:r w:rsidRPr="00F74CCD">
        <w:rPr>
          <w:vertAlign w:val="superscript"/>
          <w:lang w:val="sq-AL"/>
        </w:rPr>
        <w:t>2</w:t>
      </w:r>
      <w:r w:rsidRPr="00F74CCD">
        <w:rPr>
          <w:lang w:val="sq-AL"/>
        </w:rPr>
        <w:t xml:space="preserve">. </w:t>
      </w:r>
    </w:p>
    <w:p w14:paraId="37A42092" w14:textId="0EC7B821" w:rsidR="00E41504" w:rsidRPr="00F74CCD" w:rsidRDefault="00E41504" w:rsidP="00F74CCD">
      <w:pPr>
        <w:pStyle w:val="NormalWeb"/>
        <w:numPr>
          <w:ilvl w:val="0"/>
          <w:numId w:val="35"/>
        </w:numPr>
        <w:tabs>
          <w:tab w:val="left" w:pos="900"/>
          <w:tab w:val="left" w:pos="1080"/>
        </w:tabs>
        <w:spacing w:before="0" w:beforeAutospacing="0" w:after="0" w:afterAutospacing="0"/>
        <w:ind w:left="0" w:firstLine="540"/>
        <w:jc w:val="both"/>
        <w:rPr>
          <w:lang w:val="sq-AL"/>
        </w:rPr>
      </w:pPr>
      <w:r w:rsidRPr="00F74CCD">
        <w:rPr>
          <w:lang w:val="sq-AL"/>
        </w:rPr>
        <w:t>Me urdhërin e datës 15.12.2016, për faktet objekt kallëzimi, Prokuroria pranë Gjykatës së Rrethit Gjyqësor Tiranë, ka regjistruar fillimisht procedimin penal nr.</w:t>
      </w:r>
      <w:r w:rsidR="000B02AF" w:rsidRPr="00F74CCD">
        <w:rPr>
          <w:lang w:val="sq-AL"/>
        </w:rPr>
        <w:t xml:space="preserve"> </w:t>
      </w:r>
      <w:r w:rsidRPr="00F74CCD">
        <w:rPr>
          <w:lang w:val="sq-AL"/>
        </w:rPr>
        <w:t xml:space="preserve">9704 për veprën penale “Shpërdorimi i detyrës”, parashikuar nga neni 248 i Kodit Penal </w:t>
      </w:r>
      <w:r w:rsidR="00247662" w:rsidRPr="00F74CCD">
        <w:rPr>
          <w:lang w:val="sq-AL"/>
        </w:rPr>
        <w:t>dhe n</w:t>
      </w:r>
      <w:r w:rsidR="00FD165D" w:rsidRPr="00F74CCD">
        <w:rPr>
          <w:lang w:val="sq-AL"/>
        </w:rPr>
        <w:t>ë</w:t>
      </w:r>
      <w:r w:rsidR="00247662" w:rsidRPr="00F74CCD">
        <w:rPr>
          <w:lang w:val="sq-AL"/>
        </w:rPr>
        <w:t xml:space="preserve"> vijim</w:t>
      </w:r>
      <w:r w:rsidR="000B02AF" w:rsidRPr="00F74CCD">
        <w:rPr>
          <w:lang w:val="sq-AL"/>
        </w:rPr>
        <w:t>,</w:t>
      </w:r>
      <w:r w:rsidR="00247662" w:rsidRPr="00F74CCD">
        <w:rPr>
          <w:lang w:val="sq-AL"/>
        </w:rPr>
        <w:t xml:space="preserve"> me </w:t>
      </w:r>
      <w:r w:rsidRPr="00F74CCD">
        <w:rPr>
          <w:lang w:val="sq-AL"/>
        </w:rPr>
        <w:t>Urdhrin e datës 20.02.2018</w:t>
      </w:r>
      <w:r w:rsidR="00247662" w:rsidRPr="00F74CCD">
        <w:rPr>
          <w:lang w:val="sq-AL"/>
        </w:rPr>
        <w:t>,</w:t>
      </w:r>
      <w:r w:rsidRPr="00F74CCD">
        <w:rPr>
          <w:lang w:val="sq-AL"/>
        </w:rPr>
        <w:t xml:space="preserve"> ka urdhëruar që në regjistrin e njoftimit të veprave penale në kolonën përkatëse të shënohet emri i përmbaruesit gjyqësor Igli Gugashi, si person që i atribuohet vepra penale “Shpërdorimi i detyrës”, parashikuar nga neni 248 i K</w:t>
      </w:r>
      <w:r w:rsidR="0043747E" w:rsidRPr="00F74CCD">
        <w:rPr>
          <w:lang w:val="sq-AL"/>
        </w:rPr>
        <w:t xml:space="preserve">odit </w:t>
      </w:r>
      <w:r w:rsidRPr="00F74CCD">
        <w:rPr>
          <w:lang w:val="sq-AL"/>
        </w:rPr>
        <w:t>Penal dhe emri i shtetasit Julian Bregu si person që i atribuohet vepra penale “Mashtrimi”, parashikuar nga neni 143/1 i K</w:t>
      </w:r>
      <w:r w:rsidR="0043747E" w:rsidRPr="00F74CCD">
        <w:rPr>
          <w:lang w:val="sq-AL"/>
        </w:rPr>
        <w:t xml:space="preserve">odit </w:t>
      </w:r>
      <w:r w:rsidRPr="00F74CCD">
        <w:rPr>
          <w:lang w:val="sq-AL"/>
        </w:rPr>
        <w:t>Penal</w:t>
      </w:r>
      <w:r w:rsidR="00247662" w:rsidRPr="00F74CCD">
        <w:rPr>
          <w:lang w:val="sq-AL"/>
        </w:rPr>
        <w:t xml:space="preserve">. </w:t>
      </w:r>
    </w:p>
    <w:p w14:paraId="2E825842" w14:textId="77777777" w:rsidR="00E41504" w:rsidRPr="00F74CCD" w:rsidRDefault="00E41504" w:rsidP="00F74CCD">
      <w:pPr>
        <w:pStyle w:val="NormalWeb"/>
        <w:numPr>
          <w:ilvl w:val="1"/>
          <w:numId w:val="35"/>
        </w:numPr>
        <w:tabs>
          <w:tab w:val="left" w:pos="990"/>
        </w:tabs>
        <w:spacing w:before="0" w:beforeAutospacing="0" w:after="0" w:afterAutospacing="0"/>
        <w:ind w:left="0" w:firstLine="540"/>
        <w:jc w:val="both"/>
        <w:rPr>
          <w:i/>
          <w:iCs/>
          <w:color w:val="000000"/>
          <w:lang w:val="sq-AL"/>
        </w:rPr>
      </w:pPr>
      <w:r w:rsidRPr="00F74CCD">
        <w:rPr>
          <w:lang w:val="sq-AL"/>
        </w:rPr>
        <w:t xml:space="preserve">Prokurori ka arritur në konkluzionin e mësipërm, pasi: </w:t>
      </w:r>
      <w:r w:rsidRPr="00F74CCD">
        <w:rPr>
          <w:i/>
          <w:iCs/>
          <w:lang w:val="sq-AL"/>
        </w:rPr>
        <w:t xml:space="preserve">Përmbaruesi Gjyqësor Igli Gugashi kishte vepruar në kundërshtim me Ligjin Nr. 10031, datë 11.12.2008 "Për Shërbimin Përmbarimor Gjyqësor Privat", Neni 32, paragrafi a, b, c, ç, g) dhe Neni 33, paragrafi ç). Me Vendimin Nr. </w:t>
      </w:r>
      <w:r w:rsidRPr="00F74CCD">
        <w:rPr>
          <w:i/>
          <w:iCs/>
          <w:color w:val="000000"/>
          <w:lang w:val="sq-AL"/>
        </w:rPr>
        <w:t xml:space="preserve">160/7 prot., datë 24.10.2016 Zyra Përmbarimore "Alindro", me Përmbarues Gjyqësor Igli Gugashi kishte ndryshuar masën e sekuestros së kredisë që personi i tretë Shoqëria "UFO" sh.p.k., ka ndaj debitorit Julian Bregu duke e urdhëruar atë në masën 100.127 euro. Me këtë vendim përmbaruesi kishte urdhëruar shoqërinë "UFO" sh.p.k., të derdhte shumën prej 49.873 euro në llogarinë bankare të Renata Kiri. Gjithashtu, përmbaruesi ka urdhëruar shoqërinë "UFO" sh.p.k., të kalonte shumën prej 100.127 euro në llogarinë bankare të përmbaruesit gjyqësor Igli Gugashi; kishte urdhëruar noteren Edlira Hyseni të konfirmonte kalimin e shumës prej 49.873 euro në llogarinë bankare të Renata Kiri dhe kalimin e shumës prej 100.127 euro në llogarinë bankare të përmbaruesit gjyqësor Igli Gugashi. Në pikën 5 të këtij vendimi, përmbaruesi po ashtu kishte urdhëruar ZVRPP Tiranë të lironte pronën e bllokuar nga Renata Kiri dhe Julian Bregu (që rezulton nga disponimet në Kontratë Shitblerje me Rezervë Nr.5847 rep., Nr.1783 kol., dt. 20.11.2015, për truallin e blerë nga "UFO" sh.p.k., prej 258.60 m2) pasi shuma prej 150.000 euro të kishte kaluar në llogarinë e Renata Kiri dhe përmbaruesit Igli Gugashi. Nga sa më sipër, Përmbaruesi Gjyqësor Igli Gugashi nuk kishte patur asnjë kompetencë ligjore për të disponuar në lidhje me një kontratë që nuk është titull ekzekutiv, ku në thelb është një kontratë shitblerje, ku blerës është shoqëria "UFO" sh.p.k., e cila paguan dhe çmimin sipas objektit të kontratës dhe nuk ka lidhje me raportet mes Julian Bregut, Oltion Bunecit dhe Renata Kiri. Konkretisht, në pikën 1 të Urdhrit Nr. 160/8 prot., datë </w:t>
      </w:r>
      <w:r w:rsidRPr="00F74CCD">
        <w:rPr>
          <w:i/>
          <w:iCs/>
          <w:color w:val="000000"/>
          <w:lang w:val="sq-AL"/>
        </w:rPr>
        <w:lastRenderedPageBreak/>
        <w:t>25.10.2016, ku përmbaruesi urdhëron të ekzekutohet në favor të Renata Kiri shuma prej 49.873 Euro, përmbaruesi kishte dalë krejtësisht jashtë kompetencave të tij në lidhje me çështjen që ka për ekzekutim. Kjo pasi përmbaruesi nuk kishte ndonjë urdhër ekzekutimi gjyqësor për Kontratë Shitblerje me Rezervë Nr.5847 rep. Nr.1783 kol., datë 20.11.2015. Po ashtu nuk kishte kërkesë nga Renata Kiri për detyrime që ajo i pretendon nga shoqëria "UFO" sh.p.k., apo që kjo e fundit t'i rezultojë debitore për Renata Kiri në titullin ekzekutiv, apo urdhërin e ekzekutimit. Përmbaruesi kishte kaluar në tejkalim të hapur të kompetencave të tij ligjore edhe kur kishte urdhëruar kalimin e shumës prej 100.127 në llogarinë bankare të tij, në cilësinë e përmbaruesit gjyqësor. Shkeljet e lartpërmendura ishin konstatuar edhe nga Gjykata e Shkallës së Parë Tiranë dhe ishin pasqyruar në Vendimet e saj Nr.3203 Akti, datë 16.01.2017 dhe Nr.1431, datë 27.02.2017, të cilat janë administruar me shkresat Nr.2157/1 Prot., datë 09.02.2017 dhe Nr.12674/1 Prot., datë 14.06.2017. Pra, Përmbarues Gjyqësor Igli Gugashi kishte tejkaluar kompetencat ligjore, duke ndërmarrë veprime për të cilat nuk kishte pasur asnjë urdhërim apo vendim gjyqësor, që rezultonin me Urdhërin Nr. 160/7 prot., dt.10.10.2016, Urdhërin Nr.160/8 prot., dt.25.10.2016 të përmbaruesit, duke kërkuar ekzekutimin e një kontrate për të cilën nuk kishte asnjë urdhër ekzekutimi e që nuk është objekt i procedurës përmbarimore, të përshkruar më lart. Transfertat e lartpërmendura apo urdhërimet në lidhje me këto transferta, të cilat kishin cënuar interesat financiare të palëve në marrëdhëniet kontraktuale, rezulton të ishin pasojë e veprimeve të kryera nga përmbaruesi gjyqësor Igli Gugashi në kundërshtim me ligjin (në kundërshtim me Ligjin Nr. 10031 datë 11.12.2008 "Për Shërbimin Përmbarimor Gjyqësor Privat", Neni 32 dhe Neni 33, paragrafi ç). Kjo pasojë e kundraligjshme është element material i anës objektive të figurës së veprës penale "Shpërdorimi i detyrës", të parashikuar nga Neni 248 i Kodit Penal. Gjithashtu, përmbaruesi rezultonte të kishte vepruar me dashje, një element i rëndësishëm i anës subjektive. Ai kishte ditur që nuk kishte pasur asnjë urdhër ekzekutimi në lidhje me Kontratë për Shitje me Rezervë të Pronës Nr 5847 Rep, Nr 1783/3 Kol datë 20.11.2015, për të cilën janë ekzekutuar detyrimet. Përsa i përket pretendimit të kallëzuesit Julian Bregu për zhbllokimin e pasurisë Nr. 3/514, e llojit truall, të ndodhur në Zonën Kadastrale Nr 8270, Volumi 64, Faqe 236, ky pretendim nuk qëndronte. Me shkresën Nr. 3799/1, datë 21.02.2017, ZVRPP Tiranë konfirmonte se kjo pasuri rezultonte të ishte e bllokuar në favor të palës shitëse. Pra, Vendimi Nr.160/7, datë 24.10.2016, i Përmbaruesit Gjyqësor Igli Gugashi, nuk ishte ekzekutuar, si i tillë nuk kishte sjellë pasoja juridike në kuptim të veprës penale "Shpërdorimi i detyrës ".</w:t>
      </w:r>
    </w:p>
    <w:p w14:paraId="7FCC8E0B" w14:textId="54CA5BBB" w:rsidR="00247662" w:rsidRPr="00F74CCD" w:rsidRDefault="00E41504" w:rsidP="00F74CCD">
      <w:pPr>
        <w:pStyle w:val="NormalWeb"/>
        <w:numPr>
          <w:ilvl w:val="1"/>
          <w:numId w:val="35"/>
        </w:numPr>
        <w:tabs>
          <w:tab w:val="left" w:pos="990"/>
        </w:tabs>
        <w:spacing w:before="0" w:beforeAutospacing="0" w:after="0" w:afterAutospacing="0"/>
        <w:ind w:left="0" w:firstLine="540"/>
        <w:jc w:val="both"/>
        <w:rPr>
          <w:i/>
          <w:iCs/>
          <w:color w:val="000000"/>
          <w:lang w:val="sq-AL"/>
        </w:rPr>
      </w:pPr>
      <w:r w:rsidRPr="00F74CCD">
        <w:rPr>
          <w:i/>
          <w:iCs/>
          <w:color w:val="000000"/>
          <w:lang w:val="sq-AL"/>
        </w:rPr>
        <w:t>Në lidhje me të pandehurin Julian Bregu, në kuadër të procedimit penal të mësipërm, prokurori ka argumentuar se i pandehuri Julian Bregu kishte përfituar shumën prej 150.000 Euro, si kësti i dytë i Kontratës për Shitje me Rezervë të Pronës Nr 5847 Rep., Nr 1783 Kol., datë 20.11.2015. Kjo shumë, e cila rezulton të kishte kaluar në llogarinë e Julian Bregu, kishte pasur destinacion apo duhej t´i dorëzohej shitëses së pasurisë shtetases Renata Kiri, gjë e cila nuk ka ndodhur. Për të realizuar këtë qëllim, shtetasi Julian Bregu kishte vendosur të përdorte gënjeshtrën dhe të shpërdoronte besimin ndaj shtetases Renata Kiri, me cilësinë e pronares së pasurisë, dhe bashkëjetuesit të saj Ferdinand Murati, të dy pensionistë. Konkretisht, ai i ka mashtruar këta shtetas dhe për të përfituar këtë shumë ai ju ka diktuar atyre përpilimin e kontratës në formën që ai ka dëshiruar, duke shlyer në këtë mënyrë dhe detyrimet që kishte ndaj shtetasit Oltjon Buneci. Për të krijuar besueshmëri tek shtetasja Renata Kiri, paraprakisht si garanci kanë nënshkruar edhe një Kontratë Huaje me Nr. 2489 rep, Nr. 1595 Kol, datë 17.11.2015, në vlerën 200.000, ku huadhënëse paraqitej shtetasja Renata Kiri, huadhë</w:t>
      </w:r>
      <w:r w:rsidR="00D94C43" w:rsidRPr="00F74CCD">
        <w:rPr>
          <w:i/>
          <w:iCs/>
          <w:color w:val="000000"/>
          <w:lang w:val="sq-AL"/>
        </w:rPr>
        <w:t>marr</w:t>
      </w:r>
      <w:r w:rsidR="00FD165D" w:rsidRPr="00F74CCD">
        <w:rPr>
          <w:i/>
          <w:iCs/>
          <w:color w:val="000000"/>
          <w:lang w:val="sq-AL"/>
        </w:rPr>
        <w:t>ë</w:t>
      </w:r>
      <w:r w:rsidRPr="00F74CCD">
        <w:rPr>
          <w:i/>
          <w:iCs/>
          <w:color w:val="000000"/>
          <w:lang w:val="sq-AL"/>
        </w:rPr>
        <w:t xml:space="preserve"> Julian Bregu, hartuar pranë noterit Ermal Hamzaj. Kontrata është nënshkruar me vullnetin e tij të lirë, por fiktive në përmbajtje, për të cilën ka kërkuar pavlefshmëri më pas në gjykatë. Në këtë mënyrë, shtetasi Julian Bregu ka shpërdoruar besimin duke shfrytëzuar marrëdhënien me dy shtetas pensionistë, ka konsoliduar mendimin e tij kriminal për përvetësimin e vlerës së lartpërmendur, të cilën ka patur si qëllim për të mos e kthyer më. Moskthimi i kësaj shume </w:t>
      </w:r>
      <w:r w:rsidRPr="00F74CCD">
        <w:rPr>
          <w:i/>
          <w:iCs/>
          <w:color w:val="000000"/>
          <w:lang w:val="sq-AL"/>
        </w:rPr>
        <w:lastRenderedPageBreak/>
        <w:t xml:space="preserve">provohet me transferimin e 100.000 Eurove nga llogaria e Julian BREGU tek llogaria e babait të tij Dashamir </w:t>
      </w:r>
      <w:r w:rsidR="00D94C43" w:rsidRPr="00F74CCD">
        <w:rPr>
          <w:i/>
          <w:iCs/>
          <w:color w:val="000000"/>
          <w:lang w:val="sq-AL"/>
        </w:rPr>
        <w:t>Bregu</w:t>
      </w:r>
      <w:r w:rsidRPr="00F74CCD">
        <w:rPr>
          <w:i/>
          <w:iCs/>
          <w:color w:val="000000"/>
          <w:lang w:val="sq-AL"/>
        </w:rPr>
        <w:t>. Ky fakt provohet me transfertat e administruara nga Banka Societe Generale, me Shkresën Nr. Prot. 17/16111/tbo-003, datë 26.10.2017. Vullneti për të mos kthyer këtë shumë rezulton gjithashtu dhe nga kërkesat për pavlefshmëri në gjykatë lidhur me kontratën e huasë Nr.2489 Rep, Nr.1595 Kol, datë 17.11.2015. Për më tepër nëpërmjet formulimit të kësaj kontrate në formatin e dëshiruar prej tij duke mashtruar Renata Kirin, ka shlyer dhe detyrimet ndaj shtetasit Oltjon Buneci. Në ekzekutim të kontratave si më lart Ufo sh.p.k ka kryer pagesat korrektësisht, deri në momentin e kalimit të këstit të dytë prej 150.000 Euro tek Julian Bregu. Ky i fundit nuk po bënte kalimin e detyrimit të prapambetur tek Renata Kiri, përkundrazi transferon një shumë të konsiderueshme eurosh tek babai i tij Dashamir Bregu dhe i dërgon sms shtetasit Ferdinand Murati sikur kanë kaluar paratë tek Renata Kiri. Në këtë moment shtetasja Renata Kiri ka kërkuar ekzekutimin e kontratës së huasë dhe pas ndjekjes së procedurave përkatëse ka ndërhyrë i pandehuri, përmbaruesi gjyqësor Igli Gugashi”</w:t>
      </w:r>
      <w:r w:rsidRPr="00F74CCD">
        <w:rPr>
          <w:iCs/>
          <w:color w:val="000000"/>
          <w:lang w:val="sq-AL"/>
        </w:rPr>
        <w:t>.</w:t>
      </w:r>
    </w:p>
    <w:p w14:paraId="00212297" w14:textId="57CAF63F" w:rsidR="00247662" w:rsidRPr="00F74CCD" w:rsidRDefault="00E41504" w:rsidP="00F74CCD">
      <w:pPr>
        <w:pStyle w:val="NormalWeb"/>
        <w:numPr>
          <w:ilvl w:val="1"/>
          <w:numId w:val="35"/>
        </w:numPr>
        <w:tabs>
          <w:tab w:val="left" w:pos="990"/>
        </w:tabs>
        <w:spacing w:before="0" w:beforeAutospacing="0" w:after="0" w:afterAutospacing="0"/>
        <w:ind w:left="0" w:firstLine="540"/>
        <w:jc w:val="both"/>
        <w:rPr>
          <w:i/>
          <w:iCs/>
          <w:color w:val="000000"/>
          <w:lang w:val="sq-AL"/>
        </w:rPr>
      </w:pPr>
      <w:r w:rsidRPr="00F74CCD">
        <w:rPr>
          <w:lang w:val="sq-AL"/>
        </w:rPr>
        <w:t>Me akuzat e mësipërme të dy të pandehurit</w:t>
      </w:r>
      <w:r w:rsidR="00247662" w:rsidRPr="00F74CCD">
        <w:rPr>
          <w:lang w:val="sq-AL"/>
        </w:rPr>
        <w:t>,</w:t>
      </w:r>
      <w:r w:rsidR="00D94C43" w:rsidRPr="00F74CCD">
        <w:rPr>
          <w:lang w:val="sq-AL"/>
        </w:rPr>
        <w:t xml:space="preserve"> më dat</w:t>
      </w:r>
      <w:r w:rsidR="00FD165D" w:rsidRPr="00F74CCD">
        <w:rPr>
          <w:lang w:val="sq-AL"/>
        </w:rPr>
        <w:t>ë</w:t>
      </w:r>
      <w:r w:rsidR="00D94C43" w:rsidRPr="00F74CCD">
        <w:rPr>
          <w:lang w:val="sq-AL"/>
        </w:rPr>
        <w:t>n 07.05.2018</w:t>
      </w:r>
      <w:r w:rsidRPr="00F74CCD">
        <w:rPr>
          <w:lang w:val="sq-AL"/>
        </w:rPr>
        <w:t xml:space="preserve"> janë dërguar për gjykim në Gjykatën e Rrethit Gjyqësor Tiranë, e cila</w:t>
      </w:r>
      <w:r w:rsidR="000B02AF" w:rsidRPr="00F74CCD">
        <w:rPr>
          <w:lang w:val="sq-AL"/>
        </w:rPr>
        <w:t>,</w:t>
      </w:r>
      <w:r w:rsidRPr="00F74CCD">
        <w:rPr>
          <w:lang w:val="sq-AL"/>
        </w:rPr>
        <w:t xml:space="preserve"> me vendimin nr. 294</w:t>
      </w:r>
      <w:r w:rsidR="00D94C43" w:rsidRPr="00F74CCD">
        <w:rPr>
          <w:lang w:val="sq-AL"/>
        </w:rPr>
        <w:t>,</w:t>
      </w:r>
      <w:r w:rsidRPr="00F74CCD">
        <w:rPr>
          <w:lang w:val="sq-AL"/>
        </w:rPr>
        <w:t xml:space="preserve"> </w:t>
      </w:r>
      <w:r w:rsidR="00D94C43" w:rsidRPr="00F74CCD">
        <w:rPr>
          <w:lang w:val="sq-AL"/>
        </w:rPr>
        <w:t>dat</w:t>
      </w:r>
      <w:r w:rsidR="00FD165D" w:rsidRPr="00F74CCD">
        <w:rPr>
          <w:lang w:val="sq-AL"/>
        </w:rPr>
        <w:t>ë</w:t>
      </w:r>
      <w:r w:rsidRPr="00F74CCD">
        <w:rPr>
          <w:lang w:val="sq-AL"/>
        </w:rPr>
        <w:t xml:space="preserve"> 06.02.2019</w:t>
      </w:r>
      <w:r w:rsidR="000B02AF" w:rsidRPr="00F74CCD">
        <w:rPr>
          <w:lang w:val="sq-AL"/>
        </w:rPr>
        <w:t>,</w:t>
      </w:r>
      <w:r w:rsidRPr="00F74CCD">
        <w:rPr>
          <w:lang w:val="sq-AL"/>
        </w:rPr>
        <w:t xml:space="preserve"> ka vendosur: </w:t>
      </w:r>
      <w:r w:rsidRPr="00F74CCD">
        <w:rPr>
          <w:i/>
          <w:iCs/>
          <w:lang w:val="sq-AL"/>
        </w:rPr>
        <w:t>“Deklarimin e pafajshëm të të pandehurit Igli Hilmi Gugashi për kryerjen e veprës penale "Shpërdorimi i detyrës" të parashikuar nga neni 248 i K</w:t>
      </w:r>
      <w:r w:rsidR="00D94C43" w:rsidRPr="00F74CCD">
        <w:rPr>
          <w:i/>
          <w:iCs/>
          <w:lang w:val="sq-AL"/>
        </w:rPr>
        <w:t>odit</w:t>
      </w:r>
      <w:r w:rsidRPr="00F74CCD">
        <w:rPr>
          <w:i/>
          <w:iCs/>
          <w:lang w:val="sq-AL"/>
        </w:rPr>
        <w:t>.Penal. Deklarimin e pafajshëm të të pandehurit Julian Dashamir Bregu për kryerjen e veprës penale "Mashtrimi" të parashikuar nga neni 143 i K</w:t>
      </w:r>
      <w:r w:rsidR="00D94C43" w:rsidRPr="00F74CCD">
        <w:rPr>
          <w:i/>
          <w:iCs/>
          <w:lang w:val="sq-AL"/>
        </w:rPr>
        <w:t xml:space="preserve">odit </w:t>
      </w:r>
      <w:r w:rsidRPr="00F74CCD">
        <w:rPr>
          <w:i/>
          <w:iCs/>
          <w:lang w:val="sq-AL"/>
        </w:rPr>
        <w:t>Penal</w:t>
      </w:r>
      <w:r w:rsidR="000B02AF" w:rsidRPr="00F74CCD">
        <w:rPr>
          <w:i/>
          <w:iCs/>
          <w:lang w:val="sq-AL"/>
        </w:rPr>
        <w:t xml:space="preserve"> </w:t>
      </w:r>
      <w:r w:rsidRPr="00F74CCD">
        <w:rPr>
          <w:i/>
          <w:iCs/>
          <w:lang w:val="sq-AL"/>
        </w:rPr>
        <w:t>...”</w:t>
      </w:r>
      <w:r w:rsidR="000B02AF" w:rsidRPr="00F74CCD">
        <w:rPr>
          <w:iCs/>
          <w:lang w:val="sq-AL"/>
        </w:rPr>
        <w:t>.</w:t>
      </w:r>
      <w:r w:rsidRPr="00F74CCD">
        <w:rPr>
          <w:i/>
          <w:iCs/>
          <w:lang w:val="sq-AL"/>
        </w:rPr>
        <w:t xml:space="preserve"> </w:t>
      </w:r>
    </w:p>
    <w:p w14:paraId="15BCD2E7" w14:textId="22F1710E" w:rsidR="00E41504" w:rsidRPr="00F74CCD" w:rsidRDefault="00E41504" w:rsidP="00F74CCD">
      <w:pPr>
        <w:pStyle w:val="NormalWeb"/>
        <w:numPr>
          <w:ilvl w:val="1"/>
          <w:numId w:val="35"/>
        </w:numPr>
        <w:tabs>
          <w:tab w:val="left" w:pos="990"/>
        </w:tabs>
        <w:spacing w:before="0" w:beforeAutospacing="0" w:after="0" w:afterAutospacing="0"/>
        <w:ind w:left="0" w:firstLine="540"/>
        <w:jc w:val="both"/>
        <w:rPr>
          <w:i/>
          <w:iCs/>
          <w:color w:val="000000"/>
          <w:lang w:val="sq-AL"/>
        </w:rPr>
      </w:pPr>
      <w:r w:rsidRPr="00F74CCD">
        <w:rPr>
          <w:color w:val="000000"/>
          <w:lang w:val="sq-AL"/>
        </w:rPr>
        <w:t xml:space="preserve">Ndaj këtij vendimi ka ushtruar apel prokurori i cili ka kërkuar ndryshimin e vendimit dhe deklarimin fajtor të dy të pandehurve </w:t>
      </w:r>
      <w:r w:rsidR="00D94C43" w:rsidRPr="00F74CCD">
        <w:rPr>
          <w:lang w:val="sq-AL"/>
        </w:rPr>
        <w:t>Igli Hilmi Gugashi</w:t>
      </w:r>
      <w:r w:rsidRPr="00F74CCD">
        <w:rPr>
          <w:color w:val="000000"/>
          <w:lang w:val="sq-AL"/>
        </w:rPr>
        <w:t xml:space="preserve"> dhe </w:t>
      </w:r>
      <w:r w:rsidR="00D94C43" w:rsidRPr="00F74CCD">
        <w:rPr>
          <w:lang w:val="sq-AL"/>
        </w:rPr>
        <w:t>Julian Dashamir Bregu</w:t>
      </w:r>
      <w:r w:rsidRPr="00F74CCD">
        <w:rPr>
          <w:color w:val="000000"/>
          <w:lang w:val="sq-AL"/>
        </w:rPr>
        <w:t xml:space="preserve"> për veprat penale për të cilat</w:t>
      </w:r>
      <w:r w:rsidR="00D94C43" w:rsidRPr="00F74CCD">
        <w:rPr>
          <w:color w:val="000000"/>
          <w:lang w:val="sq-AL"/>
        </w:rPr>
        <w:t xml:space="preserve"> jan</w:t>
      </w:r>
      <w:r w:rsidR="00FD165D" w:rsidRPr="00F74CCD">
        <w:rPr>
          <w:color w:val="000000"/>
          <w:lang w:val="sq-AL"/>
        </w:rPr>
        <w:t>ë</w:t>
      </w:r>
      <w:r w:rsidR="00D94C43" w:rsidRPr="00F74CCD">
        <w:rPr>
          <w:color w:val="000000"/>
          <w:lang w:val="sq-AL"/>
        </w:rPr>
        <w:t xml:space="preserve"> akuzuar</w:t>
      </w:r>
      <w:r w:rsidRPr="00F74CCD">
        <w:rPr>
          <w:color w:val="000000"/>
          <w:lang w:val="sq-AL"/>
        </w:rPr>
        <w:t>.</w:t>
      </w:r>
    </w:p>
    <w:p w14:paraId="26BA2D95" w14:textId="77777777" w:rsidR="00E41504" w:rsidRPr="00F74CCD" w:rsidRDefault="00E41504" w:rsidP="00F74CCD">
      <w:pPr>
        <w:jc w:val="both"/>
        <w:rPr>
          <w:rFonts w:ascii="Times New Roman" w:hAnsi="Times New Roman"/>
          <w:i/>
          <w:iCs/>
          <w:color w:val="000000"/>
        </w:rPr>
      </w:pPr>
    </w:p>
    <w:p w14:paraId="4F7372D0" w14:textId="02EACC5B" w:rsidR="00E41504" w:rsidRPr="00F74CCD" w:rsidRDefault="00E41504" w:rsidP="00F74CCD">
      <w:pPr>
        <w:jc w:val="both"/>
        <w:rPr>
          <w:rFonts w:ascii="Times New Roman" w:hAnsi="Times New Roman"/>
          <w:b/>
          <w:bCs/>
        </w:rPr>
      </w:pPr>
      <w:r w:rsidRPr="00F74CCD">
        <w:rPr>
          <w:rFonts w:ascii="Times New Roman" w:hAnsi="Times New Roman"/>
          <w:b/>
          <w:bCs/>
        </w:rPr>
        <w:t>Faktet objekt i procedimit penal nr.</w:t>
      </w:r>
      <w:r w:rsidR="003B34C0" w:rsidRPr="00F74CCD">
        <w:rPr>
          <w:rFonts w:ascii="Times New Roman" w:hAnsi="Times New Roman"/>
          <w:b/>
          <w:bCs/>
        </w:rPr>
        <w:t xml:space="preserve"> </w:t>
      </w:r>
      <w:r w:rsidRPr="00F74CCD">
        <w:rPr>
          <w:rFonts w:ascii="Times New Roman" w:hAnsi="Times New Roman"/>
          <w:b/>
          <w:bCs/>
        </w:rPr>
        <w:t>7966/2017.</w:t>
      </w:r>
    </w:p>
    <w:p w14:paraId="37EC95ED" w14:textId="5B817C66" w:rsidR="006C6CB2" w:rsidRPr="00F74CCD" w:rsidRDefault="00E41504" w:rsidP="00F74CCD">
      <w:pPr>
        <w:pStyle w:val="ListParagraph"/>
        <w:numPr>
          <w:ilvl w:val="0"/>
          <w:numId w:val="35"/>
        </w:numPr>
        <w:tabs>
          <w:tab w:val="left" w:pos="900"/>
        </w:tabs>
        <w:ind w:left="0" w:firstLine="540"/>
        <w:jc w:val="both"/>
        <w:rPr>
          <w:sz w:val="24"/>
          <w:szCs w:val="24"/>
        </w:rPr>
      </w:pPr>
      <w:r w:rsidRPr="00F74CCD">
        <w:rPr>
          <w:sz w:val="24"/>
          <w:szCs w:val="24"/>
        </w:rPr>
        <w:t xml:space="preserve">Në </w:t>
      </w:r>
      <w:r w:rsidR="00D94C43" w:rsidRPr="00F74CCD">
        <w:rPr>
          <w:sz w:val="24"/>
          <w:szCs w:val="24"/>
        </w:rPr>
        <w:t>dat</w:t>
      </w:r>
      <w:r w:rsidR="00FD165D" w:rsidRPr="00F74CCD">
        <w:rPr>
          <w:sz w:val="24"/>
          <w:szCs w:val="24"/>
        </w:rPr>
        <w:t>ë</w:t>
      </w:r>
      <w:r w:rsidR="00D94C43" w:rsidRPr="00F74CCD">
        <w:rPr>
          <w:sz w:val="24"/>
          <w:szCs w:val="24"/>
        </w:rPr>
        <w:t>n</w:t>
      </w:r>
      <w:r w:rsidRPr="00F74CCD">
        <w:rPr>
          <w:sz w:val="24"/>
          <w:szCs w:val="24"/>
        </w:rPr>
        <w:t xml:space="preserve"> 18.09.2017, ndërkohë që vijonin hetimet në lidhje me procedimin penal nr. 9704/2016, në Prokurorinë e Rrethit Gjyqësor Tiranë </w:t>
      </w:r>
      <w:r w:rsidR="00FD165D" w:rsidRPr="00F74CCD">
        <w:rPr>
          <w:sz w:val="24"/>
          <w:szCs w:val="24"/>
        </w:rPr>
        <w:t>ë</w:t>
      </w:r>
      <w:r w:rsidR="00D94C43" w:rsidRPr="00F74CCD">
        <w:rPr>
          <w:sz w:val="24"/>
          <w:szCs w:val="24"/>
        </w:rPr>
        <w:t>sht</w:t>
      </w:r>
      <w:r w:rsidR="00FD165D" w:rsidRPr="00F74CCD">
        <w:rPr>
          <w:sz w:val="24"/>
          <w:szCs w:val="24"/>
        </w:rPr>
        <w:t>ë</w:t>
      </w:r>
      <w:r w:rsidR="00D94C43" w:rsidRPr="00F74CCD">
        <w:rPr>
          <w:sz w:val="24"/>
          <w:szCs w:val="24"/>
        </w:rPr>
        <w:t xml:space="preserve"> </w:t>
      </w:r>
      <w:r w:rsidRPr="00F74CCD">
        <w:rPr>
          <w:sz w:val="24"/>
          <w:szCs w:val="24"/>
        </w:rPr>
        <w:t>regjistr</w:t>
      </w:r>
      <w:r w:rsidR="00D94C43" w:rsidRPr="00F74CCD">
        <w:rPr>
          <w:sz w:val="24"/>
          <w:szCs w:val="24"/>
        </w:rPr>
        <w:t xml:space="preserve">uar </w:t>
      </w:r>
      <w:r w:rsidRPr="00F74CCD">
        <w:rPr>
          <w:sz w:val="24"/>
          <w:szCs w:val="24"/>
        </w:rPr>
        <w:t>një kallëzim tjetër penal, kallëzimi nr.12310 i kallëzueses Renata Kiri</w:t>
      </w:r>
      <w:r w:rsidR="00D94C43" w:rsidRPr="00F74CCD">
        <w:rPr>
          <w:sz w:val="24"/>
          <w:szCs w:val="24"/>
        </w:rPr>
        <w:t>,</w:t>
      </w:r>
      <w:r w:rsidRPr="00F74CCD">
        <w:rPr>
          <w:sz w:val="24"/>
          <w:szCs w:val="24"/>
        </w:rPr>
        <w:t xml:space="preserve"> ndaj shtetasit Julian Bregu për veprën penale “Mashtrimi”</w:t>
      </w:r>
      <w:r w:rsidR="003B34C0" w:rsidRPr="00F74CCD">
        <w:rPr>
          <w:sz w:val="24"/>
          <w:szCs w:val="24"/>
        </w:rPr>
        <w:t>,</w:t>
      </w:r>
      <w:r w:rsidRPr="00F74CCD">
        <w:rPr>
          <w:sz w:val="24"/>
          <w:szCs w:val="24"/>
        </w:rPr>
        <w:t xml:space="preserve"> parashikuar nga neni 143 i K</w:t>
      </w:r>
      <w:r w:rsidR="00D94C43" w:rsidRPr="00F74CCD">
        <w:rPr>
          <w:sz w:val="24"/>
          <w:szCs w:val="24"/>
        </w:rPr>
        <w:t xml:space="preserve">odit </w:t>
      </w:r>
      <w:r w:rsidRPr="00F74CCD">
        <w:rPr>
          <w:sz w:val="24"/>
          <w:szCs w:val="24"/>
        </w:rPr>
        <w:t xml:space="preserve">Penal. </w:t>
      </w:r>
    </w:p>
    <w:p w14:paraId="37121074" w14:textId="77777777" w:rsidR="006C6CB2" w:rsidRPr="00F74CCD" w:rsidRDefault="00E41504" w:rsidP="00F74CCD">
      <w:pPr>
        <w:pStyle w:val="ListParagraph"/>
        <w:numPr>
          <w:ilvl w:val="1"/>
          <w:numId w:val="35"/>
        </w:numPr>
        <w:tabs>
          <w:tab w:val="left" w:pos="990"/>
        </w:tabs>
        <w:ind w:left="0" w:firstLine="540"/>
        <w:jc w:val="both"/>
        <w:rPr>
          <w:sz w:val="24"/>
          <w:szCs w:val="24"/>
        </w:rPr>
      </w:pPr>
      <w:r w:rsidRPr="00F74CCD">
        <w:rPr>
          <w:sz w:val="24"/>
          <w:szCs w:val="24"/>
        </w:rPr>
        <w:t xml:space="preserve">Në kallëzimin e saj kjo shtetase ka pretenduar se: </w:t>
      </w:r>
      <w:r w:rsidRPr="00F74CCD">
        <w:rPr>
          <w:i/>
          <w:iCs/>
          <w:sz w:val="24"/>
          <w:szCs w:val="24"/>
        </w:rPr>
        <w:t>“Nëna më ka lënë në trashëgim një pronë të ndodhur në Rr.“Donika Kastrioti”, Tiranë, konkretisht truall me sipërfaqe 258,60 m</w:t>
      </w:r>
      <w:r w:rsidRPr="00F74CCD">
        <w:rPr>
          <w:i/>
          <w:iCs/>
          <w:sz w:val="24"/>
          <w:szCs w:val="24"/>
          <w:vertAlign w:val="superscript"/>
        </w:rPr>
        <w:t>2</w:t>
      </w:r>
      <w:r w:rsidRPr="00F74CCD">
        <w:rPr>
          <w:i/>
          <w:iCs/>
          <w:sz w:val="24"/>
          <w:szCs w:val="24"/>
        </w:rPr>
        <w:t>, pasuria me nr.3/514, vol 69, faqe 236, ZK 8270, pronë e regjistruar me Nr.889, datë 28.09.2010. Po kështu kam trashëguar edhe objektin vilë 1/1, me nr.pasurie 3/247-B1, Vol 34, fq 87, me sipërfaqe 332 m</w:t>
      </w:r>
      <w:r w:rsidRPr="00F74CCD">
        <w:rPr>
          <w:i/>
          <w:iCs/>
          <w:sz w:val="24"/>
          <w:szCs w:val="24"/>
          <w:vertAlign w:val="superscript"/>
        </w:rPr>
        <w:t>2</w:t>
      </w:r>
      <w:r w:rsidRPr="00F74CCD">
        <w:rPr>
          <w:i/>
          <w:iCs/>
          <w:sz w:val="24"/>
          <w:szCs w:val="24"/>
        </w:rPr>
        <w:t>, ZK 8270 të ndodhur në rrugën “Donika Kastrioti”, që ndodhet mbi truallin e sipërcituar + bodrum me sipërfaqe 32 m</w:t>
      </w:r>
      <w:r w:rsidRPr="00F74CCD">
        <w:rPr>
          <w:i/>
          <w:iCs/>
          <w:sz w:val="24"/>
          <w:szCs w:val="24"/>
          <w:vertAlign w:val="superscript"/>
        </w:rPr>
        <w:t>2</w:t>
      </w:r>
      <w:r w:rsidRPr="00F74CCD">
        <w:rPr>
          <w:i/>
          <w:iCs/>
          <w:sz w:val="24"/>
          <w:szCs w:val="24"/>
        </w:rPr>
        <w:t xml:space="preserve">. Pasuritë e mësipërme, kam vendosur t’i shes dhe midis shumë personave të ofruar për blerjen e pasurive, kam kontraktuar të pandehurin Julian Bregu. Shtetasi Julian Bregu ushtronte biznes ngjitur me pronën time, kishte një bar-kafe dhe një biznes tjetër. Nisur nga fakti që ishim fqinj kemi zhvilluar bisedime me njëri-tjetrin lidhur me blerjen e pasurive të mia. Njohja me këtë person u bë në fund të vitit 2013. Takimet në lidhje me shitblerjen e vilës ku banoja, janë bërë në klubin e tij, ngjitur me banesën time. Na u paraqit si një biznesmen i fuqishëm në fushën e kafesë, ku me shoqërinë e tij “Enti-08”, kishte ecur shumë përpara. Në një takim të radhës na propozoi blerjen e pronës me qëllim për të kthyer banesën në hotel, duke i bërë rikonstruksionin e duhur…” Në vijim kallëzuesja pretendon se duke menduar se i pandehuri ishte një djalë i ri, me ambicie për punën dhe duke u prezantuar si një biznesmen i fuqishëm në fushën e kafesë, ka vlerësuar se është një person serioz për të hyrë në marrëdhënie kontraktore. Më tej kallëzuesja deklaron se nga i pandehuri Julian Bregu është propozuar që prona do të blihej së bashku me djalin e tezes së tij shtetasin Oltion Buneci, i cili punonte në Greqi. Duke parë interesimin e vazhdueshëm të të pandehurit për blerjen e pronës, me datë 21.05.2014 është nënshkruar kontrata me nr.1139 Rep dhe 305/2 Kol me titull “Shitje pasurie e paluajtshme-truall dhe bodrum-shitje me </w:t>
      </w:r>
      <w:r w:rsidRPr="00F74CCD">
        <w:rPr>
          <w:i/>
          <w:iCs/>
          <w:sz w:val="24"/>
          <w:szCs w:val="24"/>
        </w:rPr>
        <w:lastRenderedPageBreak/>
        <w:t xml:space="preserve">rezervë”. Sipas kontratës palë shitëse ka qenë viktima Renata Kiri dhe palë blerëse i pandehuri Julian Bregu dhe shtetasi Oltion Buneci. Çmimi total i shitjes është përcaktuar 400.000 mijë Euro dhe çmimi do të paguhej me tre këste: a) brenda muajit Maj 2014 do paguhej shuma 50.000 Euro, por në fakt do paguheshin 29 mijë Euro sepse pjesa tjetër 21.000 Euro ishte marrë cash më parë nga kallëzuesja. Shuma 150 mijë Euro do të shlyhej brenda Qershor 2014, c) shuma tjetër e mbetur 200 mijë Euro do të paguhej brenda një viti nga nënshkrimi i kontratës; Viktima në kallëzim ka pretenduar se nuk është ekzekutuar kontrata sipas mënyrës së rënë dakord dhe nga i pandehuri janë paguar në llogarinë time në BKT shumat 6.000 mijë, 3.000 mijë dhe 9.000 mijë Euro. Duke parë se ekzekutimi po bëhej në shuma të vogla dhe jo sipas kontratës, kallëzuesja ka kërkuar sqarime për mos korrektësinë e të pandehurit Julian Bregu. Sipas kallëzueses nga ana e të pandehurit i është dhënë një mandat pagese, sikur i ishte paguar në BKT shuma 5.000 Euro, por që më pas ka rezultuar si dokument i parregullt. Viktima pretendon se me këtë dokument filloi kalvari i mashtrimeve të të pandehurit Julian Bregu ndaj saj. Për të qenë më i bindshëm se kishte vullnetin për të përmbushur detyrimet ndaj viktimës, i pandehuri dhe viktima Renata Kiri kanë nënshkruar kontratën e huasë me nr.2489 Rep dhe 159/4 Kol, datë 17.11.2015 ku përcaktohej se viktima i kishte dhënë hua të pandehurit Julian Bregu shumën 200.000 Euro. Duke parë që i pandehuri i shmangej pagesës së detyrimeve, viktima ka komunikuar vazhdimisht me të duke i thënë se po e mashtronte. I pandehuri ka vijuar të paguajë shuma qesharake si 100 Euro dhe më e madhja 1000 Euro. Viktima pretendon se i pandehuri ka filluar të justifikohej për ecurinë jo të mirë të biznesit të tij dhe problemet e ndryshme që kishte, duke nxjerrë si shkak proceset gjyqësore të shumta dhe detyrimet që i kishin debitorët atij. Në vijim, i është kërkuar zgjidhja e kontratës dhe kthimi në gjendjen fillestare. Përballë kërkesës së bërë nga viktima, i pandehuri i ka thënë se po mundohet të gjejë një kredi dhe më të do të shlyente detyrimet ndaj viktimës. Po kështu, i pandehuri Julian Bregu nga mesi i muajit Dhjetor 2014, i ka kërkuar të fillojë punimet në banesën e viktimës dhe i ka kërkuar të largohej. Në këmbim i pandehuri viktimës dhe bashkëjetuesit të saj i ka ofruar apartamentin e tij, të ndodhur pranë qendrës “Kristal”. Viktima ka pranuar dhe në fund të Janarit 2015 ka vijuar të jetojë me bashkëjetuesin e saj në këtë apartament. Vlera e apartamentit do të zbritej nga detyrimi total që kishte i pandehuri në kontratë. Për të krijuar bindjen që ishte duke u marrë me rikonstruksionin e vilës, herë pas here i pandehuri ju ka prezantuar herë pas here arkitektë nga zyra projektuese për të dhënë variantin më të mirë të shfrytëzimit të banesës (vilës). I pandehuri Julian Bregu më tej ju ka kërkuar të nxirrnin lejen pranë organeve kompetente për rikonstruksionin e banesës tek Njësia Përkatëse Administrative dhe viktima deklaron se ka marrë një leje të tillë dhe ja ka dorëzuar të pandehurit Julian Bregu. Viktima pretendon se pa pëlqimin e saj dhe pa dijeninë e saj, i pandehuri i ka vënë në dispozicion çertifikatën e pronësisë për apartamentin në të cilin qëndronte tek kompleksi “Kristal”, e cila mban datën 17.02.2015, ku sipas saj viktima Renata Kiri është pronare e pasurisë me nr.6/381+1-42, volumi 120, faqe 76. Më vonë viktima ka ardhur në dijeni se apartamenti i sipërcituar nuk ka qenë në pronësi të të pandehurit Julian Bregu, por të prindërve të tij. Në kallëzim viktima deklaron se pas shpinës së saj është hartuar një kontratë shkëmbimi midis saj dhe prindërve të të pandehurit shtetasit Dashamir Bregu dhe Alma Bregu. Sipas kësaj kontrate, viktima shkëmbente banesën, vilën 1/1 me apartamentin e prindërve të tij dhe se në fakt i është dorëzuar një banesë tjetër që nuk përputhet me atë të përshkruar në kontratë, por një banesë përballë saj. Këtë fakt kallëzuesja e ka mësuar në vitin 2017 pas interesimeve në ZVRPP Tiranë. Në bazë të veprimit juridik të mësipërm, viktima shpjegon në kallëzim se prindërit e të pandehurit Julian Bregu, shtetasit Dashamir dhe Alma Bregu u bënë pronarë të banesës së saj, ajo mbeti pronare e vetme e truallit dhe i pandehuri Julian Bregu dhe Oltion Buneci, blerës në bazë të kontratës së shitblerjes së datës 21.05.2014. Kështu në vijim të strategjisë së tij mashtruese, viktima pretendon se i pandehuri Julian Bregu në muajin Nëntor 2015, pasi disa muajve takime, biseda dhe sms, ku e zvarriste pagesën e kontratës, i ka thënë </w:t>
      </w:r>
      <w:r w:rsidRPr="00F74CCD">
        <w:rPr>
          <w:i/>
          <w:iCs/>
          <w:sz w:val="24"/>
          <w:szCs w:val="24"/>
        </w:rPr>
        <w:lastRenderedPageBreak/>
        <w:t xml:space="preserve">që ka gjetur një mundësi për të marrë një kredi në shumën 300.000 Euro, fakt i cili më vonë ka rezultuar i pavërtetë. Më tej, nga fundi i muajit Nëntor i pandehuri i ka thënë viktimës se i ka gjetur paratë, të cilat do t’i merrte nga shoqëria “UFO” SHPK, sepse sipas tij, babai i tij Dashamir Bregu e kishte mik të ngushtë Z.Astrit Veliaj (pronari i “UFO”). Viktima shumë vonë ka mësuar se Z.Julian Bregu kishte bërë një marrëveshje me shoqërinë “UFO”, ku kjo shoqëri del si palë blerëse dhe shfaqet për herë të parë emërtimi i ri të pandehurit Julian Bregu dhe Oltion Bunesi, si palë miratuese të aktit, janë këta të fundit që japin pëlqimin po ose jo se çfarë do të ndodhte mbi pronën e saj. Nën presionin psikologjik dhe herë pas here të bërë nga i pandehuri Julian Bregu, i është paraqitur një kontratë për ta nënshkruar, e cila duhej nënshkruar patjetër, pasi në të kundërt nuk merreshin paratë nga shoqëria “UFO” SHPK. Verbalisht palët kanë rënë dakord që shuma do të kalonte në llogarinë e të pandehurit Julian Bregu dhe më pas ky i fundit do t’i kalonte në llogarinë e viktimës Renata Kiri. Viktima ka pretenduar se ka qenë e mashtruar dhe ka nënshkruar një kontratë tjetër, ku objekt i saj ishte vetëm shitja e bodrumit shoqërisë “UFO” SHPK, kontratë me nr.5846 Rep dhe Nr.1782 Kol, datë 20.11.2015. Po kështu, viktima ka shpjeguar në kallëzim se midis të pandehurit Julian Bregu dhe shoqërisë “UFO” SHPK kanë vijuar bisedat, dhe në fund të muajit Tetor 2016 ka mësuar se i pandehuri kishte marrë një apartament me vlerë 140.000.000 (njëqind e dyzet milionë) të vjetra, të cilin e ka kaluar në emër të prindërve të tij direkte, pa vënë në dijeni viktimën. Duke qenë në mosmarrëveshje me “djalin e tezes së tij”, shtetasin Oltion Buneci, fakt që ka rezultuar i pavërtetë, i pandehuri ka hartuar një shtesë kontratë me nr.134 Rep dhe 36 Kol, datë 11.01.2016. Viktima shpjegon se është bërë ndarja e shumës së dhënë nga shoqëria “UFO” SHPK, shuma 100.000 mijë Euro, dhe se asaj i janë ngarkuar dhe detyrimet tatimore në masën 15%, pra 15% e shumës 40.000 Euro. Në nenin 2 të kësaj kontrate bëhet një ndryshim, i cili në thelb, konsiston në faktin që çdo marrëveshje e palëve e bërë para datës 20.11.2015 konsiderohet nul dhe bëhet e pavlefshme dhe duke mos e kufizuar dhe barrësuar këtë pronë me asnjë detyrim të lindur para datës 20.11.2015. Pas shitjes së bodrumit tek shoqëria “UFO” SHPK, i pandehuri ka kërkuar që të shlyente me çdo kusht detyrimet që kishte ndaj shtetasit Oltion Buneci dhe bënte takime të shpeshta me shoqërinë “UFO” SHPK. Viktima pretendon se çdo veprim është kryer pa praninë e saj dhe se më vonë është hartuar kontrata tjetër për shitjen e truallit, pasuria me nr.3/514, e cilësuar truall me sipërfaqe 258,6 m2, në vlerën 400.000 mijë Euro. Viktima pretendon se për të ngatërruar dhe më shumë situatën dhe realitetin mbi pronën, ai bën ndërrimin e titullit të marrëveshjes jo më “Kontratë Shitje”, por e emërton “Deklaratë Noteriale”, nr.1469 Rep dhe nr.3793/1 Kol, datë 11.04.2016. Viktima shpjegon në kallëzim se kjo është marrëveshja e katërt që ka bërë me të pandehurin Julian Bregu për shitjen e pasurive të saj. Sipas viktimës Renata Kiri, këtë deklaratë noteriale, i pandehuri e ka përdorur për të shlyer detyrimet ndaj shtetasit Oltion Buneci, por e detyron atë ligjërisht të heqë dorë nga të qenurit si palë miratuese dhe detyrimet ndaj shtetit 15%, do të paguheshin nga ana e saj. Si palë miratuese e aktit rezulton shoqëria “UFO” SHPK dhe si blerës Julian Bregu dhe Oltion Buneci. Më këto manovrime, viktima pretendon se i pandehuri Julian Bregu ka përgatitur të gjithë mashtrimin e kryer në lidhje me pasuritë e saj. Konkretisht sipas Deklaratës Noteriale janë përcaktuar se si do të bëhej ndarja e kësteve të çmimit të truallit dhe vlerat përkatëse: Kësti i parë në shumën 50.000 Euro, i është paguar asaj dhe nga kjo shumë është paguar detyrimi tatimor në masën 15% pasi asnjë nga palët e tjera nuk ka pranuar ta paguajë; Pjesa tjetër në shumën 50.000 Euro i është paguar Oltion Bunecit dhe në vijim ky shtetas është larguar nga marrëdhëniet kontraktore, duke mbetur si palë miratuese e aktit vetëm i pandehuri Julian Bregu. Kësti i dytë në shumën 150.000 Euro do të shlyhej brenda muajit Mars dhe kësti i tretë brenda muajit Qershor dhe e gjithë shuma do të paguhej në llogarinë e të pandehurit Julian Bregu. Viktima deklaron se kishte bërë një marrëveshje verbale me të pandehurin, në kushtet e presionit psikologjik që shuma e parave të kalonte fillimisht tek i pandehuri Julian Bregu dhe më pas në llogarinë e saj bankare. Asnjë nga këto </w:t>
      </w:r>
      <w:r w:rsidRPr="00F74CCD">
        <w:rPr>
          <w:i/>
          <w:iCs/>
          <w:sz w:val="24"/>
          <w:szCs w:val="24"/>
        </w:rPr>
        <w:lastRenderedPageBreak/>
        <w:t xml:space="preserve">veprime nuk ndodhi realisht, pasi i pandehuri Julian Bregu tërë shumën e kaluar në llogarinë e ka transferuar në llogarinë e babait të tij Dashamir Bregu. Për të krijuar bindjen se paratë e paguara nga shoqëria “UFO” SHPK i ka kaluar në llogarinë e kallëzueses, i pandehuri i ka dërguar me sms mandat arkëtime të Eurove pa treguar destinacionin e marrësit, si dhe sms të pretenduara se janë dërguar nga drejtoresha e bankës, ku gjoja transfertat vononin pasi ishin në shuma të mëdha. Në momentin që viktima është vënë në dijeni se shuma ka kaluar në llogarinë e babait të të pandehurit Julian Bregu, ka marrë masat e saj për të zbuluar përfundimisht mashtrimin e bërë në lidhje me vjedhjen e pasurisë së saj. Me anë të një deklarate noteriale i ka kërkuar shoqërisë “UFO” SHPK të shtyjë në një afat të pacaktuar pagesën e këstit të tretë në shumën 150.000 Euro, kërkesë që është marrë në konsideratë nga kjo shoqëri dhe më pas është ekzekutuar nga ana e përmbaruesit gjyqësor pjesërisht titulli ekzekutiv “Kontratë Huaje”. Viktima në fund deklaron se pas vënies në ekzekutim të titullit ekzekutiv, i pandehuri Julian Bregu ka vijuar me hapjen e proceseve gjyqësore civile për të mbuluar veprimet e tij mashtruese dhe vjedhjen e pronës së saj. </w:t>
      </w:r>
    </w:p>
    <w:p w14:paraId="0B55B241" w14:textId="1EEF900C" w:rsidR="006C6CB2" w:rsidRPr="00F74CCD" w:rsidRDefault="00E41504" w:rsidP="00F74CCD">
      <w:pPr>
        <w:pStyle w:val="ListParagraph"/>
        <w:numPr>
          <w:ilvl w:val="1"/>
          <w:numId w:val="35"/>
        </w:numPr>
        <w:tabs>
          <w:tab w:val="left" w:pos="990"/>
        </w:tabs>
        <w:ind w:left="0" w:firstLine="540"/>
        <w:jc w:val="both"/>
        <w:rPr>
          <w:sz w:val="24"/>
          <w:szCs w:val="24"/>
        </w:rPr>
      </w:pPr>
      <w:r w:rsidRPr="00F74CCD">
        <w:rPr>
          <w:sz w:val="24"/>
          <w:szCs w:val="24"/>
        </w:rPr>
        <w:t>Mbi kallëzimin penal të mësipërm, në d</w:t>
      </w:r>
      <w:r w:rsidR="00D94C43" w:rsidRPr="00F74CCD">
        <w:rPr>
          <w:sz w:val="24"/>
          <w:szCs w:val="24"/>
        </w:rPr>
        <w:t>at</w:t>
      </w:r>
      <w:r w:rsidR="00FD165D" w:rsidRPr="00F74CCD">
        <w:rPr>
          <w:sz w:val="24"/>
          <w:szCs w:val="24"/>
        </w:rPr>
        <w:t>ë</w:t>
      </w:r>
      <w:r w:rsidRPr="00F74CCD">
        <w:rPr>
          <w:sz w:val="24"/>
          <w:szCs w:val="24"/>
        </w:rPr>
        <w:t xml:space="preserve"> 03.10.2017, Prokuroria e Rrethit Gjyqësor Tiranë</w:t>
      </w:r>
      <w:r w:rsidR="003B34C0" w:rsidRPr="00F74CCD">
        <w:rPr>
          <w:sz w:val="24"/>
          <w:szCs w:val="24"/>
        </w:rPr>
        <w:t>,</w:t>
      </w:r>
      <w:r w:rsidRPr="00F74CCD">
        <w:rPr>
          <w:sz w:val="24"/>
          <w:szCs w:val="24"/>
        </w:rPr>
        <w:t xml:space="preserve"> ndërkohë që procedimi penal tjetër</w:t>
      </w:r>
      <w:r w:rsidR="003B34C0" w:rsidRPr="00F74CCD">
        <w:rPr>
          <w:sz w:val="24"/>
          <w:szCs w:val="24"/>
        </w:rPr>
        <w:t xml:space="preserve"> </w:t>
      </w:r>
      <w:r w:rsidR="006C6CB2" w:rsidRPr="00F74CCD">
        <w:rPr>
          <w:sz w:val="24"/>
          <w:szCs w:val="24"/>
        </w:rPr>
        <w:t>(</w:t>
      </w:r>
      <w:r w:rsidR="003B34C0" w:rsidRPr="00F74CCD">
        <w:rPr>
          <w:sz w:val="24"/>
          <w:szCs w:val="24"/>
        </w:rPr>
        <w:t xml:space="preserve">i </w:t>
      </w:r>
      <w:r w:rsidR="006C6CB2" w:rsidRPr="00F74CCD">
        <w:rPr>
          <w:sz w:val="24"/>
          <w:szCs w:val="24"/>
        </w:rPr>
        <w:t>m</w:t>
      </w:r>
      <w:r w:rsidR="00FD165D" w:rsidRPr="00F74CCD">
        <w:rPr>
          <w:sz w:val="24"/>
          <w:szCs w:val="24"/>
        </w:rPr>
        <w:t>ë</w:t>
      </w:r>
      <w:r w:rsidR="003B34C0" w:rsidRPr="00F74CCD">
        <w:rPr>
          <w:sz w:val="24"/>
          <w:szCs w:val="24"/>
        </w:rPr>
        <w:t xml:space="preserve"> </w:t>
      </w:r>
      <w:r w:rsidR="006C6CB2" w:rsidRPr="00F74CCD">
        <w:rPr>
          <w:sz w:val="24"/>
          <w:szCs w:val="24"/>
        </w:rPr>
        <w:t>sip</w:t>
      </w:r>
      <w:r w:rsidR="00FD165D" w:rsidRPr="00F74CCD">
        <w:rPr>
          <w:sz w:val="24"/>
          <w:szCs w:val="24"/>
        </w:rPr>
        <w:t>ë</w:t>
      </w:r>
      <w:r w:rsidR="006C6CB2" w:rsidRPr="00F74CCD">
        <w:rPr>
          <w:sz w:val="24"/>
          <w:szCs w:val="24"/>
        </w:rPr>
        <w:t>r cituar)</w:t>
      </w:r>
      <w:r w:rsidRPr="00F74CCD">
        <w:rPr>
          <w:sz w:val="24"/>
          <w:szCs w:val="24"/>
        </w:rPr>
        <w:t xml:space="preserve"> vijonte hetimin, ka regjistruar një procedim tjetër penal, atë nr. 7966/2017 për veprën penale “Mashtrimi”</w:t>
      </w:r>
      <w:r w:rsidR="003B34C0" w:rsidRPr="00F74CCD">
        <w:rPr>
          <w:sz w:val="24"/>
          <w:szCs w:val="24"/>
        </w:rPr>
        <w:t>,</w:t>
      </w:r>
      <w:r w:rsidRPr="00F74CCD">
        <w:rPr>
          <w:sz w:val="24"/>
          <w:szCs w:val="24"/>
        </w:rPr>
        <w:t xml:space="preserve"> parashikuar nga neni 143/2 i K</w:t>
      </w:r>
      <w:r w:rsidR="00D94C43" w:rsidRPr="00F74CCD">
        <w:rPr>
          <w:sz w:val="24"/>
          <w:szCs w:val="24"/>
        </w:rPr>
        <w:t xml:space="preserve">odit </w:t>
      </w:r>
      <w:r w:rsidRPr="00F74CCD">
        <w:rPr>
          <w:sz w:val="24"/>
          <w:szCs w:val="24"/>
        </w:rPr>
        <w:t>Penal (pa autor). Në vijim të këtij procedimi penal</w:t>
      </w:r>
      <w:r w:rsidR="003B34C0" w:rsidRPr="00F74CCD">
        <w:rPr>
          <w:sz w:val="24"/>
          <w:szCs w:val="24"/>
        </w:rPr>
        <w:t>,</w:t>
      </w:r>
      <w:r w:rsidRPr="00F74CCD">
        <w:rPr>
          <w:sz w:val="24"/>
          <w:szCs w:val="24"/>
        </w:rPr>
        <w:t xml:space="preserve"> me vendimet e </w:t>
      </w:r>
      <w:r w:rsidR="00D94C43" w:rsidRPr="00F74CCD">
        <w:rPr>
          <w:sz w:val="24"/>
          <w:szCs w:val="24"/>
        </w:rPr>
        <w:t>dat</w:t>
      </w:r>
      <w:r w:rsidR="00FD165D" w:rsidRPr="00F74CCD">
        <w:rPr>
          <w:sz w:val="24"/>
          <w:szCs w:val="24"/>
        </w:rPr>
        <w:t>ë</w:t>
      </w:r>
      <w:r w:rsidR="00D94C43" w:rsidRPr="00F74CCD">
        <w:rPr>
          <w:sz w:val="24"/>
          <w:szCs w:val="24"/>
        </w:rPr>
        <w:t>s</w:t>
      </w:r>
      <w:r w:rsidRPr="00F74CCD">
        <w:rPr>
          <w:sz w:val="24"/>
          <w:szCs w:val="24"/>
        </w:rPr>
        <w:t xml:space="preserve"> 31.12.2018</w:t>
      </w:r>
      <w:r w:rsidR="003B34C0" w:rsidRPr="00F74CCD">
        <w:rPr>
          <w:sz w:val="24"/>
          <w:szCs w:val="24"/>
        </w:rPr>
        <w:t>,</w:t>
      </w:r>
      <w:r w:rsidRPr="00F74CCD">
        <w:rPr>
          <w:sz w:val="24"/>
          <w:szCs w:val="24"/>
        </w:rPr>
        <w:t xml:space="preserve"> janë regjistruar në cilësinë e personit nën hetim Igli Gugashi dhe Julian Bregu, i pari për veprën penale të parashikuar nga neni 248 i K</w:t>
      </w:r>
      <w:r w:rsidR="00D94C43" w:rsidRPr="00F74CCD">
        <w:rPr>
          <w:sz w:val="24"/>
          <w:szCs w:val="24"/>
        </w:rPr>
        <w:t xml:space="preserve">odit </w:t>
      </w:r>
      <w:r w:rsidRPr="00F74CCD">
        <w:rPr>
          <w:sz w:val="24"/>
          <w:szCs w:val="24"/>
        </w:rPr>
        <w:t>Penal dhe i dyti për veprën penale të parashikuar nga neni 143/3 i K</w:t>
      </w:r>
      <w:r w:rsidR="00D94C43" w:rsidRPr="00F74CCD">
        <w:rPr>
          <w:sz w:val="24"/>
          <w:szCs w:val="24"/>
        </w:rPr>
        <w:t xml:space="preserve">odit </w:t>
      </w:r>
      <w:r w:rsidRPr="00F74CCD">
        <w:rPr>
          <w:sz w:val="24"/>
          <w:szCs w:val="24"/>
        </w:rPr>
        <w:t xml:space="preserve">Penal. </w:t>
      </w:r>
    </w:p>
    <w:p w14:paraId="2897AA33" w14:textId="6775EFD4" w:rsidR="00B0716D" w:rsidRPr="00F74CCD" w:rsidRDefault="00E41504" w:rsidP="00F74CCD">
      <w:pPr>
        <w:pStyle w:val="ListParagraph"/>
        <w:numPr>
          <w:ilvl w:val="1"/>
          <w:numId w:val="35"/>
        </w:numPr>
        <w:tabs>
          <w:tab w:val="left" w:pos="990"/>
        </w:tabs>
        <w:ind w:left="0" w:firstLine="540"/>
        <w:jc w:val="both"/>
        <w:rPr>
          <w:sz w:val="24"/>
          <w:szCs w:val="24"/>
        </w:rPr>
      </w:pPr>
      <w:r w:rsidRPr="00F74CCD">
        <w:rPr>
          <w:sz w:val="24"/>
          <w:szCs w:val="24"/>
        </w:rPr>
        <w:t>Në kuadër të hetimit të këtij procedimi penal, pasi janë administruar të gjitha aktet e procedimit penal nr. 9704</w:t>
      </w:r>
      <w:r w:rsidR="003B34C0" w:rsidRPr="00F74CCD">
        <w:rPr>
          <w:sz w:val="24"/>
          <w:szCs w:val="24"/>
        </w:rPr>
        <w:t>,</w:t>
      </w:r>
      <w:r w:rsidRPr="00F74CCD">
        <w:rPr>
          <w:sz w:val="24"/>
          <w:szCs w:val="24"/>
        </w:rPr>
        <w:t xml:space="preserve"> të vitit 2016</w:t>
      </w:r>
      <w:r w:rsidR="003B34C0" w:rsidRPr="00F74CCD">
        <w:rPr>
          <w:sz w:val="24"/>
          <w:szCs w:val="24"/>
        </w:rPr>
        <w:t>,</w:t>
      </w:r>
      <w:r w:rsidRPr="00F74CCD">
        <w:rPr>
          <w:sz w:val="24"/>
          <w:szCs w:val="24"/>
        </w:rPr>
        <w:t xml:space="preserve"> dërguar si më sipër për gjykim, </w:t>
      </w:r>
      <w:r w:rsidR="00D94C43" w:rsidRPr="00F74CCD">
        <w:rPr>
          <w:sz w:val="24"/>
          <w:szCs w:val="24"/>
        </w:rPr>
        <w:t>jan</w:t>
      </w:r>
      <w:r w:rsidRPr="00F74CCD">
        <w:rPr>
          <w:sz w:val="24"/>
          <w:szCs w:val="24"/>
        </w:rPr>
        <w:t>ë pyetur viktima e veprës penale, si dhe shtetasit Ferdinant Murati dhe Dashamir Bregu</w:t>
      </w:r>
      <w:r w:rsidR="00D94C43" w:rsidRPr="00F74CCD">
        <w:rPr>
          <w:sz w:val="24"/>
          <w:szCs w:val="24"/>
        </w:rPr>
        <w:t xml:space="preserve"> dhe n</w:t>
      </w:r>
      <w:r w:rsidR="00FD165D" w:rsidRPr="00F74CCD">
        <w:rPr>
          <w:sz w:val="24"/>
          <w:szCs w:val="24"/>
        </w:rPr>
        <w:t>ë</w:t>
      </w:r>
      <w:r w:rsidR="00D94C43" w:rsidRPr="00F74CCD">
        <w:rPr>
          <w:sz w:val="24"/>
          <w:szCs w:val="24"/>
        </w:rPr>
        <w:t xml:space="preserve"> p</w:t>
      </w:r>
      <w:r w:rsidR="00FD165D" w:rsidRPr="00F74CCD">
        <w:rPr>
          <w:sz w:val="24"/>
          <w:szCs w:val="24"/>
        </w:rPr>
        <w:t>ë</w:t>
      </w:r>
      <w:r w:rsidR="00D94C43" w:rsidRPr="00F74CCD">
        <w:rPr>
          <w:sz w:val="24"/>
          <w:szCs w:val="24"/>
        </w:rPr>
        <w:t>rfundim</w:t>
      </w:r>
      <w:r w:rsidRPr="00F74CCD">
        <w:rPr>
          <w:sz w:val="24"/>
          <w:szCs w:val="24"/>
        </w:rPr>
        <w:t xml:space="preserve"> prej prokurorit është konkluduar se: </w:t>
      </w:r>
      <w:r w:rsidRPr="00F74CCD">
        <w:rPr>
          <w:i/>
          <w:iCs/>
          <w:sz w:val="24"/>
          <w:szCs w:val="24"/>
        </w:rPr>
        <w:t>“Nga sa më sipër shihet (duke iu referuar hetimeve të kryera nga prokurorja tjetër), se pretendimet e shtetases Renata Kiri në kuadër të procedimit penal nr. 7966/2017 janë hetuar dhe sqaruar në kuadër të procedimit penal nr. 9704 të vitit 2016, procedim i cili është dërguar për gjykim. Pavarësisht këtij konkluzioni, prokurori ka kërkuar dërgimin për gjyq edhe të procedimit penal nr. 7966/2017 në ngarkim të të pandehurve Igli Gugashi për akuzën e kryerjes së veprës penale të parashikuar nga neni 248 i K.Penal dhe Julian Bregu me akuzën e kryerjes së veprës penale të parashikuar nga neni 143/3 i K.Penal. Kërkesa për dërgimin në gjyq daton më 04.09.2019, ndërkohë që gjykimi i procedimit penal nr. 9704 të vitit 2016, kishte përfunduar në shkallë të parë dhe çështja ndodhej në apel.</w:t>
      </w:r>
      <w:r w:rsidR="00D94C43" w:rsidRPr="00F74CCD">
        <w:rPr>
          <w:i/>
          <w:iCs/>
          <w:sz w:val="24"/>
          <w:szCs w:val="24"/>
        </w:rPr>
        <w:t>”</w:t>
      </w:r>
      <w:r w:rsidR="003B34C0" w:rsidRPr="00F74CCD">
        <w:rPr>
          <w:iCs/>
          <w:sz w:val="24"/>
          <w:szCs w:val="24"/>
        </w:rPr>
        <w:t>.</w:t>
      </w:r>
    </w:p>
    <w:p w14:paraId="3A2E6EC7" w14:textId="2681BF01" w:rsidR="00E41504" w:rsidRPr="00F74CCD" w:rsidRDefault="00E41504" w:rsidP="00F74CCD">
      <w:pPr>
        <w:pStyle w:val="ListParagraph"/>
        <w:numPr>
          <w:ilvl w:val="0"/>
          <w:numId w:val="35"/>
        </w:numPr>
        <w:shd w:val="clear" w:color="auto" w:fill="FFFFFF"/>
        <w:tabs>
          <w:tab w:val="left" w:pos="990"/>
        </w:tabs>
        <w:ind w:left="0" w:firstLine="540"/>
        <w:jc w:val="both"/>
        <w:rPr>
          <w:color w:val="000000"/>
          <w:sz w:val="24"/>
          <w:szCs w:val="24"/>
        </w:rPr>
      </w:pPr>
      <w:r w:rsidRPr="00F74CCD">
        <w:rPr>
          <w:b/>
          <w:bCs/>
          <w:color w:val="000000"/>
          <w:sz w:val="24"/>
          <w:szCs w:val="24"/>
        </w:rPr>
        <w:t>Gjykata e Rrethit Gjyqësor Tiranë</w:t>
      </w:r>
      <w:r w:rsidRPr="00F74CCD">
        <w:rPr>
          <w:color w:val="000000"/>
          <w:sz w:val="24"/>
          <w:szCs w:val="24"/>
        </w:rPr>
        <w:t>, me vendimin nr. 977, datë 12.06.2020</w:t>
      </w:r>
      <w:r w:rsidR="003B34C0" w:rsidRPr="00F74CCD">
        <w:rPr>
          <w:color w:val="000000"/>
          <w:sz w:val="24"/>
          <w:szCs w:val="24"/>
        </w:rPr>
        <w:t>,</w:t>
      </w:r>
      <w:r w:rsidRPr="00F74CCD">
        <w:rPr>
          <w:color w:val="000000"/>
          <w:sz w:val="24"/>
          <w:szCs w:val="24"/>
        </w:rPr>
        <w:t xml:space="preserve"> ka vendosur:</w:t>
      </w:r>
    </w:p>
    <w:p w14:paraId="225C9FE3" w14:textId="77777777" w:rsidR="00E41504" w:rsidRPr="00F74CCD" w:rsidRDefault="00E41504" w:rsidP="00F74CCD">
      <w:pPr>
        <w:pStyle w:val="ListParagraph"/>
        <w:numPr>
          <w:ilvl w:val="0"/>
          <w:numId w:val="36"/>
        </w:numPr>
        <w:ind w:left="540"/>
        <w:jc w:val="both"/>
        <w:rPr>
          <w:color w:val="000000"/>
          <w:sz w:val="24"/>
          <w:szCs w:val="24"/>
        </w:rPr>
      </w:pPr>
      <w:r w:rsidRPr="00F74CCD">
        <w:rPr>
          <w:color w:val="000000"/>
          <w:sz w:val="24"/>
          <w:szCs w:val="24"/>
        </w:rPr>
        <w:t>Deklarimin fajtor të të pandehurit Julian Dashamir Bregu për kryerjen e veprës penale të “Mashtrim”, parashikuar nga neni 143/3 të Kodit Penal dhe dënimin e tij me 6 (gjashtë vjet) burgim.</w:t>
      </w:r>
    </w:p>
    <w:p w14:paraId="566E87E7" w14:textId="2653704D" w:rsidR="00E41504" w:rsidRPr="00F74CCD" w:rsidRDefault="00E41504" w:rsidP="00F74CCD">
      <w:pPr>
        <w:pStyle w:val="ListParagraph"/>
        <w:numPr>
          <w:ilvl w:val="0"/>
          <w:numId w:val="36"/>
        </w:numPr>
        <w:ind w:left="540"/>
        <w:jc w:val="both"/>
        <w:rPr>
          <w:color w:val="000000"/>
          <w:sz w:val="24"/>
          <w:szCs w:val="24"/>
        </w:rPr>
      </w:pPr>
      <w:r w:rsidRPr="00F74CCD">
        <w:rPr>
          <w:color w:val="000000"/>
          <w:sz w:val="24"/>
          <w:szCs w:val="24"/>
        </w:rPr>
        <w:t>Deklarimin e pafajshëm të të pandehurit Igli Hilmi Gugashi për kryerjen e veprës penale "Shpërdorimi i detyrës" të parashikuar nga neni 248 i Kodit Penal</w:t>
      </w:r>
      <w:r w:rsidR="00B0716D" w:rsidRPr="00F74CCD">
        <w:rPr>
          <w:color w:val="000000"/>
          <w:sz w:val="24"/>
          <w:szCs w:val="24"/>
        </w:rPr>
        <w:t>,</w:t>
      </w:r>
      <w:r w:rsidRPr="00F74CCD">
        <w:rPr>
          <w:color w:val="000000"/>
          <w:sz w:val="24"/>
          <w:szCs w:val="24"/>
        </w:rPr>
        <w:t xml:space="preserve"> pasi fakti nuk parashikohet nga ligji si vepër penale.</w:t>
      </w:r>
    </w:p>
    <w:p w14:paraId="69608AD9" w14:textId="77777777" w:rsidR="00E41504" w:rsidRPr="00F74CCD" w:rsidRDefault="00E41504" w:rsidP="00F74CCD">
      <w:pPr>
        <w:pStyle w:val="ListParagraph"/>
        <w:numPr>
          <w:ilvl w:val="0"/>
          <w:numId w:val="36"/>
        </w:numPr>
        <w:ind w:left="540"/>
        <w:jc w:val="both"/>
        <w:rPr>
          <w:rStyle w:val="fontstyle17"/>
          <w:color w:val="000000"/>
          <w:sz w:val="24"/>
          <w:szCs w:val="24"/>
        </w:rPr>
      </w:pPr>
      <w:r w:rsidRPr="00F74CCD">
        <w:rPr>
          <w:color w:val="000000"/>
          <w:sz w:val="24"/>
          <w:szCs w:val="24"/>
        </w:rPr>
        <w:t>Kundër këtij vendimi mund të bëhet ankim në Gjykatën e Apelit Tiranë, brenda 15 (pesëmbëdhjetë) ditëve, duke filluar ky afat nga e nesërmja e shpalljes së këtij vendimi. Për prokurorin në mungesë në shpallje afati i ankimit fillon nga e nesërmja e komunikimit të këtij vendimi nga sekretaria e gjykatës.</w:t>
      </w:r>
    </w:p>
    <w:p w14:paraId="37BB902F" w14:textId="5D97F241" w:rsidR="00E41504" w:rsidRPr="00F74CCD" w:rsidRDefault="00B0716D" w:rsidP="00F74CCD">
      <w:pPr>
        <w:pStyle w:val="NormalWeb"/>
        <w:numPr>
          <w:ilvl w:val="1"/>
          <w:numId w:val="35"/>
        </w:numPr>
        <w:tabs>
          <w:tab w:val="left" w:pos="990"/>
        </w:tabs>
        <w:spacing w:before="0" w:beforeAutospacing="0" w:after="0" w:afterAutospacing="0"/>
        <w:ind w:left="0" w:firstLine="540"/>
        <w:jc w:val="both"/>
        <w:rPr>
          <w:i/>
          <w:iCs/>
          <w:color w:val="000000"/>
          <w:lang w:val="sq-AL"/>
        </w:rPr>
      </w:pPr>
      <w:r w:rsidRPr="00F74CCD">
        <w:rPr>
          <w:color w:val="000000"/>
          <w:lang w:val="sq-AL"/>
        </w:rPr>
        <w:t>Gjykata e Rrethit Gjyqësor Tiranë</w:t>
      </w:r>
      <w:r w:rsidR="003B34C0" w:rsidRPr="00F74CCD">
        <w:rPr>
          <w:color w:val="000000"/>
          <w:lang w:val="sq-AL"/>
        </w:rPr>
        <w:t>,</w:t>
      </w:r>
      <w:r w:rsidRPr="00F74CCD">
        <w:rPr>
          <w:color w:val="000000"/>
          <w:lang w:val="sq-AL"/>
        </w:rPr>
        <w:t xml:space="preserve"> nd</w:t>
      </w:r>
      <w:r w:rsidR="00FD165D" w:rsidRPr="00F74CCD">
        <w:rPr>
          <w:color w:val="000000"/>
          <w:lang w:val="sq-AL"/>
        </w:rPr>
        <w:t>ë</w:t>
      </w:r>
      <w:r w:rsidRPr="00F74CCD">
        <w:rPr>
          <w:color w:val="000000"/>
          <w:lang w:val="sq-AL"/>
        </w:rPr>
        <w:t>r t</w:t>
      </w:r>
      <w:r w:rsidR="00FD165D" w:rsidRPr="00F74CCD">
        <w:rPr>
          <w:color w:val="000000"/>
          <w:lang w:val="sq-AL"/>
        </w:rPr>
        <w:t>ë</w:t>
      </w:r>
      <w:r w:rsidRPr="00F74CCD">
        <w:rPr>
          <w:color w:val="000000"/>
          <w:lang w:val="sq-AL"/>
        </w:rPr>
        <w:t xml:space="preserve"> tjera</w:t>
      </w:r>
      <w:r w:rsidR="003B34C0" w:rsidRPr="00F74CCD">
        <w:rPr>
          <w:color w:val="000000"/>
          <w:lang w:val="sq-AL"/>
        </w:rPr>
        <w:t>,</w:t>
      </w:r>
      <w:r w:rsidRPr="00F74CCD">
        <w:rPr>
          <w:color w:val="000000"/>
          <w:lang w:val="sq-AL"/>
        </w:rPr>
        <w:t xml:space="preserve"> ka arsyetuar: “</w:t>
      </w:r>
      <w:r w:rsidR="003B34C0" w:rsidRPr="00F74CCD">
        <w:rPr>
          <w:color w:val="000000"/>
          <w:lang w:val="sq-AL"/>
        </w:rPr>
        <w:t>.</w:t>
      </w:r>
      <w:r w:rsidR="00305087" w:rsidRPr="00F74CCD">
        <w:rPr>
          <w:color w:val="000000"/>
          <w:lang w:val="sq-AL"/>
        </w:rPr>
        <w:t xml:space="preserve">.., </w:t>
      </w:r>
      <w:r w:rsidR="00E41504" w:rsidRPr="00F74CCD">
        <w:rPr>
          <w:i/>
          <w:iCs/>
          <w:color w:val="000000"/>
          <w:lang w:val="sq-AL"/>
        </w:rPr>
        <w:t>Në lidhje me pretendimin e të pandehurit Bregu për pushimin e çështjes për shkak se për të njëjtat fakte ishte gjykuar një herë,</w:t>
      </w:r>
      <w:r w:rsidR="0007494B" w:rsidRPr="00F74CCD">
        <w:rPr>
          <w:i/>
          <w:iCs/>
          <w:color w:val="000000"/>
          <w:lang w:val="sq-AL"/>
        </w:rPr>
        <w:t xml:space="preserve"> .</w:t>
      </w:r>
      <w:r w:rsidRPr="00F74CCD">
        <w:rPr>
          <w:i/>
          <w:iCs/>
          <w:color w:val="000000"/>
          <w:lang w:val="sq-AL"/>
        </w:rPr>
        <w:t>..</w:t>
      </w:r>
      <w:r w:rsidR="00E41504" w:rsidRPr="00F74CCD">
        <w:rPr>
          <w:color w:val="000000"/>
          <w:lang w:val="sq-AL"/>
        </w:rPr>
        <w:t xml:space="preserve"> </w:t>
      </w:r>
      <w:r w:rsidR="00E41504" w:rsidRPr="00F74CCD">
        <w:rPr>
          <w:i/>
          <w:iCs/>
          <w:color w:val="000000"/>
          <w:lang w:val="sq-AL"/>
        </w:rPr>
        <w:t xml:space="preserve">“Gjykata konstaton se në lidhje me dy kallëzimet e mësipërme, nga ana e Prokurorisë së Rrethit Gjyqësor Tiranë janë zhvilluar paralelisht dy procedime penale të cilat kanë marrë përkatësisht numrat 1704, viti 2016 dhe nr.7966, viti 2017. Për procedimin penal </w:t>
      </w:r>
      <w:r w:rsidR="00E41504" w:rsidRPr="00F74CCD">
        <w:rPr>
          <w:i/>
          <w:iCs/>
          <w:color w:val="000000"/>
          <w:lang w:val="sq-AL"/>
        </w:rPr>
        <w:lastRenderedPageBreak/>
        <w:t>me nr.1704, viti 2016, çështja është dërguar për gjykim në Gjykatën e Rrethit Gjyqësor Tiranë dhe Gjykata e Rrethit Gjyqësor Tiranë me vendimin nr.294, datë 06.02.2019 ka vendosur: “Deklarimin e pafajshëm të të pandehurit Igli Hilmi Gugashi për kryerjen e veprës penale "Shpërdorimi i detyrës" të parashikuar nga neni 248 i K.Penal. Deklarimin e pafajshëm të të pandehurit Julian Dashamir Bregu për kryerjen e veprës penale "Mashtrimi" të parashikuar nga neni 143 i K.Penal”. Nga gjykata u administrua, vërtetim i datës 17.05.2019 i Gjykatës së Apelit Tiranë, sipas të cilit rezulton se çështja e sipërcituar është paraqitur për gjykim në Gjykatën e Apelit Tiranë, me relatore Znj.Shpresa Beçaj dhe pret radhën e gjykimit. Po kështu, në gjykim u administrua, vërtetimi me nr. Extra Prot, datë 16.09.2019 nga Gjykata e Rrethit Gjyqësor Tiranë në të cilin jepen të dhënat e çështjes penale nr.131 RegjThemeltar, datë regjistrimi 27.06.2018 dhe mënyra e përfundimit të saj. Në përmbajtje të vërtetimit rezulton se ndaj vendimit është paraqitur ankim nga Prokuroria e Rrethit Gjyqësor Tiranë dhe aktualisht dosja është në Gjykatën e Apelit Tiranë. Në kushtet sa më sipër, Gjykata vijoi me shqyrtimin e kësaj çështjeje, pasi pavarësisht pretendimeve të të pandehurve, që jemi përpara “gjësë së gjykuar”, duke qenë se dosja ndodhet në Gjykatën e Apelit Tiranë dhe vendimi nuk ka marrë formën e prerë, bazuar në nenin 474 të K.Pr.Penale, gjykata ishte e detyruar të vijonte gjykimin. Referuar nenit 474 të Kodit të Procedurës Penale kur ka dy vendime për të njëjtin fakt, do të ekzekutohet vendimi me dënimin më të lehtë dhe për pasojë të pandehurit kanë mundësinë që në fazën e ekzekutimit të parashtrojnë pretendimet e tyre.</w:t>
      </w:r>
    </w:p>
    <w:p w14:paraId="0D4F2F4B" w14:textId="6DA9F32B" w:rsidR="00E41504" w:rsidRPr="00F74CCD" w:rsidRDefault="00E41504" w:rsidP="00F74CCD">
      <w:pPr>
        <w:pStyle w:val="NormalWeb"/>
        <w:numPr>
          <w:ilvl w:val="1"/>
          <w:numId w:val="35"/>
        </w:numPr>
        <w:tabs>
          <w:tab w:val="left" w:pos="1080"/>
        </w:tabs>
        <w:spacing w:before="0" w:beforeAutospacing="0" w:after="0" w:afterAutospacing="0"/>
        <w:ind w:left="0" w:firstLine="540"/>
        <w:jc w:val="both"/>
        <w:rPr>
          <w:i/>
          <w:iCs/>
          <w:color w:val="000000"/>
          <w:lang w:val="sq-AL"/>
        </w:rPr>
      </w:pPr>
      <w:r w:rsidRPr="00F74CCD">
        <w:rPr>
          <w:i/>
          <w:iCs/>
          <w:color w:val="000000"/>
          <w:lang w:val="sq-AL"/>
        </w:rPr>
        <w:t>Ndërsa në lidhje me fajësinë e të pandehurit Bregu, kjo gjykatë pasi ka pyetur dëshmitarët dhe administruar praktikën shkresore dokumentare, arsyeton ndër të tjerash: “…</w:t>
      </w:r>
      <w:r w:rsidR="0007494B" w:rsidRPr="00F74CCD">
        <w:rPr>
          <w:i/>
          <w:iCs/>
          <w:color w:val="000000"/>
          <w:lang w:val="sq-AL"/>
        </w:rPr>
        <w:t xml:space="preserve"> </w:t>
      </w:r>
      <w:r w:rsidRPr="00F74CCD">
        <w:rPr>
          <w:i/>
          <w:iCs/>
          <w:color w:val="000000"/>
          <w:lang w:val="sq-AL"/>
        </w:rPr>
        <w:t>se fakti që i atribuohet të pandehurit Julian Bregu përmban elementët e anës objektive të figurës së veprës penale të “Mashtrim” parashikuar nga neni 143/3 i Kodit Penal pasi provohet që i pandehuri Julian Bregu t’i ketë paraqitur rrethana të rreme apo fakte si të vërteta kur objektivisht ato nuk janë të tilla shtetases Renata Kiri. Konkretisht gjykata në arritjen e këtij konkluzioni analizoi tërësinë e veprimeve të kryera nga i pandehuri Julian Bregu ndaj viktimës Renata Kiri dhe pasojat që kanë sjellë ato. I pandehuri Julian Bregu që në momentin fillestar të takimit dhe njohjes për herë të parë me viktimën Renata Kiri, i ka prezantuar rrethana të rreme lidhur me aktivitetin që zhvillonte, duke u prezantuar si biznesmen i fuqishëm në fushën e tregtimit të kafesë dhe se kishte ndërmend të investonte në pronën e saj. Ndërkohë nga gjykimi rezultoi se i pandehuri Julian Bregu, në atë periudhë kohore kishte detyrime financiare ndaj shtetasit Oltion Buneci dhe konkretisht u provua se me datë 12.02.2014 është lidhur kontrata e Huasë me nr.396 Rep dhe 137 Kol, me objekt dhënien hua të shumës 50.000 Euro kundrejt kamatës 2.5 % në muaj të shumës së dhënë hua (1250 Euro në muaj), hua e cila ka qenë dhënë me afat 1 (një) vjeçar, afat i cili ka filluar me datë 13.02.2014 dhe ka përfunduar me datë 13.02.2015. Nga sa më sipër rezulton se i pandehuri Julian Bregu para se të nënshkruante kontratën ka qenë i vetëdijshëm që ka detyrime financiare ndaj të tretëve dhe se nuk ishte në gjendje të paguante vlerën për të cilën ishte rënë dakord në kontratë dhe megjithatë ka hyrë në marrëdhënie kontraktore me viktimën për vlerën totale 400.000 Euro. I pandehuri Julian Bregu ka përdorur gënjeshtrën duke pretenduar se shtetasi Oltion Buneci ishte djali i tezes së tij, që punonte në Greqi, fakt i cili gjatë gjykimit ka rezultuar i pavërtetë. Pra, gjykata konstaton se i pandehuri nga pikëpamja objektive ka përdorur një të dhënë të rreme, e cila ka qenë përcaktuese në vullnetin e viktimës Renata Kiri, për nënshkrimin e kontratës së shitjes së pasurisë së paluajtshme të saj.</w:t>
      </w:r>
      <w:r w:rsidR="00B010F3" w:rsidRPr="00F74CCD">
        <w:rPr>
          <w:i/>
          <w:iCs/>
          <w:color w:val="000000"/>
          <w:lang w:val="sq-AL"/>
        </w:rPr>
        <w:t xml:space="preserve"> (...)</w:t>
      </w:r>
      <w:r w:rsidRPr="00F74CCD">
        <w:rPr>
          <w:i/>
          <w:iCs/>
          <w:color w:val="000000"/>
          <w:lang w:val="sq-AL"/>
        </w:rPr>
        <w:t xml:space="preserve">…Nga analiza e provave të debatuara gjatë gjykimit, gjykata vlerëson se i pandehuri Julian Bregu, ka përfshirë në transaksion edhe shtetasin Oltion Buneci, duke pasur si justifikim faktin që ai do të bëhej bashkëpronar mbi pasuritë e mësipërme, në kushtet kur ai i kishte detyrime financiare atij dhe nuk ishte në gjendje t’ia shlyente. Po kështu, gjykata konstaton se i pandehuri ka përdorur gënjeshtrën ndaj viktimës Renata Kiri, pasi afatet e përcaktuara për likuidimin e çmimit janë dukshëm të afërta, për ta bërë atë të besojë se do të ketë një përmbushje të rregullt të detyrimeve, ndërkohë që siç u theksua më lart, i pandehuri </w:t>
      </w:r>
      <w:r w:rsidRPr="00F74CCD">
        <w:rPr>
          <w:i/>
          <w:iCs/>
          <w:color w:val="000000"/>
          <w:lang w:val="sq-AL"/>
        </w:rPr>
        <w:lastRenderedPageBreak/>
        <w:t xml:space="preserve">jo vetëm që nuk kishte kapacitetet financiare të duhura për ta paguar një vlerë të tillë, por rezultonte me detyrime ndaj të tretëve. Nga dëshmia e shtetasit Oltion Buneci, rezultoi se ka qenë i pandehuri Julian Bregu që e ka ftuar atë të bëhet pjesë e transaksionit, duke i premtuar se do të bëhej bashkëpronar mbi pasurinë e paluajtshme objekt kontrate. Shtetasi Oltion Buneci rezultoi se ka pasur për qëllim vetëm të marrë paratë e tij, por nuk është vënë në dijeni nga i pandehuri për veprimet e tjera, </w:t>
      </w:r>
      <w:r w:rsidR="00B010F3" w:rsidRPr="00F74CCD">
        <w:rPr>
          <w:i/>
          <w:iCs/>
          <w:color w:val="000000"/>
          <w:lang w:val="sq-AL"/>
        </w:rPr>
        <w:t>..</w:t>
      </w:r>
      <w:r w:rsidRPr="00F74CCD">
        <w:rPr>
          <w:i/>
          <w:iCs/>
          <w:color w:val="000000"/>
          <w:lang w:val="sq-AL"/>
        </w:rPr>
        <w:t>.gjykata vlerëson se i pandehuri në mënyrë konstante ka përdorur të dhëna të rreme dhe të pavërteta kundrejt viktimës Renata Kiri, pasi i ka paraqitur asaj një mandat pagese, sikur i ishte paguar në BKT shuma 5.000 Euro, por që më pas ka rezultuar si dokument i parregullt, dokument i cili u administrua në gjykim. Ky fakt, vërteton se i pandehuri e ka përdorur këtë dokument për të bindur viktimën se është i predispozuar për të përmbushur detyrimet kontraktore dhe e ka bërë atë të besojë se çdo gjë ishte në rregull. Përmbajtja e këtij dokumenti nuk u kundërshtua nga i pandehuri në gjykim. Po kështu i pandehuri ka qenë iniciuesi për nënshkrimin e kontratës së huasë me nr.2489 Rep dhe 159/4 Kol, datë 17.11.2015 ku përcaktohej se viktima i kishte dhënë hua të pandehurit Julian Bregu shumën 200.000 Euro. Kjo kontratë, në vlerësimin e gjykatës është nënshkruar për të krijuar bindjen tek viktima se kishte vullnetin për të përmbushur detyrimet e tij dhe duke fshehur qëllimet e vërteta. Pra, gjykata konstaton se dhe në këtë kontratë është përdorur gënjeshtra dhe të dhëna të rreme, pasi u provua gjatë gjykimit nga deklarimet e vetë të pandehurit se kontrata ishte fiktive dhe se shuma prej 200.000 Euro nuk u dha asnjëherë, por u hartua me qëllim si garanci kundrejt viktimës për përmbushjen e detyrimeve ndaj saj. Njëkohësisht edhe vetë viktima gjatë dëshmisë së saj e pranoi se kjo shumë nuk ishte dhënë ndonjëherë, por u përdor shuma e përfituar nga kësti i parë i kontratës së shitjes</w:t>
      </w:r>
      <w:r w:rsidR="0007494B" w:rsidRPr="00F74CCD">
        <w:rPr>
          <w:i/>
          <w:iCs/>
          <w:color w:val="000000"/>
          <w:lang w:val="sq-AL"/>
        </w:rPr>
        <w:t xml:space="preserve"> </w:t>
      </w:r>
      <w:r w:rsidRPr="00F74CCD">
        <w:rPr>
          <w:i/>
          <w:iCs/>
          <w:color w:val="000000"/>
          <w:lang w:val="sq-AL"/>
        </w:rPr>
        <w:t xml:space="preserve">…… i pandehuri Julian Bregu duke përdorur gënjeshtrën jo vetëm i është shmangur vazhdimisht detyrimeve, por në mënyrë të vazhdueshme ka përdorur taktika për të krijuar bindjen tek viktima se ajo do të merrte çmimin e pronës së saj. Kështu i pandehuri i gjendur para kërkesës së llogarisë nga ana e viktimës Renata Kiri dhe bashkëjetuesit të saj, ka vijuar të paguajë shuma të vogla si 100, 200, 300, 600 Euro dhe më e madhja 1000 Euro sipas dëshmive të viktimës Renata Kiri dhe Ferdinand Murati, të cituara në pjesën hyrëse. Në vijim i pandehuri, kur i është kërkuar nga viktima që të bëhej zgjidhja e kontratës dhe kthimi në gjendjen fillestare, ka përdorur sërish gënjeshtrën duke i premtuar viktimës se po mundohej të gjente një kredi dhe me të do të shlyente detyrimet ndaj viktimës. Në gjykim nuk rezultoi se i pandehuri të kishte aplikuar për marrjen e ndonjë kredie. </w:t>
      </w:r>
      <w:r w:rsidR="00B010F3" w:rsidRPr="00F74CCD">
        <w:rPr>
          <w:i/>
          <w:iCs/>
          <w:color w:val="000000"/>
          <w:lang w:val="sq-AL"/>
        </w:rPr>
        <w:t>(</w:t>
      </w:r>
      <w:r w:rsidRPr="00F74CCD">
        <w:rPr>
          <w:i/>
          <w:iCs/>
          <w:color w:val="000000"/>
          <w:lang w:val="sq-AL"/>
        </w:rPr>
        <w:t>…</w:t>
      </w:r>
      <w:r w:rsidR="00B010F3" w:rsidRPr="00F74CCD">
        <w:rPr>
          <w:i/>
          <w:iCs/>
          <w:color w:val="000000"/>
          <w:lang w:val="sq-AL"/>
        </w:rPr>
        <w:t>)</w:t>
      </w:r>
      <w:r w:rsidR="0007494B" w:rsidRPr="00F74CCD">
        <w:rPr>
          <w:i/>
          <w:iCs/>
          <w:color w:val="000000"/>
          <w:lang w:val="sq-AL"/>
        </w:rPr>
        <w:t xml:space="preserve"> </w:t>
      </w:r>
      <w:r w:rsidR="00B010F3" w:rsidRPr="00F74CCD">
        <w:rPr>
          <w:i/>
          <w:iCs/>
          <w:color w:val="000000"/>
          <w:lang w:val="sq-AL"/>
        </w:rPr>
        <w:t xml:space="preserve">... </w:t>
      </w:r>
      <w:r w:rsidRPr="00F74CCD">
        <w:rPr>
          <w:i/>
          <w:iCs/>
          <w:color w:val="000000"/>
          <w:lang w:val="sq-AL"/>
        </w:rPr>
        <w:t xml:space="preserve">I pandehuri Julian Bregu nga mesi i muajit Dhjetor 2014, i ka kërkuar të fillojë punimet në banesën e viktimës dhe i ka kërkuar të largohej. Në gjykim u provua fakti se punimet në vilën në pronësi të viktimës nuk u kryen asnjëherë dhe se ky ishte preteksti i përdorur për të larguar viktimën dhe bashkëjetuesin e saj nga objekti ku banonin. Dëshmitari Oltion Buneci pohoi se nuk kishte pasur dijeni se mbi objekt do të kryheshin punime dhe se nuk ishte vënë në dijeni nga i pandehuri për një fakt të tillë. Gjithashtu, u provua fakti se pranë vilës janë paraqitur persona të tjerë për të krijuar bindjen tek viktima se interesi i të pandehurit është që të zhvillojë pronën. Nga dëshmia e dëshmitarit Lorenc Dema, rezultoi se ky i fundit ka qenë së bashku me Vasil Doraçin dhe ka vizituar objektin me shkakun se duhej riparuar. I pandehuri ka përdorur gënjeshtrën kundrejt viktimës Renata Kiri, pasi në këmbim të largimit nga vila, i pandehuri viktimës dhe bashkëjetuesit të saj i ka ofruar apartamentin e tij, të ndodhur pranë qendrës “Kristal”. </w:t>
      </w:r>
      <w:r w:rsidR="00B010F3" w:rsidRPr="00F74CCD">
        <w:rPr>
          <w:i/>
          <w:iCs/>
          <w:color w:val="000000"/>
          <w:lang w:val="sq-AL"/>
        </w:rPr>
        <w:t>(...)</w:t>
      </w:r>
      <w:r w:rsidRPr="00F74CCD">
        <w:rPr>
          <w:i/>
          <w:iCs/>
          <w:color w:val="000000"/>
          <w:lang w:val="sq-AL"/>
        </w:rPr>
        <w:t xml:space="preserve">…Gjykata analizoi se i pandehuri Julian Bregu i ka kërkuar viktimës Renata Kiri në një periudhë shumë të shkurtër kohore kryerjen e veprimeve të njëpasnjëshme noteriale. Nga verifikimi i datave se kur janë kryer veprimet noteriale rezulton se brenda një viti janë nënshkruar më shumë se pesë kontrata noteriale dhe deklarata noteriale, nëpërmjet të cilave i pandehuri Julian Bregu ka bërë ndryshime të njëpasnjëshme të kontratës fillestare dhe copëzimin e njësive në kontrata më vete, me çmime të përcaktuara duke përcaktuar dhe modalitetet e ekzekutimit të tyre. Në të gjitha këto kontrata gjykata vëren se është përdorur e njëjta logjikë, ku qëllimi final është arritja e përfitimeve monetare nga i </w:t>
      </w:r>
      <w:r w:rsidRPr="00F74CCD">
        <w:rPr>
          <w:i/>
          <w:iCs/>
          <w:color w:val="000000"/>
          <w:lang w:val="sq-AL"/>
        </w:rPr>
        <w:lastRenderedPageBreak/>
        <w:t>pandehuri dhe shfrytëzimi i tyre për shlyerjen e borxheve që ai kishte ndaj të tretëve. I pandehuri Julian Bregu ka gënjyer viktimën lidhur me marrëveshjen e blerjes që do të realizohej me shoqërinë “UFO”SHPK, duke i thënë se i ka gjetur paratë, të cilat do t’i merrte nga shoqëria “UFO”SHPK, sepse sipas tij, babai i tij Dashamir Bregu e kishte mik të ngushtë Z.Astrit Veliaj (pronari i “UFO”). Në të vërtetë, i pandehuri Julian Bregu nuk ka vepruar me revokimin e kontratës së mëparshme dhe lidhjes së një kontrate të re shitje midis Renata Kiri dhe shoqërisë “UFO”SHPK, siç do të ndodhte në një rrjedhë normale të marrëdhënieve kontraktore. Në kontrata shfaqet për herë të parë emërtimi i ri i të pandehurit Julian Bregu dhe Oltion Bunesi, si palë miratuese të aktit, janë këta të fundit që japin pëlqimin nëse do të tjetërsohej ose jo pasuria e paluajtshme e viktimës Renata Kiri (truall+bodrum). Pra, gjykata konkludon se ideatori dhe projektuesi i tërë skemës së mashtrimit me pasoja të rënda kundrejt viktimës Renata Kiri ka qenë i pandehuri Julian Bregu. Jo vetëm kaq, por i pandehuri ka ndërmarrë çdo veprim të mundshëm me qëllim që të realizonte synimin e tij final, shlyerjen e detyrimeve të tij dhe mospagimin e çmimit kontraktor. Kështu në gjykim u provua se pas shitjes së bodrumit tek shoqëria “UFO”SHPK, i pandehuri ka kërkuar që të shlyente me çdo kusht detyrimet që kishte ndaj shtetasit Oltion Buneci dhe bënte takime të shpeshta me shoqërinë “UFO”SHPK</w:t>
      </w:r>
      <w:r w:rsidR="0007494B" w:rsidRPr="00F74CCD">
        <w:rPr>
          <w:i/>
          <w:iCs/>
          <w:color w:val="000000"/>
          <w:lang w:val="sq-AL"/>
        </w:rPr>
        <w:t xml:space="preserve"> </w:t>
      </w:r>
      <w:r w:rsidRPr="00F74CCD">
        <w:rPr>
          <w:i/>
          <w:iCs/>
          <w:color w:val="000000"/>
          <w:lang w:val="sq-AL"/>
        </w:rPr>
        <w:t>……</w:t>
      </w:r>
      <w:r w:rsidR="0007494B" w:rsidRPr="00F74CCD">
        <w:rPr>
          <w:i/>
          <w:iCs/>
          <w:color w:val="000000"/>
          <w:lang w:val="sq-AL"/>
        </w:rPr>
        <w:t xml:space="preserve"> </w:t>
      </w:r>
      <w:r w:rsidRPr="00F74CCD">
        <w:rPr>
          <w:i/>
          <w:iCs/>
          <w:color w:val="000000"/>
          <w:lang w:val="sq-AL"/>
        </w:rPr>
        <w:t>shtetasi Julian Bregu ka shpërdoruar besimin duke shfrytëzuar marrëdhënien me këta dy shtetas, ka konsoliduar mendimin e tij kriminal për përvetësimin e vlerës së lartpërmendur, të cilën ka patur si qëllim për të mos e kthyer më. Moskthimi i kësaj shume provohet me transferimin e shumës 90.000 Euro nga llogaria e Julian Bregu, tek llogaria e babait të tij Dashamir Bregu. Ky fakt provohet me transfertat e administruara nga Banka Societe Generale, me Shkresën Nr. Prot. 17/16111/tbo-003, datë 26.10.2017. Vullneti për të mos kthyer këtë shumë rezulton gjithashtu dhe nga kërkesat për pavlefshmëri në gjykatë lidhur me kontratën e huasë Nr.2489 Rep, Nr.1595 Kol, datë 17.11.2015. Për më tepër nëpërmjet formulimit të kësaj kontrate në formatin e dëshiruar prej tij duke mashtruar viktimën Renata Kiri, ka shlyer dhe detyrimet ndaj shtetasit Oltjon Buneci. Në ekzekutim të kontratave si më lart “UFO” SHPK ka kryer pagesat korrektësisht, deri në momentin e kalimit të këstit të dytë prej l00.000 Euro tek Julian Bregu. I pandehuri Julian Bregu megjithëse shoqëria “UFO”SHPK ka bërë pagesën e saj, nuk e ka bërë kalimin e detyrimit të prapambetur tek Renata Kiri, përkundrazi ka transferuar një shumë të konsiderueshme eurosh tek babai i tij Dashamir Bregu. Kësti i tretë i kontratës ka mbetur pa u përvetësuar nga i pandehuri Julian Bregu jo për mungesë të vullnetit të tij, por për shkak se viktima Renata Kiri i kërkoi shoqërisë “UFO”SHPK të shtynte afatin e ekzekutimit me njoftim noterial, pasi zbuloi mashtrimet e vazhdueshme të të pandehurit. Në këto kushte gjykata çmon se i pandehuri me veprimet e tij ka konsumuar plotësisht elementët e veprës penale “Mashtrim” me pasoja të rënda parashikuar nga neni 143/3 i Kodit Penal. I pandehuri Julian Bregu, ka përvetësuar para për vete duke passjellë pakësimin e pasurisë së shtetases Renata Kiri. Përvetësimin e parave të viktimës, i pandehuri ka arritur ta bëjë duke përdorur gënjeshtrën dhe duke shpërdoruar besimin që ajo kishte krijuar në raport me të pandehurin, mënyra e operimit dhe veprimit të të pandehurit, kronologjia e veprimeve të tij, mungesa e komunikimit dhe distancimi pas përfitimit të shumës së kërkuar, evidentojnë faktin që ai ka patur qëllimin për të mashtruar viktimën, veprimtaria kriminale është materializuar nga ana e të pandehurit duke sjellë pasojat përkatëse ndaj viktimës së veprës penale. Në konkluzion të sa më lart, Gjykata vlerëson se i pandehuri Julian Bregu e ka konsumuar nga ana objektive veprën penale për të cilën akuzohet, gjykata vlerëson se në rastin konkret ndodhemi para rrethanës së cilësuar pasojë e rëndë e parashikuar nga neni 143/3 i Kodit Penal pasi i pandehuri Julian Bregu i ka shkaktuar një humbje në masën mbi 1.000.000 lekë viktimës Renata Kiri…. gjykata arrin në përfundimin se i pandehuri Julian Bregu duhet të deklarohet fajtor për veprën penale të “Mashtrim”, parashikuar nga neni 143/3 i Kodit Penal</w:t>
      </w:r>
      <w:r w:rsidR="0007494B" w:rsidRPr="00F74CCD">
        <w:rPr>
          <w:i/>
          <w:iCs/>
          <w:color w:val="000000"/>
          <w:lang w:val="sq-AL"/>
        </w:rPr>
        <w:t xml:space="preserve"> </w:t>
      </w:r>
      <w:r w:rsidR="00B010F3" w:rsidRPr="00F74CCD">
        <w:rPr>
          <w:i/>
          <w:iCs/>
          <w:color w:val="000000"/>
          <w:lang w:val="sq-AL"/>
        </w:rPr>
        <w:t>.</w:t>
      </w:r>
      <w:r w:rsidRPr="00F74CCD">
        <w:rPr>
          <w:i/>
          <w:iCs/>
          <w:color w:val="000000"/>
          <w:lang w:val="sq-AL"/>
        </w:rPr>
        <w:t>..”</w:t>
      </w:r>
      <w:r w:rsidR="0007494B" w:rsidRPr="00F74CCD">
        <w:rPr>
          <w:iCs/>
          <w:color w:val="000000"/>
          <w:lang w:val="sq-AL"/>
        </w:rPr>
        <w:t>.</w:t>
      </w:r>
    </w:p>
    <w:p w14:paraId="78BBB480" w14:textId="55590CD3" w:rsidR="00E41504" w:rsidRPr="00F74CCD" w:rsidRDefault="00E41504" w:rsidP="00F74CCD">
      <w:pPr>
        <w:pStyle w:val="NormalWeb"/>
        <w:numPr>
          <w:ilvl w:val="0"/>
          <w:numId w:val="35"/>
        </w:numPr>
        <w:tabs>
          <w:tab w:val="left" w:pos="990"/>
        </w:tabs>
        <w:spacing w:before="0" w:beforeAutospacing="0" w:after="0" w:afterAutospacing="0"/>
        <w:ind w:left="0" w:firstLine="540"/>
        <w:jc w:val="both"/>
        <w:rPr>
          <w:color w:val="000000"/>
          <w:lang w:val="sq-AL"/>
        </w:rPr>
      </w:pPr>
      <w:r w:rsidRPr="00F74CCD">
        <w:rPr>
          <w:color w:val="000000"/>
          <w:lang w:val="sq-AL"/>
        </w:rPr>
        <w:lastRenderedPageBreak/>
        <w:t xml:space="preserve">Kundër vendimit të mësipër </w:t>
      </w:r>
      <w:r w:rsidRPr="00F74CCD">
        <w:rPr>
          <w:b/>
          <w:bCs/>
          <w:color w:val="000000"/>
          <w:lang w:val="sq-AL"/>
        </w:rPr>
        <w:t>ka bërë apel i pandehuri Julian Bregu</w:t>
      </w:r>
      <w:r w:rsidRPr="00F74CCD">
        <w:rPr>
          <w:color w:val="000000"/>
          <w:lang w:val="sq-AL"/>
        </w:rPr>
        <w:t>,</w:t>
      </w:r>
      <w:r w:rsidRPr="00F74CCD">
        <w:rPr>
          <w:b/>
          <w:bCs/>
          <w:color w:val="000000"/>
          <w:lang w:val="sq-AL"/>
        </w:rPr>
        <w:t> </w:t>
      </w:r>
      <w:r w:rsidRPr="00F74CCD">
        <w:rPr>
          <w:color w:val="000000"/>
          <w:lang w:val="sq-AL"/>
        </w:rPr>
        <w:t>i cili ka</w:t>
      </w:r>
      <w:r w:rsidR="00B010F3" w:rsidRPr="00F74CCD">
        <w:rPr>
          <w:color w:val="000000"/>
          <w:lang w:val="sq-AL"/>
        </w:rPr>
        <w:t xml:space="preserve"> </w:t>
      </w:r>
      <w:r w:rsidRPr="00F74CCD">
        <w:rPr>
          <w:color w:val="000000"/>
          <w:lang w:val="sq-AL"/>
        </w:rPr>
        <w:t>kërkuar prishjen e vendimit nr. 977, datë 12.06.2020, të Gjykatës së Shkallës së Parë Tiranë, pasi bazuar në nenin 328/1/b të K</w:t>
      </w:r>
      <w:r w:rsidR="00B010F3" w:rsidRPr="00F74CCD">
        <w:rPr>
          <w:color w:val="000000"/>
          <w:lang w:val="sq-AL"/>
        </w:rPr>
        <w:t>odit t</w:t>
      </w:r>
      <w:r w:rsidR="00FD165D" w:rsidRPr="00F74CCD">
        <w:rPr>
          <w:color w:val="000000"/>
          <w:lang w:val="sq-AL"/>
        </w:rPr>
        <w:t>ë</w:t>
      </w:r>
      <w:r w:rsidR="00B010F3" w:rsidRPr="00F74CCD">
        <w:rPr>
          <w:color w:val="000000"/>
          <w:lang w:val="sq-AL"/>
        </w:rPr>
        <w:t xml:space="preserve"> </w:t>
      </w:r>
      <w:r w:rsidRPr="00F74CCD">
        <w:rPr>
          <w:color w:val="000000"/>
          <w:lang w:val="sq-AL"/>
        </w:rPr>
        <w:t>Pr</w:t>
      </w:r>
      <w:r w:rsidR="00B010F3" w:rsidRPr="00F74CCD">
        <w:rPr>
          <w:color w:val="000000"/>
          <w:lang w:val="sq-AL"/>
        </w:rPr>
        <w:t>ocedur</w:t>
      </w:r>
      <w:r w:rsidR="00FD165D" w:rsidRPr="00F74CCD">
        <w:rPr>
          <w:color w:val="000000"/>
          <w:lang w:val="sq-AL"/>
        </w:rPr>
        <w:t>ë</w:t>
      </w:r>
      <w:r w:rsidR="00B010F3" w:rsidRPr="00F74CCD">
        <w:rPr>
          <w:color w:val="000000"/>
          <w:lang w:val="sq-AL"/>
        </w:rPr>
        <w:t xml:space="preserve">s </w:t>
      </w:r>
      <w:r w:rsidRPr="00F74CCD">
        <w:rPr>
          <w:color w:val="000000"/>
          <w:lang w:val="sq-AL"/>
        </w:rPr>
        <w:t>Penale</w:t>
      </w:r>
      <w:r w:rsidR="00B32313" w:rsidRPr="00F74CCD">
        <w:rPr>
          <w:color w:val="000000"/>
          <w:lang w:val="sq-AL"/>
        </w:rPr>
        <w:t>,</w:t>
      </w:r>
      <w:r w:rsidRPr="00F74CCD">
        <w:rPr>
          <w:color w:val="000000"/>
          <w:lang w:val="sq-AL"/>
        </w:rPr>
        <w:t xml:space="preserve"> çështja duhet pushuar, sepse fakti nuk parashikohet nga ligji si vepër penale, por thjesht jemi përpara një marrëdhënie juridiko - civile, aq më tepër që çështja është gjykuar një herë më parë dhe</w:t>
      </w:r>
      <w:r w:rsidR="00B010F3" w:rsidRPr="00F74CCD">
        <w:rPr>
          <w:color w:val="000000"/>
          <w:lang w:val="sq-AL"/>
        </w:rPr>
        <w:t xml:space="preserve"> i pandehuri</w:t>
      </w:r>
      <w:r w:rsidRPr="00F74CCD">
        <w:rPr>
          <w:color w:val="000000"/>
          <w:lang w:val="sq-AL"/>
        </w:rPr>
        <w:t xml:space="preserve"> është</w:t>
      </w:r>
      <w:r w:rsidR="00B010F3" w:rsidRPr="00F74CCD">
        <w:rPr>
          <w:color w:val="000000"/>
          <w:lang w:val="sq-AL"/>
        </w:rPr>
        <w:t xml:space="preserve"> dhe</w:t>
      </w:r>
      <w:r w:rsidRPr="00F74CCD">
        <w:rPr>
          <w:color w:val="000000"/>
          <w:lang w:val="sq-AL"/>
        </w:rPr>
        <w:t xml:space="preserve"> duhet deklaruar i pafajshëm.</w:t>
      </w:r>
    </w:p>
    <w:p w14:paraId="54087DDF" w14:textId="0F0B90C7" w:rsidR="00E41504" w:rsidRPr="00F74CCD" w:rsidRDefault="00E41504" w:rsidP="00F74CCD">
      <w:pPr>
        <w:pStyle w:val="NormalWeb"/>
        <w:numPr>
          <w:ilvl w:val="0"/>
          <w:numId w:val="35"/>
        </w:numPr>
        <w:tabs>
          <w:tab w:val="left" w:pos="990"/>
        </w:tabs>
        <w:spacing w:before="0" w:beforeAutospacing="0" w:after="0" w:afterAutospacing="0"/>
        <w:ind w:left="0" w:firstLine="540"/>
        <w:jc w:val="both"/>
        <w:rPr>
          <w:color w:val="000000"/>
          <w:lang w:val="sq-AL"/>
        </w:rPr>
      </w:pPr>
      <w:r w:rsidRPr="00F74CCD">
        <w:rPr>
          <w:b/>
          <w:bCs/>
          <w:color w:val="000000"/>
          <w:lang w:val="sq-AL"/>
        </w:rPr>
        <w:t>Gjykata e Apelit të Juridiksionit të Përgjithshëm</w:t>
      </w:r>
      <w:r w:rsidRPr="00F74CCD">
        <w:rPr>
          <w:bCs/>
          <w:color w:val="000000"/>
          <w:lang w:val="sq-AL"/>
        </w:rPr>
        <w:t>,</w:t>
      </w:r>
      <w:r w:rsidRPr="00F74CCD">
        <w:rPr>
          <w:color w:val="000000"/>
          <w:lang w:val="sq-AL"/>
        </w:rPr>
        <w:t xml:space="preserve"> me vendimin </w:t>
      </w:r>
      <w:r w:rsidRPr="00F74CCD">
        <w:rPr>
          <w:bCs/>
          <w:lang w:val="sq-AL"/>
        </w:rPr>
        <w:t>nr.</w:t>
      </w:r>
      <w:r w:rsidR="00B32313" w:rsidRPr="00F74CCD">
        <w:rPr>
          <w:bCs/>
          <w:lang w:val="sq-AL"/>
        </w:rPr>
        <w:t xml:space="preserve"> </w:t>
      </w:r>
      <w:r w:rsidRPr="00F74CCD">
        <w:rPr>
          <w:bCs/>
          <w:lang w:val="sq-AL"/>
        </w:rPr>
        <w:t>2214 (30-2024-7304), datë 10.10.2024</w:t>
      </w:r>
      <w:r w:rsidRPr="00F74CCD">
        <w:rPr>
          <w:i/>
          <w:iCs/>
          <w:color w:val="000000"/>
          <w:lang w:val="sq-AL"/>
        </w:rPr>
        <w:t>,</w:t>
      </w:r>
      <w:r w:rsidRPr="00F74CCD">
        <w:rPr>
          <w:color w:val="000000"/>
          <w:lang w:val="sq-AL"/>
        </w:rPr>
        <w:t xml:space="preserve"> ka vendosur:</w:t>
      </w:r>
    </w:p>
    <w:p w14:paraId="64D1B917" w14:textId="77777777" w:rsidR="00E41504" w:rsidRPr="00F74CCD" w:rsidRDefault="00E41504" w:rsidP="00F74CCD">
      <w:pPr>
        <w:pStyle w:val="ListParagraph"/>
        <w:numPr>
          <w:ilvl w:val="0"/>
          <w:numId w:val="37"/>
        </w:numPr>
        <w:jc w:val="both"/>
        <w:rPr>
          <w:color w:val="000000"/>
          <w:sz w:val="24"/>
          <w:szCs w:val="24"/>
        </w:rPr>
      </w:pPr>
      <w:r w:rsidRPr="00F74CCD">
        <w:rPr>
          <w:color w:val="000000"/>
          <w:sz w:val="24"/>
          <w:szCs w:val="24"/>
        </w:rPr>
        <w:t>Prishjen e vendimit nr.977 datë 12.06.2020 të Gjykatës së Rrethit Gjyqësor Tiranë dhe pushimin e çështjes penale për të pandehurin Julian Bregu, për shkak se ndjekja penale në lidhje me këtë procedim penal nr.7966/2017, për këtë të pandehur, nuk mund të vazhdojë.</w:t>
      </w:r>
    </w:p>
    <w:p w14:paraId="5CB68278" w14:textId="77777777" w:rsidR="00E41504" w:rsidRPr="00F74CCD" w:rsidRDefault="00E41504" w:rsidP="00F74CCD">
      <w:pPr>
        <w:pStyle w:val="ListParagraph"/>
        <w:numPr>
          <w:ilvl w:val="0"/>
          <w:numId w:val="37"/>
        </w:numPr>
        <w:jc w:val="both"/>
        <w:rPr>
          <w:color w:val="000000"/>
          <w:sz w:val="24"/>
          <w:szCs w:val="24"/>
        </w:rPr>
      </w:pPr>
      <w:r w:rsidRPr="00F74CCD">
        <w:rPr>
          <w:color w:val="000000"/>
          <w:sz w:val="24"/>
          <w:szCs w:val="24"/>
        </w:rPr>
        <w:t>Ndaj këtij vendimi lejohet rekurs sipas ligjit në Gjykatën e Lartë.</w:t>
      </w:r>
    </w:p>
    <w:p w14:paraId="60B80AA3" w14:textId="2D756DB8" w:rsidR="00E41504" w:rsidRPr="00F74CCD" w:rsidRDefault="00E41504" w:rsidP="00F74CCD">
      <w:pPr>
        <w:pStyle w:val="NormalWeb"/>
        <w:numPr>
          <w:ilvl w:val="1"/>
          <w:numId w:val="35"/>
        </w:numPr>
        <w:tabs>
          <w:tab w:val="left" w:pos="1080"/>
        </w:tabs>
        <w:spacing w:before="0" w:beforeAutospacing="0" w:after="0" w:afterAutospacing="0"/>
        <w:ind w:left="0" w:firstLine="540"/>
        <w:jc w:val="both"/>
        <w:rPr>
          <w:i/>
          <w:iCs/>
          <w:color w:val="000000"/>
          <w:lang w:val="sq-AL"/>
        </w:rPr>
      </w:pPr>
      <w:r w:rsidRPr="00F74CCD">
        <w:rPr>
          <w:color w:val="000000"/>
          <w:lang w:val="sq-AL"/>
        </w:rPr>
        <w:t>Gjykata apelit, ndër të tjera</w:t>
      </w:r>
      <w:r w:rsidR="00B32313" w:rsidRPr="00F74CCD">
        <w:rPr>
          <w:color w:val="000000"/>
          <w:lang w:val="sq-AL"/>
        </w:rPr>
        <w:t>,</w:t>
      </w:r>
      <w:r w:rsidRPr="00F74CCD">
        <w:rPr>
          <w:color w:val="000000"/>
          <w:lang w:val="sq-AL"/>
        </w:rPr>
        <w:t xml:space="preserve"> ka arsyetuar se: </w:t>
      </w:r>
      <w:r w:rsidRPr="00F74CCD">
        <w:rPr>
          <w:i/>
          <w:iCs/>
          <w:color w:val="000000"/>
          <w:lang w:val="sq-AL"/>
        </w:rPr>
        <w:t>“ ..., Gjykata e Apelit vlerëson se, bazuar në jurisprudencën e mësipërme të GjEDNJ-së, ndalohet ushtrimi i ndjekjes penale nga prokurori për të njëjtin fakt penal (thelbësisht të njëjtë) me atë të një procedimi të mëparshëm të hetuar e të dërguar për gjykim, aq më tepër kur prokurori është në dijeni të këtij fakti, sikundër ka ndodhur në rastin konkret, kur prokurori i çështjes ka qenë në dijeni që procedimi nr. 9704/2016 ishte dërguar për gjykim nga prokurorja tjetër, që gjyqtari i seancës paraprake kishte pranuar kërkesën për gjykim, madje në dt. 25.03.2019 kur prokurori ka përpiluar kërkesën për dërgimin në gjyq të çështjes penale të dytë (pra ka ushtruar ndjekjen penale), gjykimi i çështjes tjetër penale (procedimit të parë) kishte përfunduar me vendimin nr. 294 dt. 06.02.2019). Vetë prokurori në aktin e komunikimit të akuzës por edhe në kërkesën për gjykim shprehet: “Nga sa më sipër shihet (duke iu referuar hetimeve të kryera nga prokurorja tjetër), se pretendimet e shtetases Renata Kiri në kuadër të procedimit penal nr. 7966/2017 janë hetuar dhe sqaruar në kuadër të procedimit penal nr. 9704 të vitit 2016, procedim i cili është dërguar për gjykim. Pavarësisht këtij konkluzioni, prokurori ka kërkuar dërgimin për gjyq edhe të procedimit penal nr. 7966/2017 në ngarkim të të pandehurve Igli Gugashi për akuzën e kryerjes së veprës penale të parashikuar nga neni 248 i K.Penal dhe Julian Bregu me akuzën e kryerjes së veprës penale të parashikuar nga neni 143/3 i K.Penal. Kërkesa për dërgimin në gjyq daton më 04.09.2019, ndërkohë që gjykimi i procedimit penal nr. 9704 të vitit 2016 kishte përfunduar në shkallë të parë dhe çështja ndodhej në apel.</w:t>
      </w:r>
    </w:p>
    <w:p w14:paraId="0F7CEF47" w14:textId="77777777" w:rsidR="00E41504" w:rsidRPr="00F74CCD" w:rsidRDefault="00E41504" w:rsidP="00F74CCD">
      <w:pPr>
        <w:pStyle w:val="NormalWeb"/>
        <w:numPr>
          <w:ilvl w:val="1"/>
          <w:numId w:val="35"/>
        </w:numPr>
        <w:tabs>
          <w:tab w:val="left" w:pos="1080"/>
        </w:tabs>
        <w:spacing w:before="0" w:beforeAutospacing="0" w:after="0" w:afterAutospacing="0"/>
        <w:ind w:left="0" w:firstLine="540"/>
        <w:jc w:val="both"/>
        <w:rPr>
          <w:i/>
          <w:iCs/>
          <w:color w:val="000000"/>
          <w:lang w:val="sq-AL"/>
        </w:rPr>
      </w:pPr>
      <w:r w:rsidRPr="00F74CCD">
        <w:rPr>
          <w:i/>
          <w:iCs/>
          <w:color w:val="000000"/>
          <w:lang w:val="sq-AL"/>
        </w:rPr>
        <w:t xml:space="preserve">Të gjitha palët në proces pranojnë se faktet penale objekt të të dy procedimeve penale janë të njëjta. Edhe prokurori edhe viktima. Kualifikimi juridik i ndryshëm i këtij fakti nga dy prokurorë të ndryshëm për llogari të dy procedimeve penale të regjistruara më vete për të njëjtin fakt penal (ndryshon vetëm personi kallëzues), i pari për veprën penale të parashikuar nga neni 143/1 i K.Penal dhe i dyti për veprën penale të parashikuar nga neni 143/3 i K.Penal, nuk ka rëndësi për çka arsyetohet më lart në zbatimin e parimit ne bis in idem. Të dyja procedimet bazohen në të njëjtat praktikë dokumentare, madje tek procedimi objekt gjykimi thjesht është marrë tërësia e provave që ishin mbledhur në procedimin e mëparshëm; të dy çështjet janë gjykuar në procedurën e gjykimit të zakonshëm, ku janë pyetur pothuajse të njëjtët dëshmitarë. Objekt i të dy procedimeve penale në lidhje me të pandehurin Julian Bregu, pasi i pandehuri Igli Gugashi është deklaruar i pafajshëm nga të dy gjykatat, është i njëjti fakt penal (thelbësisht i njëjtë) i pranuar edhe prej prokurorit si i tillë, pasi lidhet me prezantimin e rrethanave të rreme tek viktima Renata Kiri, fshehjen e fakteve të vërteta, përdorimin e gënjeshtrës ndaj saj si dhe shpërdorimin e besimit me qëllim hedhjen në dorë të pasurisë së saj, nëpërmjet një sërë veprimesh juridike fiktive, që kanë zgjatur në kohë, e që veç përballjes penale mes palëve, janë përfshirë edhe në gjykime civile. Të dy faktet penale kanë për bazë të njëjtat veprime juridike të kryera mes palëve, të njëjtat deklarata noteriale që në thelb lidhen me shitjen e pasurisë së paluajtshme “Truall dhe bodrum” me rezervë, me anë të kontratës </w:t>
      </w:r>
      <w:r w:rsidRPr="00F74CCD">
        <w:rPr>
          <w:i/>
          <w:iCs/>
          <w:color w:val="000000"/>
          <w:lang w:val="sq-AL"/>
        </w:rPr>
        <w:lastRenderedPageBreak/>
        <w:t>noteriale me nr. 1139 rep 305/2 kol dt. 21.05.2014. Nga ky moment mes palëve janë kryer një sërë veprimesh të tjera juridike, transferta bankare, deklarata noteriale, të cilat në thelb sipas organit të akuzës në të dy procedimet penale kanë pasur për qëllim vjedhjen me anë të mashtrimit nga i pandehuri Julian Bregu të viktimës Renata Kiri.</w:t>
      </w:r>
    </w:p>
    <w:p w14:paraId="25F908C2" w14:textId="59557BFB" w:rsidR="00E41504" w:rsidRPr="00F74CCD" w:rsidRDefault="00E41504" w:rsidP="00F74CCD">
      <w:pPr>
        <w:pStyle w:val="NormalWeb"/>
        <w:numPr>
          <w:ilvl w:val="1"/>
          <w:numId w:val="35"/>
        </w:numPr>
        <w:tabs>
          <w:tab w:val="left" w:pos="1080"/>
        </w:tabs>
        <w:spacing w:before="0" w:beforeAutospacing="0" w:after="0" w:afterAutospacing="0"/>
        <w:ind w:left="0" w:firstLine="540"/>
        <w:jc w:val="both"/>
        <w:rPr>
          <w:b/>
          <w:bCs/>
          <w:i/>
          <w:iCs/>
          <w:color w:val="000000"/>
          <w:lang w:val="sq-AL"/>
        </w:rPr>
      </w:pPr>
      <w:r w:rsidRPr="00F74CCD">
        <w:rPr>
          <w:i/>
          <w:iCs/>
          <w:color w:val="000000"/>
          <w:lang w:val="sq-AL"/>
        </w:rPr>
        <w:t>Veç fakteve thelbësisht të njëjta, të dy procedimet penale janë iniciuar nga e njëjta Prokurori, Prokuroria e Rrethit Gjyqësor Tiranë, por nga prokurorë të ndryshëm, i dyti në dijeni të “fatit” të procedimit të parë penal (pafajësi në shkallë të parë). Në rastin konkret prokurori që ka hetuar procedimin e dytë, me të drejtë pretendohet edhe në ankim duhet në përfundim të hetimeve për të cilat nuk ka ndalim të hetojë, kur ka konstatuar se të gjitha pretendimet e palëve ishin ezauruar në procedimin e parë penal, të kishte kërkuar në gjykatë “pushimin e procedimit penal” sipas nenit 328 pika 1 shkronja d) në lidhje me nenin 7 të K.Pr.Penale, si dhe nenin 4 të Protokollit 7 të KEDNJ-së, pasi parimi ne bis in idem ndalon fillimin dhe vazhdimin e ndjekjes penale për të njëjtin fakt penal. Për të njëjtin shkak si më sipër, Gjykata e Apelit në rastin konkret, në zbatim të nenit 428 pika 1 shkronja c) të K.Pr.Penale, vendos prishjen e vendimit nr. 977 dt. 12.06.2020 të Gjykatës së Rrethit Gjyqësor Tiranë dhe pushimin e çështjes penale për të pandehurin Julian Bregu, për shkak se ndjekja penale në lidhje me këtë procedim penal nr. 7966/2017 për këtë të pandehur nuk mund të vazhdojë, për shkak të parimit ne bis in idem. Çdo pretendim i palëve mund të zgjidhet vetëm në kuadër të gjykimit në apel të procedimit të parë, regjistruar në Gjykatën e Apelit si çështja nr. 55000-00410-30-2019, nr. 3008 Akti, dt. regj 27.02.2019</w:t>
      </w:r>
      <w:r w:rsidR="00B32313" w:rsidRPr="00F74CCD">
        <w:rPr>
          <w:i/>
          <w:iCs/>
          <w:color w:val="000000"/>
          <w:lang w:val="sq-AL"/>
        </w:rPr>
        <w:t xml:space="preserve"> </w:t>
      </w:r>
      <w:r w:rsidRPr="00F74CCD">
        <w:rPr>
          <w:i/>
          <w:iCs/>
          <w:color w:val="000000"/>
          <w:lang w:val="sq-AL"/>
        </w:rPr>
        <w:t>.</w:t>
      </w:r>
      <w:r w:rsidR="00B010F3" w:rsidRPr="00F74CCD">
        <w:rPr>
          <w:i/>
          <w:iCs/>
          <w:color w:val="000000"/>
          <w:lang w:val="sq-AL"/>
        </w:rPr>
        <w:t>..”</w:t>
      </w:r>
      <w:r w:rsidR="00B32313" w:rsidRPr="00F74CCD">
        <w:rPr>
          <w:iCs/>
          <w:color w:val="000000"/>
          <w:lang w:val="sq-AL"/>
        </w:rPr>
        <w:t>.</w:t>
      </w:r>
    </w:p>
    <w:p w14:paraId="5DD1B033" w14:textId="7E7D01E3" w:rsidR="00E41504" w:rsidRPr="00F74CCD" w:rsidRDefault="00E41504" w:rsidP="00F74CCD">
      <w:pPr>
        <w:pStyle w:val="NormalWeb"/>
        <w:numPr>
          <w:ilvl w:val="0"/>
          <w:numId w:val="35"/>
        </w:numPr>
        <w:tabs>
          <w:tab w:val="left" w:pos="540"/>
          <w:tab w:val="left" w:pos="900"/>
        </w:tabs>
        <w:spacing w:before="0" w:beforeAutospacing="0" w:after="0" w:afterAutospacing="0"/>
        <w:ind w:left="0" w:firstLine="540"/>
        <w:jc w:val="both"/>
        <w:rPr>
          <w:bCs/>
          <w:i/>
          <w:iCs/>
          <w:lang w:val="sq-AL"/>
        </w:rPr>
      </w:pPr>
      <w:r w:rsidRPr="00F74CCD">
        <w:rPr>
          <w:rFonts w:eastAsia="MS Mincho"/>
          <w:b/>
          <w:lang w:val="sq-AL"/>
        </w:rPr>
        <w:t xml:space="preserve">Kundër vendimit </w:t>
      </w:r>
      <w:r w:rsidRPr="00F74CCD">
        <w:rPr>
          <w:b/>
          <w:lang w:val="sq-AL"/>
        </w:rPr>
        <w:t xml:space="preserve">nr.2214 (30-2024-7304), datë 10.10.2024 </w:t>
      </w:r>
      <w:r w:rsidRPr="00F74CCD">
        <w:rPr>
          <w:rFonts w:eastAsia="MS Mincho"/>
          <w:b/>
          <w:lang w:val="sq-AL"/>
        </w:rPr>
        <w:t>të Gjykatës së Apelit të Juridiksionit të Përgjithshëm, ka paraqitur rekurs Prokuroria</w:t>
      </w:r>
      <w:r w:rsidRPr="00F74CCD">
        <w:rPr>
          <w:rFonts w:eastAsia="MS Mincho"/>
          <w:bCs/>
          <w:i/>
          <w:iCs/>
          <w:lang w:val="sq-AL"/>
        </w:rPr>
        <w:t>,</w:t>
      </w:r>
      <w:r w:rsidRPr="00F74CCD">
        <w:rPr>
          <w:rFonts w:eastAsia="MS Mincho"/>
          <w:bCs/>
          <w:lang w:val="sq-AL"/>
        </w:rPr>
        <w:t xml:space="preserve"> </w:t>
      </w:r>
      <w:r w:rsidRPr="00F74CCD">
        <w:rPr>
          <w:bCs/>
          <w:lang w:val="sq-AL"/>
        </w:rPr>
        <w:t>duke kërkuar</w:t>
      </w:r>
      <w:r w:rsidRPr="00F74CCD">
        <w:rPr>
          <w:bCs/>
          <w:i/>
          <w:iCs/>
          <w:lang w:val="sq-AL"/>
        </w:rPr>
        <w:t>: “1-</w:t>
      </w:r>
      <w:r w:rsidR="00B32313" w:rsidRPr="00F74CCD">
        <w:rPr>
          <w:bCs/>
          <w:i/>
          <w:iCs/>
          <w:lang w:val="sq-AL"/>
        </w:rPr>
        <w:t xml:space="preserve"> </w:t>
      </w:r>
      <w:r w:rsidRPr="00F74CCD">
        <w:rPr>
          <w:i/>
          <w:iCs/>
          <w:lang w:val="sq-AL"/>
        </w:rPr>
        <w:t>Prishjen e vendimit nr.2214 (30-2024-7304), datë 10.10.2024, të Gjykatës së Apelit të Juridiksionit të Përgjithshëm;</w:t>
      </w:r>
      <w:r w:rsidRPr="00F74CCD">
        <w:rPr>
          <w:bCs/>
          <w:i/>
          <w:iCs/>
          <w:lang w:val="sq-AL"/>
        </w:rPr>
        <w:t xml:space="preserve"> 2-</w:t>
      </w:r>
      <w:r w:rsidR="00B32313" w:rsidRPr="00F74CCD">
        <w:rPr>
          <w:bCs/>
          <w:i/>
          <w:iCs/>
          <w:lang w:val="sq-AL"/>
        </w:rPr>
        <w:t xml:space="preserve"> </w:t>
      </w:r>
      <w:r w:rsidRPr="00F74CCD">
        <w:rPr>
          <w:i/>
          <w:iCs/>
          <w:lang w:val="sq-AL"/>
        </w:rPr>
        <w:t>Lënien në fuqi të vendimit nr.977, datë 12.06.2020, të Gjykatës së Rrethit Gjyqësor Tiranë”.</w:t>
      </w:r>
      <w:r w:rsidRPr="00F74CCD">
        <w:rPr>
          <w:bCs/>
          <w:i/>
          <w:iCs/>
          <w:lang w:val="sq-AL"/>
        </w:rPr>
        <w:t xml:space="preserve"> </w:t>
      </w:r>
      <w:r w:rsidRPr="00F74CCD">
        <w:rPr>
          <w:rFonts w:eastAsia="MS Mincho"/>
          <w:bCs/>
          <w:lang w:val="sq-AL"/>
        </w:rPr>
        <w:t>Në rekurs</w:t>
      </w:r>
      <w:r w:rsidR="00B32313" w:rsidRPr="00F74CCD">
        <w:rPr>
          <w:rFonts w:eastAsia="MS Mincho"/>
          <w:bCs/>
          <w:lang w:val="sq-AL"/>
        </w:rPr>
        <w:t>,</w:t>
      </w:r>
      <w:r w:rsidRPr="00F74CCD">
        <w:rPr>
          <w:rFonts w:eastAsia="MS Mincho"/>
          <w:bCs/>
          <w:lang w:val="sq-AL"/>
        </w:rPr>
        <w:t xml:space="preserve"> në mënyrë të përmbledhur</w:t>
      </w:r>
      <w:r w:rsidR="00B32313" w:rsidRPr="00F74CCD">
        <w:rPr>
          <w:rFonts w:eastAsia="MS Mincho"/>
          <w:bCs/>
          <w:lang w:val="sq-AL"/>
        </w:rPr>
        <w:t>,</w:t>
      </w:r>
      <w:r w:rsidRPr="00F74CCD">
        <w:rPr>
          <w:rFonts w:eastAsia="MS Mincho"/>
          <w:bCs/>
          <w:lang w:val="sq-AL"/>
        </w:rPr>
        <w:t xml:space="preserve"> janë paraqitur shkaqet si vijon:</w:t>
      </w:r>
    </w:p>
    <w:p w14:paraId="5061776F" w14:textId="7087B2FB" w:rsidR="00E41504" w:rsidRPr="00F74CCD" w:rsidRDefault="00E41504" w:rsidP="00F74CCD">
      <w:pPr>
        <w:pStyle w:val="NormalWeb"/>
        <w:numPr>
          <w:ilvl w:val="0"/>
          <w:numId w:val="34"/>
        </w:numPr>
        <w:tabs>
          <w:tab w:val="left" w:pos="540"/>
          <w:tab w:val="left" w:pos="900"/>
        </w:tabs>
        <w:spacing w:before="0" w:beforeAutospacing="0" w:after="0" w:afterAutospacing="0"/>
        <w:ind w:left="0" w:firstLine="180"/>
        <w:jc w:val="both"/>
        <w:rPr>
          <w:lang w:val="sq-AL"/>
        </w:rPr>
      </w:pPr>
      <w:r w:rsidRPr="00F74CCD">
        <w:rPr>
          <w:lang w:val="sq-AL"/>
        </w:rPr>
        <w:t xml:space="preserve">Në pjesën arsyetuese të vendimit, ndër të tjera </w:t>
      </w:r>
      <w:r w:rsidR="00B010F3" w:rsidRPr="00F74CCD">
        <w:rPr>
          <w:lang w:val="sq-AL"/>
        </w:rPr>
        <w:t>g</w:t>
      </w:r>
      <w:r w:rsidRPr="00F74CCD">
        <w:rPr>
          <w:lang w:val="sq-AL"/>
        </w:rPr>
        <w:t>jykata është shprehur se: "</w:t>
      </w:r>
      <w:r w:rsidRPr="00F74CCD">
        <w:rPr>
          <w:i/>
          <w:iCs/>
          <w:lang w:val="sq-AL"/>
        </w:rPr>
        <w:t>Nga sa më sipër shihet (duke iu referuar hetimeve të kryera nga prokurorja tjetër), se pretendimet e shtetases Renata Kiri, në kuadër të pro</w:t>
      </w:r>
      <w:r w:rsidR="00B010F3" w:rsidRPr="00F74CCD">
        <w:rPr>
          <w:i/>
          <w:iCs/>
          <w:lang w:val="sq-AL"/>
        </w:rPr>
        <w:t>c</w:t>
      </w:r>
      <w:r w:rsidRPr="00F74CCD">
        <w:rPr>
          <w:i/>
          <w:iCs/>
          <w:lang w:val="sq-AL"/>
        </w:rPr>
        <w:t>edimit penal Nr.7966 të vitit 2017 janë hetuar dhe sqaruar në kuadër të pro</w:t>
      </w:r>
      <w:r w:rsidR="00B010F3" w:rsidRPr="00F74CCD">
        <w:rPr>
          <w:i/>
          <w:iCs/>
          <w:lang w:val="sq-AL"/>
        </w:rPr>
        <w:t>c</w:t>
      </w:r>
      <w:r w:rsidRPr="00F74CCD">
        <w:rPr>
          <w:i/>
          <w:iCs/>
          <w:lang w:val="sq-AL"/>
        </w:rPr>
        <w:t>edimit penal Nr.9704 të vitit 2016, pro</w:t>
      </w:r>
      <w:r w:rsidR="00B010F3" w:rsidRPr="00F74CCD">
        <w:rPr>
          <w:i/>
          <w:iCs/>
          <w:lang w:val="sq-AL"/>
        </w:rPr>
        <w:t>c</w:t>
      </w:r>
      <w:r w:rsidRPr="00F74CCD">
        <w:rPr>
          <w:i/>
          <w:iCs/>
          <w:lang w:val="sq-AL"/>
        </w:rPr>
        <w:t>edim i cili është dërguar për gjykim. Pavarësisht këtij konkluzioni</w:t>
      </w:r>
      <w:r w:rsidR="00B010F3" w:rsidRPr="00F74CCD">
        <w:rPr>
          <w:i/>
          <w:iCs/>
          <w:lang w:val="sq-AL"/>
        </w:rPr>
        <w:t>,</w:t>
      </w:r>
      <w:r w:rsidRPr="00F74CCD">
        <w:rPr>
          <w:i/>
          <w:iCs/>
          <w:lang w:val="sq-AL"/>
        </w:rPr>
        <w:t xml:space="preserve"> prokurori ka kërkuar dërgimin për gjykim edhe të pro</w:t>
      </w:r>
      <w:r w:rsidR="00B010F3" w:rsidRPr="00F74CCD">
        <w:rPr>
          <w:i/>
          <w:iCs/>
          <w:lang w:val="sq-AL"/>
        </w:rPr>
        <w:t>c</w:t>
      </w:r>
      <w:r w:rsidRPr="00F74CCD">
        <w:rPr>
          <w:i/>
          <w:iCs/>
          <w:lang w:val="sq-AL"/>
        </w:rPr>
        <w:t>edimit penal nr. 7966 të vitit 2017 në ngarkim të të pande</w:t>
      </w:r>
      <w:r w:rsidR="00B010F3" w:rsidRPr="00F74CCD">
        <w:rPr>
          <w:i/>
          <w:iCs/>
          <w:lang w:val="sq-AL"/>
        </w:rPr>
        <w:t>h</w:t>
      </w:r>
      <w:r w:rsidRPr="00F74CCD">
        <w:rPr>
          <w:i/>
          <w:iCs/>
          <w:lang w:val="sq-AL"/>
        </w:rPr>
        <w:t>urit Igli Gugashi, akuzuar për kryerjen e veprës penale të parashikuar nga neni 248 i Kodit Penal dhe Julian Bregu akuzuar për kryerjen e veprës penale të parashikuar nga neni 143/3 i Kodit Penal. Kërkesa për dërgimin e çështjes në gjyq mban datë 04.09.2019, ndërkohë që gjykimi i pro</w:t>
      </w:r>
      <w:r w:rsidR="00B010F3" w:rsidRPr="00F74CCD">
        <w:rPr>
          <w:i/>
          <w:iCs/>
          <w:lang w:val="sq-AL"/>
        </w:rPr>
        <w:t>ce</w:t>
      </w:r>
      <w:r w:rsidRPr="00F74CCD">
        <w:rPr>
          <w:i/>
          <w:iCs/>
          <w:lang w:val="sq-AL"/>
        </w:rPr>
        <w:t>dimit penal nr. 9704 të vitit 2016 kishte përfunduar në G</w:t>
      </w:r>
      <w:r w:rsidR="00B010F3" w:rsidRPr="00F74CCD">
        <w:rPr>
          <w:i/>
          <w:iCs/>
          <w:lang w:val="sq-AL"/>
        </w:rPr>
        <w:t>j</w:t>
      </w:r>
      <w:r w:rsidRPr="00F74CCD">
        <w:rPr>
          <w:i/>
          <w:iCs/>
          <w:lang w:val="sq-AL"/>
        </w:rPr>
        <w:t>ykatën e Shkallës së Parë dhe çështja ndodhej në Gjykatën e Apelit"</w:t>
      </w:r>
      <w:r w:rsidRPr="00F74CCD">
        <w:rPr>
          <w:lang w:val="sq-AL"/>
        </w:rPr>
        <w:t>. Në lidhje me këtë arsyetim, kundërshtojmë sa më poshtë:</w:t>
      </w:r>
    </w:p>
    <w:p w14:paraId="462FAE2C" w14:textId="20EA2811" w:rsidR="00E41504" w:rsidRPr="00F74CCD" w:rsidRDefault="00E41504" w:rsidP="00F74CCD">
      <w:pPr>
        <w:pStyle w:val="NormalWeb"/>
        <w:numPr>
          <w:ilvl w:val="0"/>
          <w:numId w:val="34"/>
        </w:numPr>
        <w:tabs>
          <w:tab w:val="left" w:pos="540"/>
          <w:tab w:val="left" w:pos="900"/>
        </w:tabs>
        <w:spacing w:before="0" w:beforeAutospacing="0" w:after="0" w:afterAutospacing="0"/>
        <w:ind w:left="0" w:firstLine="180"/>
        <w:jc w:val="both"/>
        <w:rPr>
          <w:i/>
          <w:iCs/>
          <w:lang w:val="sq-AL"/>
        </w:rPr>
      </w:pPr>
      <w:r w:rsidRPr="00F74CCD">
        <w:rPr>
          <w:lang w:val="sq-AL"/>
        </w:rPr>
        <w:t>Në nenin 7 të Kodit të Procedurës Penale është përcaktuar se</w:t>
      </w:r>
      <w:r w:rsidRPr="00F74CCD">
        <w:rPr>
          <w:i/>
          <w:iCs/>
          <w:lang w:val="sq-AL"/>
        </w:rPr>
        <w:t xml:space="preserve">: "Askush nuk mund të gjykohet rishtas për të njëjtin fakt penal, për të cilin është gjykuar me vendim të formë së prerë, me përjashtim të rasteve kur është vendosur rigjykimi i çështjes nga gjykata kompetente." </w:t>
      </w:r>
      <w:r w:rsidRPr="00F74CCD">
        <w:rPr>
          <w:lang w:val="sq-AL"/>
        </w:rPr>
        <w:t>Por, cilat vendime konsiderohen si vendime të formës së prerë?</w:t>
      </w:r>
      <w:r w:rsidR="00B010F3" w:rsidRPr="00F74CCD">
        <w:rPr>
          <w:lang w:val="sq-AL"/>
        </w:rPr>
        <w:t>.</w:t>
      </w:r>
      <w:r w:rsidRPr="00F74CCD">
        <w:rPr>
          <w:lang w:val="sq-AL"/>
        </w:rPr>
        <w:t xml:space="preserve"> Në nenin 462 pika 3 të Kodit të Procedurës Penale është përcaktuar se: </w:t>
      </w:r>
      <w:r w:rsidRPr="00F74CCD">
        <w:rPr>
          <w:i/>
          <w:iCs/>
          <w:lang w:val="sq-AL"/>
        </w:rPr>
        <w:t>"Janë vendime të formës së prerë: a) vendimi i gjykatës së shkallës së parë kur nuk ankimohet nga palët brenda afatit ligjor, kur është i paankimueshëm ose kur nuk pranohet ankimi për shkaqet e parashikuara nga neni 420 i këtij Kodi</w:t>
      </w:r>
      <w:r w:rsidRPr="00F74CCD">
        <w:rPr>
          <w:lang w:val="sq-AL"/>
        </w:rPr>
        <w:t xml:space="preserve">. Në çështjet me bashkëtëpandehur, vendimi merr formë të prerë për të pandehurin që nuk ka bërë ankim, pavarësisht ankimit të bashkëtëpandehurve të tjerë, me kusht që prokurori të mos ketë bërë ankim. Kur prokurori nuk ka ushtruar ankim dhe çështja shqyrtohet mbi bazën e ankimit të bashkëtëpandehurve të tjerë, për të pandehurin që nuk ka ushtruar ankim në një gjykim me bashkëtëpandehur, vendimi merr formë të prerë pavarësisht ankimit të ushtruar nga </w:t>
      </w:r>
      <w:r w:rsidRPr="00F74CCD">
        <w:rPr>
          <w:lang w:val="sq-AL"/>
        </w:rPr>
        <w:lastRenderedPageBreak/>
        <w:t>bashkëtëpandehurit e tjerë; b) vendimi i gjykatës së apelit kur zgjidh përfundimisht çështjen, sipas shkronjave "a", "b" dhe "c", të pikës 1, të nenit 428, të këtij Kodi."</w:t>
      </w:r>
    </w:p>
    <w:p w14:paraId="2E39A773" w14:textId="17AAE8F4" w:rsidR="00E41504" w:rsidRPr="00F74CCD" w:rsidRDefault="00E41504" w:rsidP="00F74CCD">
      <w:pPr>
        <w:pStyle w:val="NormalWeb"/>
        <w:numPr>
          <w:ilvl w:val="0"/>
          <w:numId w:val="34"/>
        </w:numPr>
        <w:tabs>
          <w:tab w:val="left" w:pos="540"/>
          <w:tab w:val="left" w:pos="900"/>
        </w:tabs>
        <w:spacing w:before="0" w:beforeAutospacing="0" w:after="0" w:afterAutospacing="0"/>
        <w:ind w:left="0" w:firstLine="180"/>
        <w:jc w:val="both"/>
        <w:rPr>
          <w:i/>
          <w:iCs/>
          <w:lang w:val="sq-AL"/>
        </w:rPr>
      </w:pPr>
      <w:r w:rsidRPr="00F74CCD">
        <w:rPr>
          <w:lang w:val="sq-AL"/>
        </w:rPr>
        <w:t xml:space="preserve">Në vendim unifikues Nr.2, datë 03.11.2014, Kolegjet e Bahskuara të Gjykatës së Lartë kanë arsyetuar se: "Në legjislacionin procedural penal Shqiptar, me shprehjen "vendim i formës së prerë do të kuptohet, sipas rastit, vendim që ka marrë formën e "gjësë së gjykuar", ose "vendim i ekzekutueshëm". Vendimi penal merr "formën e prerë" në kuptimin e "gjësë së gjykuar" kur: Gjykata e Lartë disponon sipas neneve 433 ose 441(1)(a), 441(1)(b), 441(1)(c), 441(1)(d) të </w:t>
      </w:r>
      <w:r w:rsidR="00B010F3" w:rsidRPr="00F74CCD">
        <w:rPr>
          <w:lang w:val="sq-AL"/>
        </w:rPr>
        <w:t>Kodit të Procedurës Penale</w:t>
      </w:r>
      <w:r w:rsidRPr="00F74CCD">
        <w:rPr>
          <w:lang w:val="sq-AL"/>
        </w:rPr>
        <w:t xml:space="preserve">; ose palët humbasin afatet e parashikuara në nenet 415(1) dhe 435(1) të </w:t>
      </w:r>
      <w:r w:rsidR="00212B03" w:rsidRPr="00F74CCD">
        <w:rPr>
          <w:lang w:val="sq-AL"/>
        </w:rPr>
        <w:t xml:space="preserve">Kodit të Procedurës Penale </w:t>
      </w:r>
      <w:r w:rsidRPr="00F74CCD">
        <w:rPr>
          <w:lang w:val="sq-AL"/>
        </w:rPr>
        <w:t>mbi paraqitjen e ankimit në Gjykatën e Apelit ose rekursit në Gjykatën e Lartë. Në çdo rast tjetër me shprehjen "formë e prerë" do të kuptojmë "vendimin e ekzekutueshëm" të gjykatave të apelit.</w:t>
      </w:r>
    </w:p>
    <w:p w14:paraId="600D0716" w14:textId="7F6E4DE0" w:rsidR="00E41504" w:rsidRPr="00F74CCD" w:rsidRDefault="00E41504" w:rsidP="00F74CCD">
      <w:pPr>
        <w:pStyle w:val="NormalWeb"/>
        <w:numPr>
          <w:ilvl w:val="0"/>
          <w:numId w:val="34"/>
        </w:numPr>
        <w:tabs>
          <w:tab w:val="left" w:pos="540"/>
          <w:tab w:val="left" w:pos="900"/>
        </w:tabs>
        <w:spacing w:before="0" w:beforeAutospacing="0" w:after="0" w:afterAutospacing="0"/>
        <w:ind w:left="0" w:firstLine="180"/>
        <w:jc w:val="both"/>
        <w:rPr>
          <w:i/>
          <w:iCs/>
          <w:lang w:val="sq-AL"/>
        </w:rPr>
      </w:pPr>
      <w:r w:rsidRPr="00F74CCD">
        <w:rPr>
          <w:lang w:val="sq-AL"/>
        </w:rPr>
        <w:t>Rezulton se, Prokuroria pranë Gjykatës së Rrethit Gjyqësor Tiranë ka regjistruar kallëzimin penal me nr.13930, datë 04.11.2016, i paraqitur nga ana e shtetasit Julian Bregu. Nga përmbajtja e kallëzimit rezulton se ky shtetas ka kallëzuar përmbaruesin gjyqësor privat Igli Gugashi për veprën penale "Shpërdorim</w:t>
      </w:r>
      <w:r w:rsidR="00212B03" w:rsidRPr="00F74CCD">
        <w:rPr>
          <w:lang w:val="sq-AL"/>
        </w:rPr>
        <w:t>i</w:t>
      </w:r>
      <w:r w:rsidRPr="00F74CCD">
        <w:rPr>
          <w:lang w:val="sq-AL"/>
        </w:rPr>
        <w:t xml:space="preserve"> i detyrës", parashikuar nga neni 248 i Kodit Penal. Me urdhrin e datës 15.12.2016, Prokuroria pranë Gjykatës së Rrethit Gjyqësor Tiranë ka regjistruar fillimisht procedimin penal nr.9704 për veprën penale "Shpërdorimi i detyrës", parashikuar nga neni 248 i Kodit Penal. Në përfundim të hetimeve paraprake, ky procedim penal është dërguar për gjykim. Me vendimin nr.294, datë 06.02.2019, Gjykata e Rrethit Gjyqësor Tiranë, ka vendosur. "</w:t>
      </w:r>
      <w:r w:rsidRPr="00F74CCD">
        <w:rPr>
          <w:i/>
          <w:iCs/>
          <w:lang w:val="sq-AL"/>
        </w:rPr>
        <w:t>Deklarimin e pafajshëm të të pandehurit Igli Hilmi Gugashi për kryerjen e veprës penale "Shpërdorimi i detyrës" të parashikuar nga neni 248 i Kodit Penal. Deklarimin e pafajshëm të të pandehurit Julian Dashamir Bregu për kryerjen e veprës penale "Mashtrimi" të parashikuar nga neni 143 i Kodit Penal</w:t>
      </w:r>
      <w:r w:rsidRPr="00F74CCD">
        <w:rPr>
          <w:lang w:val="sq-AL"/>
        </w:rPr>
        <w:t xml:space="preserve">". Ky vendim, siç rezulton ende nuk ka marrë formë të prerë pasi ndaj këtij vendimi është ushtruar ankim nga ana e prokurorit dhe çështja ndodhet në Gjykatën e Apelit të Juridiksionit të Përgjithshëm. Pra, vendimi </w:t>
      </w:r>
      <w:r w:rsidR="00212B03" w:rsidRPr="00F74CCD">
        <w:rPr>
          <w:lang w:val="sq-AL"/>
        </w:rPr>
        <w:t>n</w:t>
      </w:r>
      <w:r w:rsidRPr="00F74CCD">
        <w:rPr>
          <w:lang w:val="sq-AL"/>
        </w:rPr>
        <w:t>r.294, datë 06.02.2019, ende nuk ka marrë formë të prerë, e për rrjedhojë nuk ndodhemi para faktit të gjykimit rishtaz për të njëjtin fakt penal, siç parashikohet nga neni 7 i Kodit të Procedurës Penale</w:t>
      </w:r>
      <w:r w:rsidR="00212B03" w:rsidRPr="00F74CCD">
        <w:rPr>
          <w:i/>
          <w:iCs/>
          <w:lang w:val="sq-AL"/>
        </w:rPr>
        <w:t>.</w:t>
      </w:r>
    </w:p>
    <w:p w14:paraId="6ED5C9B4" w14:textId="2D280708" w:rsidR="00E41504" w:rsidRPr="00F74CCD" w:rsidRDefault="00E41504" w:rsidP="00F74CCD">
      <w:pPr>
        <w:pStyle w:val="NormalWeb"/>
        <w:numPr>
          <w:ilvl w:val="0"/>
          <w:numId w:val="35"/>
        </w:numPr>
        <w:tabs>
          <w:tab w:val="left" w:pos="540"/>
          <w:tab w:val="left" w:pos="900"/>
        </w:tabs>
        <w:spacing w:before="0" w:beforeAutospacing="0" w:after="0" w:afterAutospacing="0"/>
        <w:ind w:left="0" w:firstLine="540"/>
        <w:jc w:val="both"/>
        <w:rPr>
          <w:lang w:val="sq-AL"/>
        </w:rPr>
      </w:pPr>
      <w:r w:rsidRPr="00F74CCD">
        <w:rPr>
          <w:b/>
          <w:bCs/>
          <w:lang w:val="sq-AL"/>
        </w:rPr>
        <w:t>Viktima e veprës penale Renata Kiri</w:t>
      </w:r>
      <w:r w:rsidRPr="00F74CCD">
        <w:rPr>
          <w:lang w:val="sq-AL"/>
        </w:rPr>
        <w:t>, nëpërmjet përfaqësuesit të zgjedhur</w:t>
      </w:r>
      <w:r w:rsidR="00B32313" w:rsidRPr="00F74CCD">
        <w:rPr>
          <w:lang w:val="sq-AL"/>
        </w:rPr>
        <w:t>,</w:t>
      </w:r>
      <w:r w:rsidRPr="00F74CCD">
        <w:rPr>
          <w:lang w:val="sq-AL"/>
        </w:rPr>
        <w:t xml:space="preserve"> </w:t>
      </w:r>
      <w:r w:rsidRPr="00F74CCD">
        <w:rPr>
          <w:b/>
          <w:lang w:val="sq-AL"/>
        </w:rPr>
        <w:t>ka paraqitur parashtrime</w:t>
      </w:r>
      <w:r w:rsidRPr="00F74CCD">
        <w:rPr>
          <w:lang w:val="sq-AL"/>
        </w:rPr>
        <w:t>, duke kërkuar:</w:t>
      </w:r>
      <w:r w:rsidRPr="00F74CCD">
        <w:rPr>
          <w:bCs/>
          <w:i/>
          <w:iCs/>
          <w:lang w:val="sq-AL"/>
        </w:rPr>
        <w:t xml:space="preserve"> 1-</w:t>
      </w:r>
      <w:r w:rsidR="00B32313" w:rsidRPr="00F74CCD">
        <w:rPr>
          <w:bCs/>
          <w:i/>
          <w:iCs/>
          <w:lang w:val="sq-AL"/>
        </w:rPr>
        <w:t xml:space="preserve"> </w:t>
      </w:r>
      <w:r w:rsidRPr="00F74CCD">
        <w:rPr>
          <w:i/>
          <w:iCs/>
          <w:lang w:val="sq-AL"/>
        </w:rPr>
        <w:t>Prishjen e vendimit nr.2214 (30-2024-7304), datë 10.10.2024, të Gjykatës së Apelit të Juridiksionit të Përgjithshëm;</w:t>
      </w:r>
      <w:r w:rsidRPr="00F74CCD">
        <w:rPr>
          <w:bCs/>
          <w:i/>
          <w:iCs/>
          <w:lang w:val="sq-AL"/>
        </w:rPr>
        <w:t xml:space="preserve"> 2-</w:t>
      </w:r>
      <w:r w:rsidR="00B32313" w:rsidRPr="00F74CCD">
        <w:rPr>
          <w:bCs/>
          <w:i/>
          <w:iCs/>
          <w:lang w:val="sq-AL"/>
        </w:rPr>
        <w:t xml:space="preserve"> </w:t>
      </w:r>
      <w:r w:rsidRPr="00F74CCD">
        <w:rPr>
          <w:i/>
          <w:iCs/>
          <w:lang w:val="sq-AL"/>
        </w:rPr>
        <w:t>Lënien në fuqi të vendimit nr.977, datë 12.06.2020, të Gjykatës së Rrethit Gjyqësor Tiranë”</w:t>
      </w:r>
      <w:r w:rsidRPr="00F74CCD">
        <w:rPr>
          <w:iCs/>
          <w:lang w:val="sq-AL"/>
        </w:rPr>
        <w:t>.</w:t>
      </w:r>
      <w:r w:rsidRPr="00F74CCD">
        <w:rPr>
          <w:lang w:val="sq-AL"/>
        </w:rPr>
        <w:t xml:space="preserve"> Në mbështetje të kërkimit ka parashtruar</w:t>
      </w:r>
      <w:r w:rsidR="00212B03" w:rsidRPr="00F74CCD">
        <w:rPr>
          <w:lang w:val="sq-AL"/>
        </w:rPr>
        <w:t>:</w:t>
      </w:r>
    </w:p>
    <w:p w14:paraId="1AA8021E" w14:textId="727567F1" w:rsidR="00E41504" w:rsidRPr="00F74CCD" w:rsidRDefault="00E41504" w:rsidP="00F74CCD">
      <w:pPr>
        <w:pStyle w:val="NormalWeb"/>
        <w:numPr>
          <w:ilvl w:val="0"/>
          <w:numId w:val="43"/>
        </w:numPr>
        <w:tabs>
          <w:tab w:val="left" w:pos="540"/>
        </w:tabs>
        <w:spacing w:before="0" w:beforeAutospacing="0" w:after="0" w:afterAutospacing="0"/>
        <w:ind w:left="0" w:firstLine="180"/>
        <w:jc w:val="both"/>
        <w:rPr>
          <w:lang w:val="sq-AL"/>
        </w:rPr>
      </w:pPr>
      <w:r w:rsidRPr="00F74CCD">
        <w:rPr>
          <w:lang w:val="sq-AL"/>
        </w:rPr>
        <w:t xml:space="preserve">Ndryshe nga sa ka konkluduar </w:t>
      </w:r>
      <w:r w:rsidR="00212B03" w:rsidRPr="00F74CCD">
        <w:rPr>
          <w:lang w:val="sq-AL"/>
        </w:rPr>
        <w:t>g</w:t>
      </w:r>
      <w:r w:rsidRPr="00F74CCD">
        <w:rPr>
          <w:lang w:val="sq-AL"/>
        </w:rPr>
        <w:t xml:space="preserve">jykata e </w:t>
      </w:r>
      <w:r w:rsidR="00212B03" w:rsidRPr="00F74CCD">
        <w:rPr>
          <w:lang w:val="sq-AL"/>
        </w:rPr>
        <w:t>a</w:t>
      </w:r>
      <w:r w:rsidRPr="00F74CCD">
        <w:rPr>
          <w:lang w:val="sq-AL"/>
        </w:rPr>
        <w:t>pelit, vlerësojmë se nuk jemi përpara gjësë së gjykuar. Për rrjedhojë, e gjejmë të gabuar disponimin e kësaj gjykatës për pushimin e çështjes penale në ngarkim të shtetasit Julian Bregu.</w:t>
      </w:r>
    </w:p>
    <w:p w14:paraId="793E5AD8" w14:textId="77777777" w:rsidR="00212B03" w:rsidRPr="00F74CCD" w:rsidRDefault="00E41504" w:rsidP="00F74CCD">
      <w:pPr>
        <w:pStyle w:val="NormalWeb"/>
        <w:numPr>
          <w:ilvl w:val="0"/>
          <w:numId w:val="43"/>
        </w:numPr>
        <w:tabs>
          <w:tab w:val="left" w:pos="540"/>
        </w:tabs>
        <w:spacing w:before="0" w:beforeAutospacing="0" w:after="0" w:afterAutospacing="0"/>
        <w:ind w:left="0" w:firstLine="180"/>
        <w:jc w:val="both"/>
        <w:rPr>
          <w:lang w:val="sq-AL"/>
        </w:rPr>
      </w:pPr>
      <w:r w:rsidRPr="00F74CCD">
        <w:rPr>
          <w:lang w:val="sq-AL"/>
        </w:rPr>
        <w:t xml:space="preserve">Rezulton se, me vendimin nr.294, datë 06.02.2019, të Gjykatës së Rrethit Gjyqësor Tiranë, ndër të tjera i pandehuri Julian Dashamir Bregu është deklaruar i pafajshëm për kryerjen e veprës penale “Mashtrimi” të parashikuar nga neni 143 i Kodit Penal. Ky vendim ende nuk ka marrë formë të prerë, pasi ndaj tij është ushtruar ankim nga prokurori dhe çështja ndodhet ende në Gjykatën e Apelit të Juridiksionit të Përgjithshëm, në pritje për t’u gjykuar. </w:t>
      </w:r>
      <w:r w:rsidR="00212B03" w:rsidRPr="00F74CCD">
        <w:rPr>
          <w:lang w:val="sq-AL"/>
        </w:rPr>
        <w:t xml:space="preserve"> </w:t>
      </w:r>
      <w:r w:rsidRPr="00F74CCD">
        <w:rPr>
          <w:lang w:val="sq-AL"/>
        </w:rPr>
        <w:t xml:space="preserve">Nga ana tjetër, më datë 15.09.2017, nga shtetasja Renata Kiri është depozituar kallëzim ndaj shtetasit Julian Bregu për veprën penale “Mashtrimi” të parashikuar nga neni 143 i Kodit Penal. Për këtë kallëzim është regjistruar procedimi penal nr. 7966 i vitit 2017. Në përfundim të hetimeve paraprake, procedimi është dërguar për gjykim. Me vendimin nr.977, datë 12.06.2020, Gjykata e Rrethit Gjyqësor Tiranë ka vendosur deklarimin fajtor të të pandehurit Julian Dashamir Bregu për kryerjen e veprës penale “Mashtrimi”, të parashikuar nga neni 143/3 i Kodit Penal dhe dënimin e tij me 6 vjet burgim. Kundër këtij vendimi ka paraqitur ankim i pandehuri Julian Bregu, duke kërkuar prishjen e vendimit me pretendimin se çështja duhet pushuar, pasi fakti nuk parashikohet nga ligji si vepër penale dhe se çështja është gjykuar më parë, ku ai është </w:t>
      </w:r>
      <w:r w:rsidRPr="00F74CCD">
        <w:rPr>
          <w:lang w:val="sq-AL"/>
        </w:rPr>
        <w:lastRenderedPageBreak/>
        <w:t xml:space="preserve">deklaruar i pafajshëm. Gjykata e Apelit me vendimin nr.2214 (30-2024-7304), datë 10.10.2024, ka vendosur prishjen e vendimit nr.977, datë 12.06.2020 të Gjykatës së Rrethit Gjyqësor Tiranë dhe pushimin e çështjes për të pandehurin Julian Bregu, duke pretenduar se ai ishte gjykuar njëherë për të njëjtin fakt penal me vendimin nr.294, datë 06.02.2019 dhe se jemi përpara rastit të “ne bis in idem”. </w:t>
      </w:r>
    </w:p>
    <w:p w14:paraId="6AA5D945" w14:textId="77777777" w:rsidR="00212B03" w:rsidRPr="00F74CCD" w:rsidRDefault="00E41504" w:rsidP="00F74CCD">
      <w:pPr>
        <w:pStyle w:val="NormalWeb"/>
        <w:numPr>
          <w:ilvl w:val="0"/>
          <w:numId w:val="43"/>
        </w:numPr>
        <w:tabs>
          <w:tab w:val="left" w:pos="540"/>
        </w:tabs>
        <w:spacing w:before="0" w:beforeAutospacing="0" w:after="0" w:afterAutospacing="0"/>
        <w:ind w:left="0" w:firstLine="180"/>
        <w:jc w:val="both"/>
        <w:rPr>
          <w:lang w:val="sq-AL"/>
        </w:rPr>
      </w:pPr>
      <w:r w:rsidRPr="00F74CCD">
        <w:rPr>
          <w:lang w:val="sq-AL"/>
        </w:rPr>
        <w:t xml:space="preserve">Parimi “ne bis in idem”, i sanksionuar në nenin 7 të </w:t>
      </w:r>
      <w:r w:rsidR="00212B03" w:rsidRPr="00F74CCD">
        <w:rPr>
          <w:lang w:val="sq-AL"/>
        </w:rPr>
        <w:t xml:space="preserve">Kodit të Procedurës Penale </w:t>
      </w:r>
      <w:r w:rsidRPr="00F74CCD">
        <w:rPr>
          <w:lang w:val="sq-AL"/>
        </w:rPr>
        <w:t xml:space="preserve">dhe nenin 34 të Kushtetutës së Republikës, ndalon rigjykimin e të njëjtit fakt penal kur për të ekziston një vendim i formës së prerë. Sipas nenit 462 të </w:t>
      </w:r>
      <w:r w:rsidR="00212B03" w:rsidRPr="00F74CCD">
        <w:rPr>
          <w:lang w:val="sq-AL"/>
        </w:rPr>
        <w:t>Kodit të Procedurës Penale</w:t>
      </w:r>
      <w:r w:rsidRPr="00F74CCD">
        <w:rPr>
          <w:lang w:val="sq-AL"/>
        </w:rPr>
        <w:t xml:space="preserve">, janë vendime të formës së prerë: vendimi i gjykatës së shkallës së parë kur nuk ankimohet ose nuk pranohet ankimi, vendimi i gjykatës së apelit kur zgjidh përfundimisht çështjen, si dhe vendimi i Gjykatës së Lartë në rastet e ekstradimit dhe transferimit të personave të dënuar.  Sipas vendimit unifikues nr.2, datë 03.11.2014 të Kolegjeve të Bashkuara të Gjykatës së Lartë, me shprehjen “vendim i formës së prerë” do të kuptohet, sipas rastit, vendim që ka marrë formën e “gjësë së gjykuar” ose “vendim i ekzekutueshëm”. Vendimi penal merr formën e prerë kur Gjykata e Lartë disponon sipas neneve përkatëse të </w:t>
      </w:r>
      <w:r w:rsidR="00212B03" w:rsidRPr="00F74CCD">
        <w:rPr>
          <w:lang w:val="sq-AL"/>
        </w:rPr>
        <w:t xml:space="preserve">Kodit të Procedurës Penale </w:t>
      </w:r>
      <w:r w:rsidRPr="00F74CCD">
        <w:rPr>
          <w:lang w:val="sq-AL"/>
        </w:rPr>
        <w:t xml:space="preserve">ose kur palët humbasin afatet për paraqitjen e ankimit ose rekursit. Në çdo rast tjetër, me “formë të prerë” do të kuptohet “vendimi i ekzekutueshëm” i gjykatave të apelit. </w:t>
      </w:r>
    </w:p>
    <w:p w14:paraId="180A7B9E" w14:textId="7A6E0AEB" w:rsidR="00E41504" w:rsidRPr="00F74CCD" w:rsidRDefault="00E41504" w:rsidP="00F74CCD">
      <w:pPr>
        <w:pStyle w:val="NormalWeb"/>
        <w:numPr>
          <w:ilvl w:val="0"/>
          <w:numId w:val="43"/>
        </w:numPr>
        <w:tabs>
          <w:tab w:val="left" w:pos="540"/>
        </w:tabs>
        <w:spacing w:before="0" w:beforeAutospacing="0" w:after="0" w:afterAutospacing="0"/>
        <w:ind w:left="0" w:firstLine="180"/>
        <w:jc w:val="both"/>
        <w:rPr>
          <w:lang w:val="sq-AL"/>
        </w:rPr>
      </w:pPr>
      <w:r w:rsidRPr="00F74CCD">
        <w:rPr>
          <w:lang w:val="sq-AL"/>
        </w:rPr>
        <w:t xml:space="preserve">Në rastin konkret, nuk jemi përpara një vendimi të formës së prerë, që do të sillte pamundësinë e vijimit të gjykimit, pasi kundër vendimit nr.294, datë 06.02.2019 të Gjykatës së Rrethit Gjyqësor Tiranë është paraqitur ankim nga prokurori dhe çështja është ende e pashqyrtuar në Gjykatën e Apelit të Juridiksionit të Përgjithshëm. Në këto rrethana, disponimi i Gjykatës së Apelit për pushimin e çështjes penale në ngarkim të shtetasit Julian Bregu është i gabuar. </w:t>
      </w:r>
    </w:p>
    <w:p w14:paraId="41F09C0D" w14:textId="7CBC3A96" w:rsidR="00E41504" w:rsidRPr="00F74CCD" w:rsidRDefault="00E41504" w:rsidP="00F74CCD">
      <w:pPr>
        <w:pStyle w:val="NormalWeb"/>
        <w:numPr>
          <w:ilvl w:val="0"/>
          <w:numId w:val="43"/>
        </w:numPr>
        <w:tabs>
          <w:tab w:val="left" w:pos="540"/>
        </w:tabs>
        <w:spacing w:before="0" w:beforeAutospacing="0" w:after="0" w:afterAutospacing="0"/>
        <w:ind w:left="0" w:firstLine="180"/>
        <w:jc w:val="both"/>
        <w:rPr>
          <w:lang w:val="sq-AL"/>
        </w:rPr>
      </w:pPr>
      <w:r w:rsidRPr="00F74CCD">
        <w:rPr>
          <w:lang w:val="sq-AL"/>
        </w:rPr>
        <w:t>Sa i përket themelsisë së akuzës së ngritur ndaj shtetasit Julian Bregu, gjejmë të drejtë arsyetimin e Gjykatës së Rrethit Gjyqësor Tiranë në vendimin nr. 977, datë 12.06.2020</w:t>
      </w:r>
      <w:r w:rsidR="006C6CB2" w:rsidRPr="00F74CCD">
        <w:rPr>
          <w:lang w:val="sq-AL"/>
        </w:rPr>
        <w:t>.</w:t>
      </w:r>
    </w:p>
    <w:p w14:paraId="65C49B1E" w14:textId="327E7F31" w:rsidR="00E41504" w:rsidRPr="00F74CCD" w:rsidRDefault="00E41504" w:rsidP="00F74CCD">
      <w:pPr>
        <w:pStyle w:val="NormalWeb"/>
        <w:numPr>
          <w:ilvl w:val="0"/>
          <w:numId w:val="35"/>
        </w:numPr>
        <w:tabs>
          <w:tab w:val="left" w:pos="540"/>
          <w:tab w:val="left" w:pos="900"/>
        </w:tabs>
        <w:spacing w:before="0" w:beforeAutospacing="0" w:after="0" w:afterAutospacing="0"/>
        <w:ind w:left="0" w:firstLine="540"/>
        <w:jc w:val="both"/>
        <w:rPr>
          <w:lang w:val="sq-AL"/>
        </w:rPr>
      </w:pPr>
      <w:r w:rsidRPr="00F74CCD">
        <w:rPr>
          <w:b/>
          <w:bCs/>
          <w:lang w:val="sq-AL"/>
        </w:rPr>
        <w:t>Me shkresën nr. 2626, prot</w:t>
      </w:r>
      <w:r w:rsidR="00B32313" w:rsidRPr="00F74CCD">
        <w:rPr>
          <w:b/>
          <w:bCs/>
          <w:lang w:val="sq-AL"/>
        </w:rPr>
        <w:t>.</w:t>
      </w:r>
      <w:r w:rsidRPr="00F74CCD">
        <w:rPr>
          <w:b/>
          <w:bCs/>
          <w:lang w:val="sq-AL"/>
        </w:rPr>
        <w:t xml:space="preserve"> Gj.</w:t>
      </w:r>
      <w:r w:rsidR="00B32313" w:rsidRPr="00F74CCD">
        <w:rPr>
          <w:b/>
          <w:bCs/>
          <w:lang w:val="sq-AL"/>
        </w:rPr>
        <w:t xml:space="preserve"> </w:t>
      </w:r>
      <w:r w:rsidRPr="00F74CCD">
        <w:rPr>
          <w:b/>
          <w:bCs/>
          <w:lang w:val="sq-AL"/>
        </w:rPr>
        <w:t>L</w:t>
      </w:r>
      <w:r w:rsidR="00305087" w:rsidRPr="00F74CCD">
        <w:rPr>
          <w:b/>
          <w:bCs/>
          <w:lang w:val="sq-AL"/>
        </w:rPr>
        <w:t>artë</w:t>
      </w:r>
      <w:r w:rsidRPr="00F74CCD">
        <w:rPr>
          <w:b/>
          <w:bCs/>
          <w:lang w:val="sq-AL"/>
        </w:rPr>
        <w:t xml:space="preserve"> datë 29.04.2026</w:t>
      </w:r>
      <w:r w:rsidRPr="00F74CCD">
        <w:rPr>
          <w:lang w:val="sq-AL"/>
        </w:rPr>
        <w:t>, i pandehuri Julian Bregu (i vetë përfaqësuar) ka paraqitur fotokopje për njoftimin e dispozitivit të vendimit nr.</w:t>
      </w:r>
      <w:r w:rsidR="00B32313" w:rsidRPr="00F74CCD">
        <w:rPr>
          <w:lang w:val="sq-AL"/>
        </w:rPr>
        <w:t xml:space="preserve"> </w:t>
      </w:r>
      <w:r w:rsidRPr="00F74CCD">
        <w:rPr>
          <w:lang w:val="sq-AL"/>
        </w:rPr>
        <w:t>48/2025</w:t>
      </w:r>
      <w:r w:rsidR="00B32313" w:rsidRPr="00F74CCD">
        <w:rPr>
          <w:lang w:val="sq-AL"/>
        </w:rPr>
        <w:t>,</w:t>
      </w:r>
      <w:r w:rsidRPr="00F74CCD">
        <w:rPr>
          <w:lang w:val="sq-AL"/>
        </w:rPr>
        <w:t xml:space="preserve"> datë 19.06.2025</w:t>
      </w:r>
      <w:r w:rsidR="00B32313" w:rsidRPr="00F74CCD">
        <w:rPr>
          <w:lang w:val="sq-AL"/>
        </w:rPr>
        <w:t>,</w:t>
      </w:r>
      <w:r w:rsidRPr="00F74CCD">
        <w:rPr>
          <w:lang w:val="sq-AL"/>
        </w:rPr>
        <w:t xml:space="preserve"> nxjerrë nga faqia zyrtare online e Komisionit të Posaçëm të Apelimit, sipas të cilin është vendosur </w:t>
      </w:r>
      <w:r w:rsidRPr="00F74CCD">
        <w:rPr>
          <w:i/>
          <w:iCs/>
          <w:lang w:val="sq-AL"/>
        </w:rPr>
        <w:t>"Lënia në fuqi e vendimit nr. 664, datë 24.05.2023 të Komisionit të Pavarur të Kualifikimit, që i përket subjektit të rivleresimit Petrit Hysa"</w:t>
      </w:r>
      <w:r w:rsidRPr="00F74CCD">
        <w:rPr>
          <w:iCs/>
          <w:lang w:val="sq-AL"/>
        </w:rPr>
        <w:t>.</w:t>
      </w:r>
      <w:r w:rsidRPr="00F74CCD">
        <w:rPr>
          <w:lang w:val="sq-AL"/>
        </w:rPr>
        <w:t xml:space="preserve"> Marrja formë të prerë e vendimit nr. 664</w:t>
      </w:r>
      <w:r w:rsidR="00212B03" w:rsidRPr="00F74CCD">
        <w:rPr>
          <w:lang w:val="sq-AL"/>
        </w:rPr>
        <w:t>, dat</w:t>
      </w:r>
      <w:r w:rsidR="00FD165D" w:rsidRPr="00F74CCD">
        <w:rPr>
          <w:lang w:val="sq-AL"/>
        </w:rPr>
        <w:t>ë</w:t>
      </w:r>
      <w:r w:rsidR="00212B03" w:rsidRPr="00F74CCD">
        <w:rPr>
          <w:lang w:val="sq-AL"/>
        </w:rPr>
        <w:t xml:space="preserve"> </w:t>
      </w:r>
      <w:r w:rsidRPr="00F74CCD">
        <w:rPr>
          <w:lang w:val="sq-AL"/>
        </w:rPr>
        <w:t>24.05.2023</w:t>
      </w:r>
      <w:r w:rsidR="00B32313" w:rsidRPr="00F74CCD">
        <w:rPr>
          <w:lang w:val="sq-AL"/>
        </w:rPr>
        <w:t>,</w:t>
      </w:r>
      <w:r w:rsidRPr="00F74CCD">
        <w:rPr>
          <w:lang w:val="sq-AL"/>
        </w:rPr>
        <w:t xml:space="preserve"> të K</w:t>
      </w:r>
      <w:r w:rsidR="006C6CB2" w:rsidRPr="00F74CCD">
        <w:rPr>
          <w:lang w:val="sq-AL"/>
        </w:rPr>
        <w:t>omisionit t</w:t>
      </w:r>
      <w:r w:rsidR="00FD165D" w:rsidRPr="00F74CCD">
        <w:rPr>
          <w:lang w:val="sq-AL"/>
        </w:rPr>
        <w:t>ë</w:t>
      </w:r>
      <w:r w:rsidR="006C6CB2" w:rsidRPr="00F74CCD">
        <w:rPr>
          <w:lang w:val="sq-AL"/>
        </w:rPr>
        <w:t xml:space="preserve"> Pavarur t</w:t>
      </w:r>
      <w:r w:rsidR="00FD165D" w:rsidRPr="00F74CCD">
        <w:rPr>
          <w:lang w:val="sq-AL"/>
        </w:rPr>
        <w:t>ë</w:t>
      </w:r>
      <w:r w:rsidR="006C6CB2" w:rsidRPr="00F74CCD">
        <w:rPr>
          <w:lang w:val="sq-AL"/>
        </w:rPr>
        <w:t xml:space="preserve"> Kualifikimit (K</w:t>
      </w:r>
      <w:r w:rsidRPr="00F74CCD">
        <w:rPr>
          <w:lang w:val="sq-AL"/>
        </w:rPr>
        <w:t>PK</w:t>
      </w:r>
      <w:r w:rsidR="006C6CB2" w:rsidRPr="00F74CCD">
        <w:rPr>
          <w:lang w:val="sq-AL"/>
        </w:rPr>
        <w:t>)</w:t>
      </w:r>
      <w:r w:rsidRPr="00F74CCD">
        <w:rPr>
          <w:lang w:val="sq-AL"/>
        </w:rPr>
        <w:t xml:space="preserve"> është një rethanë që në vler</w:t>
      </w:r>
      <w:r w:rsidR="00B32313" w:rsidRPr="00F74CCD">
        <w:rPr>
          <w:lang w:val="sq-AL"/>
        </w:rPr>
        <w:t>ë</w:t>
      </w:r>
      <w:r w:rsidRPr="00F74CCD">
        <w:rPr>
          <w:lang w:val="sq-AL"/>
        </w:rPr>
        <w:t>simin tonë, duhet të kihet në konsideratë për zgjidhjen e drejtë të kësaj çështje</w:t>
      </w:r>
      <w:r w:rsidR="00B32313" w:rsidRPr="00F74CCD">
        <w:rPr>
          <w:lang w:val="sq-AL"/>
        </w:rPr>
        <w:t>je</w:t>
      </w:r>
      <w:r w:rsidRPr="00F74CCD">
        <w:rPr>
          <w:lang w:val="sq-AL"/>
        </w:rPr>
        <w:t>.</w:t>
      </w:r>
    </w:p>
    <w:p w14:paraId="56BACD62" w14:textId="77777777" w:rsidR="00602E69" w:rsidRPr="00F74CCD" w:rsidRDefault="00602E69" w:rsidP="00F74CCD">
      <w:pPr>
        <w:pStyle w:val="ListParagraph"/>
        <w:tabs>
          <w:tab w:val="left" w:pos="900"/>
          <w:tab w:val="left" w:pos="1080"/>
          <w:tab w:val="left" w:pos="153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s>
        <w:ind w:left="540"/>
        <w:rPr>
          <w:color w:val="000000"/>
          <w:sz w:val="24"/>
          <w:szCs w:val="24"/>
        </w:rPr>
      </w:pPr>
    </w:p>
    <w:bookmarkEnd w:id="2"/>
    <w:p w14:paraId="14FB4FB3" w14:textId="5C60930A" w:rsidR="003B1199" w:rsidRPr="00F74CCD" w:rsidRDefault="00D975F2" w:rsidP="00F74CCD">
      <w:pPr>
        <w:pStyle w:val="ListParagraph"/>
        <w:numPr>
          <w:ilvl w:val="0"/>
          <w:numId w:val="1"/>
        </w:numPr>
        <w:ind w:right="40" w:hanging="180"/>
        <w:jc w:val="both"/>
        <w:rPr>
          <w:b/>
          <w:sz w:val="24"/>
          <w:szCs w:val="24"/>
          <w:lang w:bidi="en-US"/>
        </w:rPr>
      </w:pPr>
      <w:r w:rsidRPr="00F74CCD">
        <w:rPr>
          <w:b/>
          <w:sz w:val="24"/>
          <w:szCs w:val="24"/>
        </w:rPr>
        <w:t>Vlerësimi i Kolegjit Penal të Gjykatës së Lartë</w:t>
      </w:r>
    </w:p>
    <w:p w14:paraId="6E5292CB" w14:textId="77777777" w:rsidR="00E847F6" w:rsidRPr="00F74CCD" w:rsidRDefault="00E847F6" w:rsidP="00F74CCD">
      <w:pPr>
        <w:pStyle w:val="ListParagraph"/>
        <w:ind w:right="40"/>
        <w:jc w:val="both"/>
        <w:rPr>
          <w:b/>
          <w:sz w:val="24"/>
          <w:szCs w:val="24"/>
          <w:lang w:bidi="en-US"/>
        </w:rPr>
      </w:pPr>
    </w:p>
    <w:p w14:paraId="15B7E86E" w14:textId="4E06333D" w:rsidR="006C6CB2" w:rsidRPr="00F74CCD" w:rsidRDefault="006C6CB2" w:rsidP="00F74CCD">
      <w:pPr>
        <w:pStyle w:val="ListParagraph"/>
        <w:numPr>
          <w:ilvl w:val="0"/>
          <w:numId w:val="35"/>
        </w:numPr>
        <w:tabs>
          <w:tab w:val="left" w:pos="990"/>
        </w:tabs>
        <w:ind w:left="0" w:right="40" w:firstLine="540"/>
        <w:jc w:val="both"/>
        <w:rPr>
          <w:color w:val="000000"/>
          <w:spacing w:val="2"/>
          <w:sz w:val="24"/>
          <w:szCs w:val="24"/>
          <w:lang w:bidi="en-US"/>
        </w:rPr>
      </w:pPr>
      <w:r w:rsidRPr="00F74CCD">
        <w:rPr>
          <w:sz w:val="24"/>
          <w:szCs w:val="24"/>
        </w:rPr>
        <w:t xml:space="preserve">Kolegji Penal i Gjykatës së Lartë (në vijim Kolegji) fillimisht vlerëson të theksojë se, në lidhje me këtë çështje, </w:t>
      </w:r>
      <w:r w:rsidRPr="00F74CCD">
        <w:rPr>
          <w:rFonts w:eastAsia="MS Mincho"/>
          <w:sz w:val="24"/>
          <w:szCs w:val="24"/>
        </w:rPr>
        <w:t xml:space="preserve">mban parasysh rregullimet kushtetuese mbi kufijtë e shqyrtimit të çështjeve në Gjykatën e Lartë, neni 141, pika 1 i Kushtetutës së Republikës së Shqipërisë (ligji nr. 76/2016, datë 22.07.2016), sipas të cilit, Gjykata e Lartë shqyrton çështje lidhur me kuptimin dhe zbatimin e ligjit, për të siguruar njësimin ose zhvillimin e praktikës gjyqësore në përputhje me të. Ky parashikim kushtetues është shoqëruar me ndryshimet ligjore në </w:t>
      </w:r>
      <w:r w:rsidR="00516854" w:rsidRPr="00F74CCD">
        <w:rPr>
          <w:rFonts w:eastAsia="MS Mincho"/>
          <w:sz w:val="24"/>
          <w:szCs w:val="24"/>
        </w:rPr>
        <w:t xml:space="preserve">Kodin e Procedurës Penale (në vijim </w:t>
      </w:r>
      <w:r w:rsidRPr="00F74CCD">
        <w:rPr>
          <w:rFonts w:eastAsia="MS Mincho"/>
          <w:sz w:val="24"/>
          <w:szCs w:val="24"/>
        </w:rPr>
        <w:t>KPP</w:t>
      </w:r>
      <w:r w:rsidR="00516854" w:rsidRPr="00F74CCD">
        <w:rPr>
          <w:rFonts w:eastAsia="MS Mincho"/>
          <w:sz w:val="24"/>
          <w:szCs w:val="24"/>
        </w:rPr>
        <w:t>)</w:t>
      </w:r>
      <w:r w:rsidRPr="00F74CCD">
        <w:rPr>
          <w:rFonts w:eastAsia="MS Mincho"/>
          <w:sz w:val="24"/>
          <w:szCs w:val="24"/>
        </w:rPr>
        <w:t xml:space="preserve">, </w:t>
      </w:r>
      <w:r w:rsidRPr="00F74CCD">
        <w:rPr>
          <w:sz w:val="24"/>
          <w:szCs w:val="24"/>
        </w:rPr>
        <w:t xml:space="preserve">me ligjin nr. 35/2017 (hyrë në fuqi në datë 1 gusht 2017), si dhe me ligjin nr. 41/2021 (hyrë në fuqi në datën 29.05.2021), </w:t>
      </w:r>
      <w:r w:rsidRPr="00F74CCD">
        <w:rPr>
          <w:rFonts w:eastAsia="MS Mincho"/>
          <w:sz w:val="24"/>
          <w:szCs w:val="24"/>
        </w:rPr>
        <w:t>duke e pozicionuar Gjykatën e Lartë si një gjykatë ligji, ku në sferën e shqyrtimit të saj nuk hyjnë çështje të vlerësimit të fakteve dhe provave</w:t>
      </w:r>
      <w:r w:rsidRPr="00F74CCD">
        <w:rPr>
          <w:sz w:val="24"/>
          <w:szCs w:val="24"/>
          <w:shd w:val="clear" w:color="auto" w:fill="FFFFFF"/>
        </w:rPr>
        <w:t xml:space="preserve">. </w:t>
      </w:r>
    </w:p>
    <w:p w14:paraId="07D75DB1" w14:textId="77777777" w:rsidR="006C6CB2" w:rsidRPr="00F74CCD" w:rsidRDefault="006C6CB2" w:rsidP="00F74CCD">
      <w:pPr>
        <w:pStyle w:val="ListParagraph"/>
        <w:numPr>
          <w:ilvl w:val="0"/>
          <w:numId w:val="35"/>
        </w:numPr>
        <w:tabs>
          <w:tab w:val="left" w:pos="990"/>
        </w:tabs>
        <w:ind w:left="0" w:right="40" w:firstLine="540"/>
        <w:jc w:val="both"/>
        <w:rPr>
          <w:color w:val="000000"/>
          <w:spacing w:val="2"/>
          <w:sz w:val="24"/>
          <w:szCs w:val="24"/>
          <w:lang w:bidi="en-US"/>
        </w:rPr>
      </w:pPr>
      <w:r w:rsidRPr="00F74CCD">
        <w:rPr>
          <w:sz w:val="24"/>
          <w:szCs w:val="24"/>
        </w:rPr>
        <w:t>Neni 432 i KPP, në pikën 1 të tij, parashikon: “</w:t>
      </w:r>
      <w:r w:rsidRPr="00F74CCD">
        <w:rPr>
          <w:i/>
          <w:iCs/>
          <w:sz w:val="24"/>
          <w:szCs w:val="24"/>
        </w:rPr>
        <w:t xml:space="preserve">Rekursi në Gjykatën e Lartë kundër vendimeve të gjykatës së apelit mund të bëhet për këto shkaqe: a) për mosrespektimin ose zbatimin e gabuar të ligjit material ose procedural, me rëndësi për njësimin ose zhvillimin e praktikës gjyqësore; b) për mosrespektimin ose zbatimin e gabuar të ligjit procedural me </w:t>
      </w:r>
      <w:r w:rsidRPr="00F74CCD">
        <w:rPr>
          <w:i/>
          <w:iCs/>
          <w:sz w:val="24"/>
          <w:szCs w:val="24"/>
        </w:rPr>
        <w:lastRenderedPageBreak/>
        <w:t>pasojë pavlefshmërinë e vendimit, pavlefshmërinë absolute të akteve ose papërdorshmërinë e provave; c) kur vendimi i ankimuar vjen në kundërshtim me praktikën e Kolegjit Penal ose të Kolegjeve të Bashkuara të Gjykatës së Lartë</w:t>
      </w:r>
      <w:r w:rsidRPr="00F74CCD">
        <w:rPr>
          <w:sz w:val="24"/>
          <w:szCs w:val="24"/>
        </w:rPr>
        <w:t xml:space="preserve"> ”. Kolegji konstaton se rekursi nga Prokuroria pranë Gjykatës së Apelit të Juridiksionit të Përgjithshëm </w:t>
      </w:r>
      <w:r w:rsidRPr="00F74CCD">
        <w:rPr>
          <w:rFonts w:eastAsia="Calibri"/>
          <w:color w:val="000000"/>
          <w:sz w:val="24"/>
          <w:szCs w:val="24"/>
          <w:lang w:eastAsia="x-none"/>
        </w:rPr>
        <w:t xml:space="preserve">plotëson kriteret formale të pranueshmërisë dhe </w:t>
      </w:r>
      <w:r w:rsidRPr="00F74CCD">
        <w:rPr>
          <w:iCs/>
          <w:color w:val="000000"/>
          <w:sz w:val="24"/>
          <w:szCs w:val="24"/>
        </w:rPr>
        <w:t>është paraqitur brenda afatit të parashikuar në ligjin procedural penal (referuar afatit të përgjithshëm të ushtrimit të këtij mjeti ankimi/rekursi, përsa kohë dispozitat e zbatueshme nuk parashikojnë afat të veçantë)</w:t>
      </w:r>
      <w:r w:rsidRPr="00F74CCD">
        <w:rPr>
          <w:sz w:val="24"/>
          <w:szCs w:val="24"/>
        </w:rPr>
        <w:t>. Palët në gjykim janë njoftuar për rekursin e paraqitur.</w:t>
      </w:r>
    </w:p>
    <w:p w14:paraId="4D00D31C" w14:textId="15E2C91F" w:rsidR="006C6CB2" w:rsidRPr="00F74CCD" w:rsidRDefault="006C6CB2" w:rsidP="00F74CCD">
      <w:pPr>
        <w:pStyle w:val="ListParagraph"/>
        <w:numPr>
          <w:ilvl w:val="0"/>
          <w:numId w:val="35"/>
        </w:numPr>
        <w:tabs>
          <w:tab w:val="left" w:pos="990"/>
        </w:tabs>
        <w:ind w:left="0" w:right="40" w:firstLine="540"/>
        <w:jc w:val="both"/>
        <w:rPr>
          <w:color w:val="000000"/>
          <w:spacing w:val="2"/>
          <w:sz w:val="24"/>
          <w:szCs w:val="24"/>
          <w:lang w:bidi="en-US"/>
        </w:rPr>
      </w:pPr>
      <w:r w:rsidRPr="00F74CCD">
        <w:rPr>
          <w:sz w:val="24"/>
          <w:szCs w:val="24"/>
        </w:rPr>
        <w:t>Përpara shqyrtimit të përmbajtjes</w:t>
      </w:r>
      <w:r w:rsidR="00516854" w:rsidRPr="00F74CCD">
        <w:rPr>
          <w:sz w:val="24"/>
          <w:szCs w:val="24"/>
        </w:rPr>
        <w:t>,</w:t>
      </w:r>
      <w:r w:rsidRPr="00F74CCD">
        <w:rPr>
          <w:sz w:val="24"/>
          <w:szCs w:val="24"/>
        </w:rPr>
        <w:t xml:space="preserve"> bazueshmërisë substanciale të shkaqeve të rekursit, Kolegji risjell në vëmendje se pjesa e pretendimeve në rekurs që ngre çështje të provave </w:t>
      </w:r>
      <w:r w:rsidRPr="00F74CCD">
        <w:rPr>
          <w:i/>
          <w:iCs/>
          <w:sz w:val="24"/>
          <w:szCs w:val="24"/>
        </w:rPr>
        <w:t>(të shqyrtuara nga gjykatat e faktit në zbatim të nenit 152 të KPP)</w:t>
      </w:r>
      <w:r w:rsidRPr="00F74CCD">
        <w:rPr>
          <w:sz w:val="24"/>
          <w:szCs w:val="24"/>
        </w:rPr>
        <w:t xml:space="preserve">, del jashtë juridiksionit ekskluzivisht ligjor të Gjykatës së Lartë. Qëndrimi që mban Kolegji për rastin në shqyrtim, bazohet edhe në jurisprudencën e konsoliduar të Kolegjit Penal të Gjykatës së Lartë, që referon në jurisprudencën e Gjykatës Kushtetuese dhe të Gjykatës Europiane për të Drejtat e Njeriut, sipas të cilave shkaqet e parashtruara në rekurs që rezultojnë haptazi të pabazuara vlerësohen si të papranueshme për pranimin e rekursit. </w:t>
      </w:r>
      <w:r w:rsidRPr="00F74CCD">
        <w:rPr>
          <w:rFonts w:eastAsia="Calibri"/>
          <w:sz w:val="24"/>
          <w:szCs w:val="24"/>
        </w:rPr>
        <w:t xml:space="preserve">Gjykata e Lartë, për shkak të pozicionit dhe rolit të saj si gjykatë ligji, ka për detyrë të kontrollojë mënyrën e zbatimit të ligjit material dhe procedural nga ana e gjykatave më të ulëta. </w:t>
      </w:r>
    </w:p>
    <w:p w14:paraId="5DF1B430" w14:textId="5EB35DBF" w:rsidR="00D5627C" w:rsidRPr="00F74CCD" w:rsidRDefault="00C84B0F" w:rsidP="00F74CCD">
      <w:pPr>
        <w:pStyle w:val="ListParagraph"/>
        <w:numPr>
          <w:ilvl w:val="0"/>
          <w:numId w:val="35"/>
        </w:numPr>
        <w:tabs>
          <w:tab w:val="left" w:pos="990"/>
        </w:tabs>
        <w:ind w:left="0" w:right="40" w:firstLine="540"/>
        <w:jc w:val="both"/>
        <w:rPr>
          <w:color w:val="000000"/>
          <w:spacing w:val="2"/>
          <w:sz w:val="24"/>
          <w:szCs w:val="24"/>
          <w:lang w:bidi="en-US"/>
        </w:rPr>
      </w:pPr>
      <w:r w:rsidRPr="00F74CCD">
        <w:rPr>
          <w:sz w:val="24"/>
          <w:szCs w:val="24"/>
          <w:shd w:val="clear" w:color="auto" w:fill="FFFFFF"/>
        </w:rPr>
        <w:t xml:space="preserve">Nga shqyrtimi i pretendimeve të paraqitura nga </w:t>
      </w:r>
      <w:r w:rsidR="00690F9E" w:rsidRPr="00F74CCD">
        <w:rPr>
          <w:sz w:val="24"/>
          <w:szCs w:val="24"/>
          <w:shd w:val="clear" w:color="auto" w:fill="FFFFFF"/>
        </w:rPr>
        <w:t>P</w:t>
      </w:r>
      <w:r w:rsidRPr="00F74CCD">
        <w:rPr>
          <w:sz w:val="24"/>
          <w:szCs w:val="24"/>
          <w:shd w:val="clear" w:color="auto" w:fill="FFFFFF"/>
        </w:rPr>
        <w:t>rokuroria</w:t>
      </w:r>
      <w:r w:rsidR="00516854" w:rsidRPr="00F74CCD">
        <w:rPr>
          <w:sz w:val="24"/>
          <w:szCs w:val="24"/>
          <w:shd w:val="clear" w:color="auto" w:fill="FFFFFF"/>
        </w:rPr>
        <w:t>,</w:t>
      </w:r>
      <w:r w:rsidRPr="00F74CCD">
        <w:rPr>
          <w:sz w:val="24"/>
          <w:szCs w:val="24"/>
          <w:shd w:val="clear" w:color="auto" w:fill="FFFFFF"/>
        </w:rPr>
        <w:t xml:space="preserve"> nëpërmjet rekursit, si dhe viktima e veprës penale</w:t>
      </w:r>
      <w:r w:rsidR="007408CA" w:rsidRPr="00F74CCD">
        <w:rPr>
          <w:sz w:val="24"/>
          <w:szCs w:val="24"/>
          <w:shd w:val="clear" w:color="auto" w:fill="FFFFFF"/>
        </w:rPr>
        <w:t xml:space="preserve"> </w:t>
      </w:r>
      <w:r w:rsidRPr="00F74CCD">
        <w:rPr>
          <w:sz w:val="24"/>
          <w:szCs w:val="24"/>
          <w:shd w:val="clear" w:color="auto" w:fill="FFFFFF"/>
        </w:rPr>
        <w:t>Renata Kiri</w:t>
      </w:r>
      <w:r w:rsidR="00516854" w:rsidRPr="00F74CCD">
        <w:rPr>
          <w:sz w:val="24"/>
          <w:szCs w:val="24"/>
          <w:shd w:val="clear" w:color="auto" w:fill="FFFFFF"/>
        </w:rPr>
        <w:t>,</w:t>
      </w:r>
      <w:r w:rsidRPr="00F74CCD">
        <w:rPr>
          <w:sz w:val="24"/>
          <w:szCs w:val="24"/>
          <w:shd w:val="clear" w:color="auto" w:fill="FFFFFF"/>
        </w:rPr>
        <w:t xml:space="preserve"> nëpërmjet parashtrimeve, rezulton se </w:t>
      </w:r>
      <w:r w:rsidR="006B774F" w:rsidRPr="00F74CCD">
        <w:rPr>
          <w:sz w:val="24"/>
          <w:szCs w:val="24"/>
          <w:shd w:val="clear" w:color="auto" w:fill="FFFFFF"/>
        </w:rPr>
        <w:t>k</w:t>
      </w:r>
      <w:r w:rsidR="00305087" w:rsidRPr="00F74CCD">
        <w:rPr>
          <w:sz w:val="24"/>
          <w:szCs w:val="24"/>
          <w:shd w:val="clear" w:color="auto" w:fill="FFFFFF"/>
        </w:rPr>
        <w:t>ë</w:t>
      </w:r>
      <w:r w:rsidR="006B774F" w:rsidRPr="00F74CCD">
        <w:rPr>
          <w:sz w:val="24"/>
          <w:szCs w:val="24"/>
          <w:shd w:val="clear" w:color="auto" w:fill="FFFFFF"/>
        </w:rPr>
        <w:t xml:space="preserve">to </w:t>
      </w:r>
      <w:r w:rsidRPr="00F74CCD">
        <w:rPr>
          <w:sz w:val="24"/>
          <w:szCs w:val="24"/>
          <w:shd w:val="clear" w:color="auto" w:fill="FFFFFF"/>
        </w:rPr>
        <w:t>subjekte/pal</w:t>
      </w:r>
      <w:r w:rsidR="00FD165D" w:rsidRPr="00F74CCD">
        <w:rPr>
          <w:sz w:val="24"/>
          <w:szCs w:val="24"/>
          <w:shd w:val="clear" w:color="auto" w:fill="FFFFFF"/>
        </w:rPr>
        <w:t>ë</w:t>
      </w:r>
      <w:r w:rsidRPr="00F74CCD">
        <w:rPr>
          <w:sz w:val="24"/>
          <w:szCs w:val="24"/>
          <w:shd w:val="clear" w:color="auto" w:fill="FFFFFF"/>
        </w:rPr>
        <w:t xml:space="preserve"> </w:t>
      </w:r>
      <w:r w:rsidR="00690F9E" w:rsidRPr="00F74CCD">
        <w:rPr>
          <w:sz w:val="24"/>
          <w:szCs w:val="24"/>
          <w:shd w:val="clear" w:color="auto" w:fill="FFFFFF"/>
        </w:rPr>
        <w:t>t</w:t>
      </w:r>
      <w:r w:rsidR="00FD165D" w:rsidRPr="00F74CCD">
        <w:rPr>
          <w:sz w:val="24"/>
          <w:szCs w:val="24"/>
          <w:shd w:val="clear" w:color="auto" w:fill="FFFFFF"/>
        </w:rPr>
        <w:t>ë</w:t>
      </w:r>
      <w:r w:rsidRPr="00F74CCD">
        <w:rPr>
          <w:sz w:val="24"/>
          <w:szCs w:val="24"/>
          <w:shd w:val="clear" w:color="auto" w:fill="FFFFFF"/>
        </w:rPr>
        <w:t xml:space="preserve"> proces</w:t>
      </w:r>
      <w:r w:rsidR="00690F9E" w:rsidRPr="00F74CCD">
        <w:rPr>
          <w:sz w:val="24"/>
          <w:szCs w:val="24"/>
          <w:shd w:val="clear" w:color="auto" w:fill="FFFFFF"/>
        </w:rPr>
        <w:t>it</w:t>
      </w:r>
      <w:r w:rsidRPr="00F74CCD">
        <w:rPr>
          <w:sz w:val="24"/>
          <w:szCs w:val="24"/>
          <w:shd w:val="clear" w:color="auto" w:fill="FFFFFF"/>
        </w:rPr>
        <w:t xml:space="preserve"> parashtrojn</w:t>
      </w:r>
      <w:r w:rsidR="00FD165D" w:rsidRPr="00F74CCD">
        <w:rPr>
          <w:sz w:val="24"/>
          <w:szCs w:val="24"/>
          <w:shd w:val="clear" w:color="auto" w:fill="FFFFFF"/>
        </w:rPr>
        <w:t>ë</w:t>
      </w:r>
      <w:r w:rsidR="00690F9E" w:rsidRPr="00F74CCD">
        <w:rPr>
          <w:sz w:val="24"/>
          <w:szCs w:val="24"/>
          <w:shd w:val="clear" w:color="auto" w:fill="FFFFFF"/>
        </w:rPr>
        <w:t xml:space="preserve"> n</w:t>
      </w:r>
      <w:r w:rsidR="00FE634E" w:rsidRPr="00F74CCD">
        <w:rPr>
          <w:sz w:val="24"/>
          <w:szCs w:val="24"/>
          <w:shd w:val="clear" w:color="auto" w:fill="FFFFFF"/>
        </w:rPr>
        <w:t>ë</w:t>
      </w:r>
      <w:r w:rsidR="00690F9E" w:rsidRPr="00F74CCD">
        <w:rPr>
          <w:sz w:val="24"/>
          <w:szCs w:val="24"/>
          <w:shd w:val="clear" w:color="auto" w:fill="FFFFFF"/>
        </w:rPr>
        <w:t xml:space="preserve"> unison</w:t>
      </w:r>
      <w:r w:rsidRPr="00F74CCD">
        <w:rPr>
          <w:sz w:val="24"/>
          <w:szCs w:val="24"/>
          <w:shd w:val="clear" w:color="auto" w:fill="FFFFFF"/>
        </w:rPr>
        <w:t xml:space="preserve"> </w:t>
      </w:r>
      <w:r w:rsidRPr="00F74CCD">
        <w:rPr>
          <w:sz w:val="24"/>
          <w:szCs w:val="24"/>
        </w:rPr>
        <w:t xml:space="preserve">pretendime për zbatim të gabuar të ligjit nga Gjykata e Apelit të Juridiksionit të Përgjithshëm (në vijim Gjykata e Apelit), me pasojë prishjen e vendimit objekt rekursi dhe kthimin e çështjes për rishqyrtim në </w:t>
      </w:r>
      <w:r w:rsidR="00690F9E" w:rsidRPr="00F74CCD">
        <w:rPr>
          <w:sz w:val="24"/>
          <w:szCs w:val="24"/>
        </w:rPr>
        <w:t>Gjykatën e Apelit</w:t>
      </w:r>
      <w:r w:rsidRPr="00F74CCD">
        <w:rPr>
          <w:sz w:val="24"/>
          <w:szCs w:val="24"/>
        </w:rPr>
        <w:t>. N</w:t>
      </w:r>
      <w:r w:rsidR="00FD165D" w:rsidRPr="00F74CCD">
        <w:rPr>
          <w:sz w:val="24"/>
          <w:szCs w:val="24"/>
        </w:rPr>
        <w:t>ë</w:t>
      </w:r>
      <w:r w:rsidRPr="00F74CCD">
        <w:rPr>
          <w:sz w:val="24"/>
          <w:szCs w:val="24"/>
        </w:rPr>
        <w:t xml:space="preserve"> rekurs </w:t>
      </w:r>
      <w:r w:rsidR="00690F9E" w:rsidRPr="00F74CCD">
        <w:rPr>
          <w:sz w:val="24"/>
          <w:szCs w:val="24"/>
        </w:rPr>
        <w:t>parashtrohet</w:t>
      </w:r>
      <w:r w:rsidRPr="00F74CCD">
        <w:rPr>
          <w:sz w:val="24"/>
          <w:szCs w:val="24"/>
        </w:rPr>
        <w:t xml:space="preserve"> se </w:t>
      </w:r>
      <w:r w:rsidRPr="00F74CCD">
        <w:rPr>
          <w:sz w:val="24"/>
          <w:szCs w:val="24"/>
          <w:shd w:val="clear" w:color="auto" w:fill="FFFFFF"/>
        </w:rPr>
        <w:t>Gjykata e Apelit me disponimin për “</w:t>
      </w:r>
      <w:r w:rsidRPr="00F74CCD">
        <w:rPr>
          <w:i/>
          <w:iCs/>
          <w:color w:val="000000"/>
          <w:sz w:val="24"/>
          <w:szCs w:val="24"/>
        </w:rPr>
        <w:t>Prishjen e vendimit nr.977 datë 12.06.2020 të Gjykatës së Rrethit Gjyqësor Tiranë dhe pushimin e çështjes penale për të pandehurin Julian Bregu, për shkak se ndjekja penale në lidhje me këtë procedim penal nr.7966/2017, për këtë të pandehur, nuk mund të vazhdojë”</w:t>
      </w:r>
      <w:r w:rsidRPr="00F74CCD">
        <w:rPr>
          <w:iCs/>
          <w:color w:val="000000"/>
          <w:sz w:val="24"/>
          <w:szCs w:val="24"/>
        </w:rPr>
        <w:t>,</w:t>
      </w:r>
      <w:r w:rsidRPr="00F74CCD">
        <w:rPr>
          <w:sz w:val="24"/>
          <w:szCs w:val="24"/>
          <w:shd w:val="clear" w:color="auto" w:fill="FFFFFF"/>
        </w:rPr>
        <w:t xml:space="preserve"> nuk ka zbatuar drejt </w:t>
      </w:r>
      <w:r w:rsidR="006B774F" w:rsidRPr="00F74CCD">
        <w:rPr>
          <w:sz w:val="24"/>
          <w:szCs w:val="24"/>
          <w:shd w:val="clear" w:color="auto" w:fill="FFFFFF"/>
        </w:rPr>
        <w:t xml:space="preserve">ligjin </w:t>
      </w:r>
      <w:r w:rsidRPr="00F74CCD">
        <w:rPr>
          <w:sz w:val="24"/>
          <w:szCs w:val="24"/>
          <w:shd w:val="clear" w:color="auto" w:fill="FFFFFF"/>
        </w:rPr>
        <w:t>penal</w:t>
      </w:r>
      <w:r w:rsidR="00690F9E" w:rsidRPr="00F74CCD">
        <w:rPr>
          <w:sz w:val="24"/>
          <w:szCs w:val="24"/>
          <w:shd w:val="clear" w:color="auto" w:fill="FFFFFF"/>
        </w:rPr>
        <w:t>, pasi v</w:t>
      </w:r>
      <w:r w:rsidRPr="00F74CCD">
        <w:rPr>
          <w:color w:val="000000"/>
          <w:sz w:val="24"/>
          <w:szCs w:val="24"/>
        </w:rPr>
        <w:t>endimi nr.</w:t>
      </w:r>
      <w:r w:rsidR="006B774F" w:rsidRPr="00F74CCD">
        <w:rPr>
          <w:color w:val="000000"/>
          <w:sz w:val="24"/>
          <w:szCs w:val="24"/>
        </w:rPr>
        <w:t xml:space="preserve"> </w:t>
      </w:r>
      <w:r w:rsidRPr="00F74CCD">
        <w:rPr>
          <w:color w:val="000000"/>
          <w:sz w:val="24"/>
          <w:szCs w:val="24"/>
        </w:rPr>
        <w:t>294, datë 06.02.2019</w:t>
      </w:r>
      <w:r w:rsidR="00516854" w:rsidRPr="00F74CCD">
        <w:rPr>
          <w:color w:val="000000"/>
          <w:sz w:val="24"/>
          <w:szCs w:val="24"/>
        </w:rPr>
        <w:t>,</w:t>
      </w:r>
      <w:r w:rsidRPr="00F74CCD">
        <w:rPr>
          <w:color w:val="000000"/>
          <w:sz w:val="24"/>
          <w:szCs w:val="24"/>
        </w:rPr>
        <w:t xml:space="preserve"> i Gjykatës së Rrethit Gjyqësor Tiranë</w:t>
      </w:r>
      <w:r w:rsidRPr="00F74CCD">
        <w:rPr>
          <w:sz w:val="24"/>
          <w:szCs w:val="24"/>
        </w:rPr>
        <w:t xml:space="preserve"> ende nuk ka marrë formë të prerë</w:t>
      </w:r>
      <w:r w:rsidR="00690F9E" w:rsidRPr="00F74CCD">
        <w:rPr>
          <w:sz w:val="24"/>
          <w:szCs w:val="24"/>
        </w:rPr>
        <w:t xml:space="preserve">, </w:t>
      </w:r>
      <w:r w:rsidR="006B774F" w:rsidRPr="00F74CCD">
        <w:rPr>
          <w:sz w:val="24"/>
          <w:szCs w:val="24"/>
        </w:rPr>
        <w:t xml:space="preserve">ndaj tij </w:t>
      </w:r>
      <w:r w:rsidR="00305087" w:rsidRPr="00F74CCD">
        <w:rPr>
          <w:sz w:val="24"/>
          <w:szCs w:val="24"/>
        </w:rPr>
        <w:t>ë</w:t>
      </w:r>
      <w:r w:rsidR="006B774F" w:rsidRPr="00F74CCD">
        <w:rPr>
          <w:sz w:val="24"/>
          <w:szCs w:val="24"/>
        </w:rPr>
        <w:t>sht</w:t>
      </w:r>
      <w:r w:rsidR="00305087" w:rsidRPr="00F74CCD">
        <w:rPr>
          <w:sz w:val="24"/>
          <w:szCs w:val="24"/>
        </w:rPr>
        <w:t>ë</w:t>
      </w:r>
      <w:r w:rsidR="006B774F" w:rsidRPr="00F74CCD">
        <w:rPr>
          <w:sz w:val="24"/>
          <w:szCs w:val="24"/>
        </w:rPr>
        <w:t xml:space="preserve"> ushtruar ankim</w:t>
      </w:r>
      <w:r w:rsidRPr="00F74CCD">
        <w:rPr>
          <w:sz w:val="24"/>
          <w:szCs w:val="24"/>
        </w:rPr>
        <w:t xml:space="preserve"> </w:t>
      </w:r>
      <w:r w:rsidR="00690F9E" w:rsidRPr="00F74CCD">
        <w:rPr>
          <w:sz w:val="24"/>
          <w:szCs w:val="24"/>
        </w:rPr>
        <w:t>nga</w:t>
      </w:r>
      <w:r w:rsidRPr="00F74CCD">
        <w:rPr>
          <w:sz w:val="24"/>
          <w:szCs w:val="24"/>
        </w:rPr>
        <w:t xml:space="preserve"> prokurori</w:t>
      </w:r>
      <w:r w:rsidR="006B774F" w:rsidRPr="00F74CCD">
        <w:rPr>
          <w:sz w:val="24"/>
          <w:szCs w:val="24"/>
        </w:rPr>
        <w:t xml:space="preserve"> </w:t>
      </w:r>
      <w:r w:rsidRPr="00F74CCD">
        <w:rPr>
          <w:sz w:val="24"/>
          <w:szCs w:val="24"/>
        </w:rPr>
        <w:t>dhe çështja ndodhet në Gjykatën e Apelit</w:t>
      </w:r>
      <w:r w:rsidR="00690F9E" w:rsidRPr="00F74CCD">
        <w:rPr>
          <w:sz w:val="24"/>
          <w:szCs w:val="24"/>
        </w:rPr>
        <w:t xml:space="preserve"> n</w:t>
      </w:r>
      <w:r w:rsidR="00FE634E" w:rsidRPr="00F74CCD">
        <w:rPr>
          <w:sz w:val="24"/>
          <w:szCs w:val="24"/>
        </w:rPr>
        <w:t>ë</w:t>
      </w:r>
      <w:r w:rsidR="00690F9E" w:rsidRPr="00F74CCD">
        <w:rPr>
          <w:sz w:val="24"/>
          <w:szCs w:val="24"/>
        </w:rPr>
        <w:t xml:space="preserve"> pritje t</w:t>
      </w:r>
      <w:r w:rsidR="00FE634E" w:rsidRPr="00F74CCD">
        <w:rPr>
          <w:sz w:val="24"/>
          <w:szCs w:val="24"/>
        </w:rPr>
        <w:t>ë</w:t>
      </w:r>
      <w:r w:rsidR="00690F9E" w:rsidRPr="00F74CCD">
        <w:rPr>
          <w:sz w:val="24"/>
          <w:szCs w:val="24"/>
        </w:rPr>
        <w:t xml:space="preserve"> </w:t>
      </w:r>
      <w:r w:rsidR="006B774F" w:rsidRPr="00F74CCD">
        <w:rPr>
          <w:sz w:val="24"/>
          <w:szCs w:val="24"/>
        </w:rPr>
        <w:t>gjykuar</w:t>
      </w:r>
      <w:r w:rsidRPr="00F74CCD">
        <w:rPr>
          <w:sz w:val="24"/>
          <w:szCs w:val="24"/>
        </w:rPr>
        <w:t>. Pra</w:t>
      </w:r>
      <w:r w:rsidR="00516854" w:rsidRPr="00F74CCD">
        <w:rPr>
          <w:sz w:val="24"/>
          <w:szCs w:val="24"/>
        </w:rPr>
        <w:t>,</w:t>
      </w:r>
      <w:r w:rsidR="006B774F" w:rsidRPr="00F74CCD">
        <w:rPr>
          <w:sz w:val="24"/>
          <w:szCs w:val="24"/>
        </w:rPr>
        <w:t xml:space="preserve"> ndryshe nga sa vler</w:t>
      </w:r>
      <w:r w:rsidR="00305087" w:rsidRPr="00F74CCD">
        <w:rPr>
          <w:sz w:val="24"/>
          <w:szCs w:val="24"/>
        </w:rPr>
        <w:t>ë</w:t>
      </w:r>
      <w:r w:rsidR="006B774F" w:rsidRPr="00F74CCD">
        <w:rPr>
          <w:sz w:val="24"/>
          <w:szCs w:val="24"/>
        </w:rPr>
        <w:t>son Gjykata e Apelit</w:t>
      </w:r>
      <w:r w:rsidRPr="00F74CCD">
        <w:rPr>
          <w:sz w:val="24"/>
          <w:szCs w:val="24"/>
        </w:rPr>
        <w:t>, nuk ndodhemi para faktit të gjykimit rishtaz</w:t>
      </w:r>
      <w:r w:rsidR="00690F9E" w:rsidRPr="00F74CCD">
        <w:rPr>
          <w:sz w:val="24"/>
          <w:szCs w:val="24"/>
        </w:rPr>
        <w:t xml:space="preserve"> t</w:t>
      </w:r>
      <w:r w:rsidR="00FE634E" w:rsidRPr="00F74CCD">
        <w:rPr>
          <w:sz w:val="24"/>
          <w:szCs w:val="24"/>
        </w:rPr>
        <w:t>ë</w:t>
      </w:r>
      <w:r w:rsidR="00690F9E" w:rsidRPr="00F74CCD">
        <w:rPr>
          <w:sz w:val="24"/>
          <w:szCs w:val="24"/>
        </w:rPr>
        <w:t xml:space="preserve"> t</w:t>
      </w:r>
      <w:r w:rsidR="00FE634E" w:rsidRPr="00F74CCD">
        <w:rPr>
          <w:sz w:val="24"/>
          <w:szCs w:val="24"/>
        </w:rPr>
        <w:t>ë</w:t>
      </w:r>
      <w:r w:rsidR="00690F9E" w:rsidRPr="00F74CCD">
        <w:rPr>
          <w:sz w:val="24"/>
          <w:szCs w:val="24"/>
        </w:rPr>
        <w:t xml:space="preserve"> pandehurit Bregu,</w:t>
      </w:r>
      <w:r w:rsidRPr="00F74CCD">
        <w:rPr>
          <w:sz w:val="24"/>
          <w:szCs w:val="24"/>
        </w:rPr>
        <w:t xml:space="preserve"> për të njëjtin fakt penal, siç parashik</w:t>
      </w:r>
      <w:r w:rsidR="00690F9E" w:rsidRPr="00F74CCD">
        <w:rPr>
          <w:sz w:val="24"/>
          <w:szCs w:val="24"/>
        </w:rPr>
        <w:t>on</w:t>
      </w:r>
      <w:r w:rsidRPr="00F74CCD">
        <w:rPr>
          <w:sz w:val="24"/>
          <w:szCs w:val="24"/>
        </w:rPr>
        <w:t xml:space="preserve"> neni 7 i K</w:t>
      </w:r>
      <w:r w:rsidR="00690F9E" w:rsidRPr="00F74CCD">
        <w:rPr>
          <w:sz w:val="24"/>
          <w:szCs w:val="24"/>
        </w:rPr>
        <w:t>PP</w:t>
      </w:r>
      <w:r w:rsidRPr="00F74CCD">
        <w:rPr>
          <w:sz w:val="24"/>
          <w:szCs w:val="24"/>
        </w:rPr>
        <w:t>.</w:t>
      </w:r>
    </w:p>
    <w:p w14:paraId="413F6DF2" w14:textId="4C8506A1" w:rsidR="00D5627C" w:rsidRPr="00F74CCD" w:rsidRDefault="006B774F" w:rsidP="00F74CCD">
      <w:pPr>
        <w:pStyle w:val="ListParagraph"/>
        <w:numPr>
          <w:ilvl w:val="0"/>
          <w:numId w:val="35"/>
        </w:numPr>
        <w:tabs>
          <w:tab w:val="left" w:pos="990"/>
        </w:tabs>
        <w:ind w:left="0" w:right="40" w:firstLine="540"/>
        <w:jc w:val="both"/>
        <w:rPr>
          <w:i/>
          <w:iCs/>
          <w:color w:val="000000"/>
          <w:spacing w:val="2"/>
          <w:sz w:val="24"/>
          <w:szCs w:val="24"/>
          <w:lang w:bidi="en-US"/>
        </w:rPr>
      </w:pPr>
      <w:r w:rsidRPr="00F74CCD">
        <w:rPr>
          <w:noProof/>
          <w:sz w:val="24"/>
          <w:szCs w:val="24"/>
        </w:rPr>
        <w:t>Sa</w:t>
      </w:r>
      <w:r w:rsidR="007408CA" w:rsidRPr="00F74CCD">
        <w:rPr>
          <w:noProof/>
          <w:sz w:val="24"/>
          <w:szCs w:val="24"/>
        </w:rPr>
        <w:t xml:space="preserve"> i</w:t>
      </w:r>
      <w:r w:rsidRPr="00F74CCD">
        <w:rPr>
          <w:noProof/>
          <w:sz w:val="24"/>
          <w:szCs w:val="24"/>
        </w:rPr>
        <w:t xml:space="preserve"> </w:t>
      </w:r>
      <w:r w:rsidR="006C6CB2" w:rsidRPr="00F74CCD">
        <w:rPr>
          <w:noProof/>
          <w:sz w:val="24"/>
          <w:szCs w:val="24"/>
        </w:rPr>
        <w:t>përket verifikimit të kushteve substanciale të pranueshmërisë së shkaqeve të rekursit të paraqitur nga Prokuroria</w:t>
      </w:r>
      <w:r w:rsidR="006C6CB2" w:rsidRPr="00F74CCD">
        <w:rPr>
          <w:i/>
          <w:iCs/>
          <w:noProof/>
          <w:sz w:val="24"/>
          <w:szCs w:val="24"/>
        </w:rPr>
        <w:t xml:space="preserve">, </w:t>
      </w:r>
      <w:r w:rsidR="006C6CB2" w:rsidRPr="00F74CCD">
        <w:rPr>
          <w:sz w:val="24"/>
          <w:szCs w:val="24"/>
        </w:rPr>
        <w:t>qartësisht të identifikuara në kundërshtimin e paligjshmërisë së bazës arsyetuese të vendimmarrjes së Gjykatës së Apelit</w:t>
      </w:r>
      <w:r w:rsidRPr="00F74CCD">
        <w:rPr>
          <w:sz w:val="24"/>
          <w:szCs w:val="24"/>
        </w:rPr>
        <w:t xml:space="preserve">, </w:t>
      </w:r>
      <w:r w:rsidR="006C6CB2" w:rsidRPr="00F74CCD">
        <w:rPr>
          <w:sz w:val="24"/>
          <w:szCs w:val="24"/>
        </w:rPr>
        <w:t xml:space="preserve">Kolegji </w:t>
      </w:r>
      <w:r w:rsidR="007408CA" w:rsidRPr="00F74CCD">
        <w:rPr>
          <w:sz w:val="24"/>
          <w:szCs w:val="24"/>
        </w:rPr>
        <w:t>i</w:t>
      </w:r>
      <w:r w:rsidR="006C6CB2" w:rsidRPr="00F74CCD">
        <w:rPr>
          <w:sz w:val="24"/>
          <w:szCs w:val="24"/>
        </w:rPr>
        <w:t xml:space="preserve"> konsideron </w:t>
      </w:r>
      <w:r w:rsidR="00516854" w:rsidRPr="00F74CCD">
        <w:rPr>
          <w:sz w:val="24"/>
          <w:szCs w:val="24"/>
        </w:rPr>
        <w:t xml:space="preserve">ato </w:t>
      </w:r>
      <w:r w:rsidR="007408CA" w:rsidRPr="00F74CCD">
        <w:rPr>
          <w:sz w:val="24"/>
          <w:szCs w:val="24"/>
        </w:rPr>
        <w:t>t</w:t>
      </w:r>
      <w:r w:rsidR="00633B7F" w:rsidRPr="00F74CCD">
        <w:rPr>
          <w:sz w:val="24"/>
          <w:szCs w:val="24"/>
        </w:rPr>
        <w:t>ë</w:t>
      </w:r>
      <w:r w:rsidR="007408CA" w:rsidRPr="00F74CCD">
        <w:rPr>
          <w:sz w:val="24"/>
          <w:szCs w:val="24"/>
        </w:rPr>
        <w:t xml:space="preserve"> bazuar</w:t>
      </w:r>
      <w:r w:rsidR="00516854" w:rsidRPr="00F74CCD">
        <w:rPr>
          <w:sz w:val="24"/>
          <w:szCs w:val="24"/>
        </w:rPr>
        <w:t>a</w:t>
      </w:r>
      <w:r w:rsidR="007408CA" w:rsidRPr="00F74CCD">
        <w:rPr>
          <w:sz w:val="24"/>
          <w:szCs w:val="24"/>
        </w:rPr>
        <w:t>, pasi vler</w:t>
      </w:r>
      <w:r w:rsidR="00633B7F" w:rsidRPr="00F74CCD">
        <w:rPr>
          <w:sz w:val="24"/>
          <w:szCs w:val="24"/>
        </w:rPr>
        <w:t>ë</w:t>
      </w:r>
      <w:r w:rsidR="007408CA" w:rsidRPr="00F74CCD">
        <w:rPr>
          <w:sz w:val="24"/>
          <w:szCs w:val="24"/>
        </w:rPr>
        <w:t xml:space="preserve">son se </w:t>
      </w:r>
      <w:r w:rsidR="006C6CB2" w:rsidRPr="00F74CCD">
        <w:rPr>
          <w:sz w:val="24"/>
          <w:szCs w:val="24"/>
        </w:rPr>
        <w:t>vendimmarrj</w:t>
      </w:r>
      <w:r w:rsidR="007408CA" w:rsidRPr="00F74CCD">
        <w:rPr>
          <w:sz w:val="24"/>
          <w:szCs w:val="24"/>
        </w:rPr>
        <w:t>a</w:t>
      </w:r>
      <w:r w:rsidR="006C6CB2" w:rsidRPr="00F74CCD">
        <w:rPr>
          <w:sz w:val="24"/>
          <w:szCs w:val="24"/>
        </w:rPr>
        <w:t xml:space="preserve"> e Gjykatës së Apelit </w:t>
      </w:r>
      <w:r w:rsidR="00633B7F" w:rsidRPr="00F74CCD">
        <w:rPr>
          <w:sz w:val="24"/>
          <w:szCs w:val="24"/>
        </w:rPr>
        <w:t>ë</w:t>
      </w:r>
      <w:r w:rsidR="007408CA" w:rsidRPr="00F74CCD">
        <w:rPr>
          <w:sz w:val="24"/>
          <w:szCs w:val="24"/>
        </w:rPr>
        <w:t>sht</w:t>
      </w:r>
      <w:r w:rsidR="00633B7F" w:rsidRPr="00F74CCD">
        <w:rPr>
          <w:sz w:val="24"/>
          <w:szCs w:val="24"/>
        </w:rPr>
        <w:t>ë</w:t>
      </w:r>
      <w:r w:rsidR="007408CA" w:rsidRPr="00F74CCD">
        <w:rPr>
          <w:sz w:val="24"/>
          <w:szCs w:val="24"/>
        </w:rPr>
        <w:t xml:space="preserve"> marr</w:t>
      </w:r>
      <w:r w:rsidR="00633B7F" w:rsidRPr="00F74CCD">
        <w:rPr>
          <w:sz w:val="24"/>
          <w:szCs w:val="24"/>
        </w:rPr>
        <w:t>ë</w:t>
      </w:r>
      <w:r w:rsidR="007408CA" w:rsidRPr="00F74CCD">
        <w:rPr>
          <w:sz w:val="24"/>
          <w:szCs w:val="24"/>
        </w:rPr>
        <w:t xml:space="preserve"> </w:t>
      </w:r>
      <w:r w:rsidR="006C6CB2" w:rsidRPr="00F74CCD">
        <w:rPr>
          <w:sz w:val="24"/>
          <w:szCs w:val="24"/>
        </w:rPr>
        <w:t xml:space="preserve">në kushtet e zbatimit të gabuar të ligjit </w:t>
      </w:r>
      <w:r w:rsidR="00D5627C" w:rsidRPr="00F74CCD">
        <w:rPr>
          <w:sz w:val="24"/>
          <w:szCs w:val="24"/>
        </w:rPr>
        <w:t xml:space="preserve">penal (material dhe </w:t>
      </w:r>
      <w:r w:rsidR="006C6CB2" w:rsidRPr="00F74CCD">
        <w:rPr>
          <w:sz w:val="24"/>
          <w:szCs w:val="24"/>
        </w:rPr>
        <w:t>procedural</w:t>
      </w:r>
      <w:r w:rsidR="00D5627C" w:rsidRPr="00F74CCD">
        <w:rPr>
          <w:sz w:val="24"/>
          <w:szCs w:val="24"/>
        </w:rPr>
        <w:t>).</w:t>
      </w:r>
    </w:p>
    <w:p w14:paraId="5173AEBC" w14:textId="265C19B8" w:rsidR="00D5627C" w:rsidRPr="00F74CCD" w:rsidRDefault="00D5627C" w:rsidP="00F74CCD">
      <w:pPr>
        <w:pStyle w:val="ListParagraph"/>
        <w:numPr>
          <w:ilvl w:val="0"/>
          <w:numId w:val="35"/>
        </w:numPr>
        <w:tabs>
          <w:tab w:val="left" w:pos="990"/>
        </w:tabs>
        <w:ind w:left="0" w:right="40" w:firstLine="540"/>
        <w:jc w:val="both"/>
        <w:rPr>
          <w:i/>
          <w:iCs/>
          <w:color w:val="000000"/>
          <w:spacing w:val="2"/>
          <w:sz w:val="24"/>
          <w:szCs w:val="24"/>
          <w:lang w:bidi="en-US"/>
        </w:rPr>
      </w:pPr>
      <w:r w:rsidRPr="00F74CCD">
        <w:rPr>
          <w:sz w:val="24"/>
          <w:szCs w:val="24"/>
        </w:rPr>
        <w:t>Referuar fakteve t</w:t>
      </w:r>
      <w:r w:rsidR="00FD165D" w:rsidRPr="00F74CCD">
        <w:rPr>
          <w:sz w:val="24"/>
          <w:szCs w:val="24"/>
        </w:rPr>
        <w:t>ë</w:t>
      </w:r>
      <w:r w:rsidRPr="00F74CCD">
        <w:rPr>
          <w:sz w:val="24"/>
          <w:szCs w:val="24"/>
        </w:rPr>
        <w:t xml:space="preserve"> paraqitura </w:t>
      </w:r>
      <w:r w:rsidR="006B774F" w:rsidRPr="00F74CCD">
        <w:rPr>
          <w:sz w:val="24"/>
          <w:szCs w:val="24"/>
        </w:rPr>
        <w:t xml:space="preserve">si të provuara </w:t>
      </w:r>
      <w:r w:rsidRPr="00F74CCD">
        <w:rPr>
          <w:sz w:val="24"/>
          <w:szCs w:val="24"/>
        </w:rPr>
        <w:t>nga gjykatat m</w:t>
      </w:r>
      <w:r w:rsidR="00FD165D" w:rsidRPr="00F74CCD">
        <w:rPr>
          <w:sz w:val="24"/>
          <w:szCs w:val="24"/>
        </w:rPr>
        <w:t>ë</w:t>
      </w:r>
      <w:r w:rsidRPr="00F74CCD">
        <w:rPr>
          <w:sz w:val="24"/>
          <w:szCs w:val="24"/>
        </w:rPr>
        <w:t xml:space="preserve"> t</w:t>
      </w:r>
      <w:r w:rsidR="00FD165D" w:rsidRPr="00F74CCD">
        <w:rPr>
          <w:sz w:val="24"/>
          <w:szCs w:val="24"/>
        </w:rPr>
        <w:t>ë</w:t>
      </w:r>
      <w:r w:rsidRPr="00F74CCD">
        <w:rPr>
          <w:sz w:val="24"/>
          <w:szCs w:val="24"/>
        </w:rPr>
        <w:t xml:space="preserve"> ul</w:t>
      </w:r>
      <w:r w:rsidR="00FD165D" w:rsidRPr="00F74CCD">
        <w:rPr>
          <w:sz w:val="24"/>
          <w:szCs w:val="24"/>
        </w:rPr>
        <w:t>ë</w:t>
      </w:r>
      <w:r w:rsidRPr="00F74CCD">
        <w:rPr>
          <w:sz w:val="24"/>
          <w:szCs w:val="24"/>
        </w:rPr>
        <w:t xml:space="preserve">ta, </w:t>
      </w:r>
      <w:r w:rsidRPr="00F74CCD">
        <w:rPr>
          <w:sz w:val="24"/>
          <w:szCs w:val="24"/>
          <w:shd w:val="clear" w:color="auto" w:fill="FFFFFF"/>
        </w:rPr>
        <w:t>rezulton se nga Prokuroria pran</w:t>
      </w:r>
      <w:r w:rsidR="00FD165D" w:rsidRPr="00F74CCD">
        <w:rPr>
          <w:sz w:val="24"/>
          <w:szCs w:val="24"/>
          <w:shd w:val="clear" w:color="auto" w:fill="FFFFFF"/>
        </w:rPr>
        <w:t>ë</w:t>
      </w:r>
      <w:r w:rsidRPr="00F74CCD">
        <w:rPr>
          <w:sz w:val="24"/>
          <w:szCs w:val="24"/>
          <w:shd w:val="clear" w:color="auto" w:fill="FFFFFF"/>
        </w:rPr>
        <w:t xml:space="preserve"> Gjykat</w:t>
      </w:r>
      <w:r w:rsidR="00FD165D" w:rsidRPr="00F74CCD">
        <w:rPr>
          <w:sz w:val="24"/>
          <w:szCs w:val="24"/>
          <w:shd w:val="clear" w:color="auto" w:fill="FFFFFF"/>
        </w:rPr>
        <w:t>ë</w:t>
      </w:r>
      <w:r w:rsidRPr="00F74CCD">
        <w:rPr>
          <w:sz w:val="24"/>
          <w:szCs w:val="24"/>
          <w:shd w:val="clear" w:color="auto" w:fill="FFFFFF"/>
        </w:rPr>
        <w:t>s s</w:t>
      </w:r>
      <w:r w:rsidR="00FD165D" w:rsidRPr="00F74CCD">
        <w:rPr>
          <w:sz w:val="24"/>
          <w:szCs w:val="24"/>
          <w:shd w:val="clear" w:color="auto" w:fill="FFFFFF"/>
        </w:rPr>
        <w:t>ë</w:t>
      </w:r>
      <w:r w:rsidRPr="00F74CCD">
        <w:rPr>
          <w:sz w:val="24"/>
          <w:szCs w:val="24"/>
          <w:shd w:val="clear" w:color="auto" w:fill="FFFFFF"/>
        </w:rPr>
        <w:t xml:space="preserve"> Rrethit Gjyqësor Tiranë, në kohë të ndryshme, janë regjistruar dy procedime penale</w:t>
      </w:r>
      <w:r w:rsidR="00690F9E" w:rsidRPr="00F74CCD">
        <w:rPr>
          <w:sz w:val="24"/>
          <w:szCs w:val="24"/>
          <w:shd w:val="clear" w:color="auto" w:fill="FFFFFF"/>
        </w:rPr>
        <w:t xml:space="preserve">, </w:t>
      </w:r>
      <w:r w:rsidRPr="00F74CCD">
        <w:rPr>
          <w:sz w:val="24"/>
          <w:szCs w:val="24"/>
          <w:shd w:val="clear" w:color="auto" w:fill="FFFFFF"/>
        </w:rPr>
        <w:t>për të njëjtin fakt penal, të njëjt</w:t>
      </w:r>
      <w:r w:rsidR="00DB797A" w:rsidRPr="00F74CCD">
        <w:rPr>
          <w:sz w:val="24"/>
          <w:szCs w:val="24"/>
          <w:shd w:val="clear" w:color="auto" w:fill="FFFFFF"/>
        </w:rPr>
        <w:t>ë</w:t>
      </w:r>
      <w:r w:rsidR="00690F9E" w:rsidRPr="00F74CCD">
        <w:rPr>
          <w:sz w:val="24"/>
          <w:szCs w:val="24"/>
          <w:shd w:val="clear" w:color="auto" w:fill="FFFFFF"/>
        </w:rPr>
        <w:t xml:space="preserve">t </w:t>
      </w:r>
      <w:r w:rsidRPr="00F74CCD">
        <w:rPr>
          <w:sz w:val="24"/>
          <w:szCs w:val="24"/>
          <w:shd w:val="clear" w:color="auto" w:fill="FFFFFF"/>
        </w:rPr>
        <w:t>t</w:t>
      </w:r>
      <w:r w:rsidR="00FD165D" w:rsidRPr="00F74CCD">
        <w:rPr>
          <w:sz w:val="24"/>
          <w:szCs w:val="24"/>
          <w:shd w:val="clear" w:color="auto" w:fill="FFFFFF"/>
        </w:rPr>
        <w:t>ë</w:t>
      </w:r>
      <w:r w:rsidRPr="00F74CCD">
        <w:rPr>
          <w:sz w:val="24"/>
          <w:szCs w:val="24"/>
          <w:shd w:val="clear" w:color="auto" w:fill="FFFFFF"/>
        </w:rPr>
        <w:t xml:space="preserve"> pandehur, konkretisht: </w:t>
      </w:r>
    </w:p>
    <w:p w14:paraId="5E0342BA" w14:textId="5CD7A576" w:rsidR="00D5627C" w:rsidRPr="00F74CCD" w:rsidRDefault="00D5627C" w:rsidP="00F74CCD">
      <w:pPr>
        <w:pStyle w:val="ListParagraph"/>
        <w:numPr>
          <w:ilvl w:val="1"/>
          <w:numId w:val="35"/>
        </w:numPr>
        <w:tabs>
          <w:tab w:val="left" w:pos="900"/>
          <w:tab w:val="left" w:pos="990"/>
          <w:tab w:val="left" w:pos="1170"/>
        </w:tabs>
        <w:ind w:left="0" w:firstLine="540"/>
        <w:jc w:val="both"/>
        <w:rPr>
          <w:sz w:val="24"/>
          <w:szCs w:val="24"/>
          <w:lang w:val="it-IT"/>
        </w:rPr>
      </w:pPr>
      <w:r w:rsidRPr="00F74CCD">
        <w:rPr>
          <w:sz w:val="24"/>
          <w:szCs w:val="24"/>
          <w:shd w:val="clear" w:color="auto" w:fill="FFFFFF"/>
        </w:rPr>
        <w:t>Procedimi penal i regjistruar i pari n</w:t>
      </w:r>
      <w:r w:rsidR="00FD165D" w:rsidRPr="00F74CCD">
        <w:rPr>
          <w:sz w:val="24"/>
          <w:szCs w:val="24"/>
          <w:shd w:val="clear" w:color="auto" w:fill="FFFFFF"/>
        </w:rPr>
        <w:t>ë</w:t>
      </w:r>
      <w:r w:rsidRPr="00F74CCD">
        <w:rPr>
          <w:sz w:val="24"/>
          <w:szCs w:val="24"/>
          <w:shd w:val="clear" w:color="auto" w:fill="FFFFFF"/>
        </w:rPr>
        <w:t xml:space="preserve"> radhë, mban n</w:t>
      </w:r>
      <w:r w:rsidR="00796D83" w:rsidRPr="00F74CCD">
        <w:rPr>
          <w:sz w:val="24"/>
          <w:szCs w:val="24"/>
          <w:shd w:val="clear" w:color="auto" w:fill="FFFFFF"/>
        </w:rPr>
        <w:t xml:space="preserve">umrin </w:t>
      </w:r>
      <w:r w:rsidRPr="00F74CCD">
        <w:rPr>
          <w:sz w:val="24"/>
          <w:szCs w:val="24"/>
          <w:shd w:val="clear" w:color="auto" w:fill="FFFFFF"/>
        </w:rPr>
        <w:t>1704 i vitit 2016, dhe është regjistruar pas kallëzimit të paraqitur nga i pandehuri në këtë gjykim</w:t>
      </w:r>
      <w:r w:rsidR="007408CA" w:rsidRPr="00F74CCD">
        <w:rPr>
          <w:sz w:val="24"/>
          <w:szCs w:val="24"/>
          <w:shd w:val="clear" w:color="auto" w:fill="FFFFFF"/>
        </w:rPr>
        <w:t xml:space="preserve"> </w:t>
      </w:r>
      <w:r w:rsidRPr="00F74CCD">
        <w:rPr>
          <w:sz w:val="24"/>
          <w:szCs w:val="24"/>
          <w:shd w:val="clear" w:color="auto" w:fill="FFFFFF"/>
        </w:rPr>
        <w:t xml:space="preserve">Julian Bregu, kundër përmbaruesit gjyqësor Igli Gugashi. Në përfundim të hetimeve të kryera për këtë procedim, janë marrë të pandehur si i kallëzuari </w:t>
      </w:r>
      <w:r w:rsidR="007408CA" w:rsidRPr="00F74CCD">
        <w:rPr>
          <w:sz w:val="24"/>
          <w:szCs w:val="24"/>
          <w:shd w:val="clear" w:color="auto" w:fill="FFFFFF"/>
        </w:rPr>
        <w:t>Igli Gugashi, i akuzuar p</w:t>
      </w:r>
      <w:r w:rsidR="00633B7F" w:rsidRPr="00F74CCD">
        <w:rPr>
          <w:sz w:val="24"/>
          <w:szCs w:val="24"/>
          <w:shd w:val="clear" w:color="auto" w:fill="FFFFFF"/>
        </w:rPr>
        <w:t>ë</w:t>
      </w:r>
      <w:r w:rsidR="007408CA" w:rsidRPr="00F74CCD">
        <w:rPr>
          <w:sz w:val="24"/>
          <w:szCs w:val="24"/>
          <w:shd w:val="clear" w:color="auto" w:fill="FFFFFF"/>
        </w:rPr>
        <w:t>r vepr</w:t>
      </w:r>
      <w:r w:rsidR="00633B7F" w:rsidRPr="00F74CCD">
        <w:rPr>
          <w:sz w:val="24"/>
          <w:szCs w:val="24"/>
          <w:shd w:val="clear" w:color="auto" w:fill="FFFFFF"/>
        </w:rPr>
        <w:t>ë</w:t>
      </w:r>
      <w:r w:rsidR="007408CA" w:rsidRPr="00F74CCD">
        <w:rPr>
          <w:sz w:val="24"/>
          <w:szCs w:val="24"/>
          <w:shd w:val="clear" w:color="auto" w:fill="FFFFFF"/>
        </w:rPr>
        <w:t>n penale t</w:t>
      </w:r>
      <w:r w:rsidR="00633B7F" w:rsidRPr="00F74CCD">
        <w:rPr>
          <w:sz w:val="24"/>
          <w:szCs w:val="24"/>
          <w:shd w:val="clear" w:color="auto" w:fill="FFFFFF"/>
        </w:rPr>
        <w:t>ë</w:t>
      </w:r>
      <w:r w:rsidR="007408CA" w:rsidRPr="00F74CCD">
        <w:rPr>
          <w:sz w:val="24"/>
          <w:szCs w:val="24"/>
          <w:shd w:val="clear" w:color="auto" w:fill="FFFFFF"/>
        </w:rPr>
        <w:t xml:space="preserve"> parashikuar nga neni 248 i Kodit Penal (KP), </w:t>
      </w:r>
      <w:r w:rsidRPr="00F74CCD">
        <w:rPr>
          <w:sz w:val="24"/>
          <w:szCs w:val="24"/>
          <w:shd w:val="clear" w:color="auto" w:fill="FFFFFF"/>
        </w:rPr>
        <w:t xml:space="preserve">ashtu edhe kallëzuesi </w:t>
      </w:r>
      <w:r w:rsidR="007408CA" w:rsidRPr="00F74CCD">
        <w:rPr>
          <w:sz w:val="24"/>
          <w:szCs w:val="24"/>
          <w:shd w:val="clear" w:color="auto" w:fill="FFFFFF"/>
        </w:rPr>
        <w:t>Julian Bregu i akuzuar p</w:t>
      </w:r>
      <w:r w:rsidR="00633B7F" w:rsidRPr="00F74CCD">
        <w:rPr>
          <w:sz w:val="24"/>
          <w:szCs w:val="24"/>
          <w:shd w:val="clear" w:color="auto" w:fill="FFFFFF"/>
        </w:rPr>
        <w:t>ë</w:t>
      </w:r>
      <w:r w:rsidR="007408CA" w:rsidRPr="00F74CCD">
        <w:rPr>
          <w:sz w:val="24"/>
          <w:szCs w:val="24"/>
          <w:shd w:val="clear" w:color="auto" w:fill="FFFFFF"/>
        </w:rPr>
        <w:t>r vepr</w:t>
      </w:r>
      <w:r w:rsidR="00633B7F" w:rsidRPr="00F74CCD">
        <w:rPr>
          <w:sz w:val="24"/>
          <w:szCs w:val="24"/>
          <w:shd w:val="clear" w:color="auto" w:fill="FFFFFF"/>
        </w:rPr>
        <w:t>ë</w:t>
      </w:r>
      <w:r w:rsidR="007408CA" w:rsidRPr="00F74CCD">
        <w:rPr>
          <w:sz w:val="24"/>
          <w:szCs w:val="24"/>
          <w:shd w:val="clear" w:color="auto" w:fill="FFFFFF"/>
        </w:rPr>
        <w:t>n penale t</w:t>
      </w:r>
      <w:r w:rsidR="00633B7F" w:rsidRPr="00F74CCD">
        <w:rPr>
          <w:sz w:val="24"/>
          <w:szCs w:val="24"/>
          <w:shd w:val="clear" w:color="auto" w:fill="FFFFFF"/>
        </w:rPr>
        <w:t>ë</w:t>
      </w:r>
      <w:r w:rsidR="007408CA" w:rsidRPr="00F74CCD">
        <w:rPr>
          <w:sz w:val="24"/>
          <w:szCs w:val="24"/>
          <w:shd w:val="clear" w:color="auto" w:fill="FFFFFF"/>
        </w:rPr>
        <w:t xml:space="preserve"> parashikuar nga neni 143 i KP </w:t>
      </w:r>
      <w:r w:rsidRPr="00F74CCD">
        <w:rPr>
          <w:sz w:val="24"/>
          <w:szCs w:val="24"/>
          <w:shd w:val="clear" w:color="auto" w:fill="FFFFFF"/>
        </w:rPr>
        <w:t>dhe çështja është dërguar për gjykim në Gjykatën e Shkallës së Parë Tiranë, e cila me vendimin nr.</w:t>
      </w:r>
      <w:r w:rsidR="00001ED9" w:rsidRPr="00F74CCD">
        <w:rPr>
          <w:sz w:val="24"/>
          <w:szCs w:val="24"/>
          <w:shd w:val="clear" w:color="auto" w:fill="FFFFFF"/>
        </w:rPr>
        <w:t xml:space="preserve"> </w:t>
      </w:r>
      <w:r w:rsidRPr="00F74CCD">
        <w:rPr>
          <w:sz w:val="24"/>
          <w:szCs w:val="24"/>
          <w:shd w:val="clear" w:color="auto" w:fill="FFFFFF"/>
        </w:rPr>
        <w:t>294, datë 06.02.2019, ka vendosur deklarimin e pafajshëm të dy të pandehurve</w:t>
      </w:r>
      <w:r w:rsidR="00690F9E" w:rsidRPr="00F74CCD">
        <w:rPr>
          <w:sz w:val="24"/>
          <w:szCs w:val="24"/>
          <w:shd w:val="clear" w:color="auto" w:fill="FFFFFF"/>
        </w:rPr>
        <w:t>.</w:t>
      </w:r>
      <w:r w:rsidRPr="00F74CCD">
        <w:rPr>
          <w:sz w:val="24"/>
          <w:szCs w:val="24"/>
          <w:shd w:val="clear" w:color="auto" w:fill="FFFFFF"/>
        </w:rPr>
        <w:t xml:space="preserve"> Ky vendim është ankimuar nga Prokuroria në Gjykatën e Apelit dhe aktualisht është në pritje për t’u shqyrtuar nga kjo </w:t>
      </w:r>
      <w:r w:rsidR="00001ED9" w:rsidRPr="00F74CCD">
        <w:rPr>
          <w:sz w:val="24"/>
          <w:szCs w:val="24"/>
          <w:shd w:val="clear" w:color="auto" w:fill="FFFFFF"/>
        </w:rPr>
        <w:t>e fundit</w:t>
      </w:r>
      <w:r w:rsidRPr="00F74CCD">
        <w:rPr>
          <w:sz w:val="24"/>
          <w:szCs w:val="24"/>
          <w:shd w:val="clear" w:color="auto" w:fill="FFFFFF"/>
        </w:rPr>
        <w:t>.</w:t>
      </w:r>
    </w:p>
    <w:p w14:paraId="6686A0D3" w14:textId="36536968" w:rsidR="003D1417" w:rsidRPr="00F74CCD" w:rsidRDefault="00D5627C" w:rsidP="00F74CCD">
      <w:pPr>
        <w:pStyle w:val="ListParagraph"/>
        <w:numPr>
          <w:ilvl w:val="1"/>
          <w:numId w:val="35"/>
        </w:numPr>
        <w:tabs>
          <w:tab w:val="left" w:pos="900"/>
          <w:tab w:val="left" w:pos="990"/>
          <w:tab w:val="left" w:pos="1170"/>
        </w:tabs>
        <w:ind w:left="0" w:firstLine="540"/>
        <w:jc w:val="both"/>
        <w:rPr>
          <w:sz w:val="24"/>
          <w:szCs w:val="24"/>
          <w:lang w:val="it-IT"/>
        </w:rPr>
      </w:pPr>
      <w:r w:rsidRPr="00F74CCD">
        <w:rPr>
          <w:sz w:val="24"/>
          <w:szCs w:val="24"/>
          <w:shd w:val="clear" w:color="auto" w:fill="FFFFFF"/>
        </w:rPr>
        <w:lastRenderedPageBreak/>
        <w:t>Ndërsa, procedimi</w:t>
      </w:r>
      <w:r w:rsidR="00001ED9" w:rsidRPr="00F74CCD">
        <w:rPr>
          <w:sz w:val="24"/>
          <w:szCs w:val="24"/>
          <w:shd w:val="clear" w:color="auto" w:fill="FFFFFF"/>
        </w:rPr>
        <w:t xml:space="preserve"> penal</w:t>
      </w:r>
      <w:r w:rsidRPr="00F74CCD">
        <w:rPr>
          <w:sz w:val="24"/>
          <w:szCs w:val="24"/>
          <w:shd w:val="clear" w:color="auto" w:fill="FFFFFF"/>
        </w:rPr>
        <w:t xml:space="preserve"> </w:t>
      </w:r>
      <w:r w:rsidR="00796D83" w:rsidRPr="00F74CCD">
        <w:rPr>
          <w:sz w:val="24"/>
          <w:szCs w:val="24"/>
          <w:shd w:val="clear" w:color="auto" w:fill="FFFFFF"/>
        </w:rPr>
        <w:t xml:space="preserve">i regjistruar </w:t>
      </w:r>
      <w:r w:rsidRPr="00F74CCD">
        <w:rPr>
          <w:sz w:val="24"/>
          <w:szCs w:val="24"/>
          <w:shd w:val="clear" w:color="auto" w:fill="FFFFFF"/>
        </w:rPr>
        <w:t>i dyt</w:t>
      </w:r>
      <w:r w:rsidR="00DB797A" w:rsidRPr="00F74CCD">
        <w:rPr>
          <w:sz w:val="24"/>
          <w:szCs w:val="24"/>
          <w:shd w:val="clear" w:color="auto" w:fill="FFFFFF"/>
        </w:rPr>
        <w:t>i</w:t>
      </w:r>
      <w:r w:rsidRPr="00F74CCD">
        <w:rPr>
          <w:sz w:val="24"/>
          <w:szCs w:val="24"/>
          <w:shd w:val="clear" w:color="auto" w:fill="FFFFFF"/>
        </w:rPr>
        <w:t xml:space="preserve"> </w:t>
      </w:r>
      <w:r w:rsidR="00796D83" w:rsidRPr="00F74CCD">
        <w:rPr>
          <w:sz w:val="24"/>
          <w:szCs w:val="24"/>
          <w:shd w:val="clear" w:color="auto" w:fill="FFFFFF"/>
        </w:rPr>
        <w:t>n</w:t>
      </w:r>
      <w:r w:rsidR="00FD165D" w:rsidRPr="00F74CCD">
        <w:rPr>
          <w:sz w:val="24"/>
          <w:szCs w:val="24"/>
          <w:shd w:val="clear" w:color="auto" w:fill="FFFFFF"/>
        </w:rPr>
        <w:t>ë</w:t>
      </w:r>
      <w:r w:rsidR="00796D83" w:rsidRPr="00F74CCD">
        <w:rPr>
          <w:sz w:val="24"/>
          <w:szCs w:val="24"/>
          <w:shd w:val="clear" w:color="auto" w:fill="FFFFFF"/>
        </w:rPr>
        <w:t xml:space="preserve"> radhë</w:t>
      </w:r>
      <w:r w:rsidRPr="00F74CCD">
        <w:rPr>
          <w:sz w:val="24"/>
          <w:szCs w:val="24"/>
          <w:shd w:val="clear" w:color="auto" w:fill="FFFFFF"/>
        </w:rPr>
        <w:t xml:space="preserve"> mban numrin 7996 të vitit 2017 dhe është regjistruar pas kallëzimit të paraqitur nga e </w:t>
      </w:r>
      <w:r w:rsidR="00690F9E" w:rsidRPr="00F74CCD">
        <w:rPr>
          <w:sz w:val="24"/>
          <w:szCs w:val="24"/>
          <w:shd w:val="clear" w:color="auto" w:fill="FFFFFF"/>
        </w:rPr>
        <w:t>viktima</w:t>
      </w:r>
      <w:r w:rsidRPr="00F74CCD">
        <w:rPr>
          <w:sz w:val="24"/>
          <w:szCs w:val="24"/>
          <w:shd w:val="clear" w:color="auto" w:fill="FFFFFF"/>
        </w:rPr>
        <w:t xml:space="preserve"> </w:t>
      </w:r>
      <w:r w:rsidR="00796D83" w:rsidRPr="00F74CCD">
        <w:rPr>
          <w:sz w:val="24"/>
          <w:szCs w:val="24"/>
          <w:shd w:val="clear" w:color="auto" w:fill="FFFFFF"/>
        </w:rPr>
        <w:t>e vepr</w:t>
      </w:r>
      <w:r w:rsidR="00FD165D" w:rsidRPr="00F74CCD">
        <w:rPr>
          <w:sz w:val="24"/>
          <w:szCs w:val="24"/>
          <w:shd w:val="clear" w:color="auto" w:fill="FFFFFF"/>
        </w:rPr>
        <w:t>ë</w:t>
      </w:r>
      <w:r w:rsidR="00796D83" w:rsidRPr="00F74CCD">
        <w:rPr>
          <w:sz w:val="24"/>
          <w:szCs w:val="24"/>
          <w:shd w:val="clear" w:color="auto" w:fill="FFFFFF"/>
        </w:rPr>
        <w:t>s penale</w:t>
      </w:r>
      <w:r w:rsidRPr="00F74CCD">
        <w:rPr>
          <w:sz w:val="24"/>
          <w:szCs w:val="24"/>
          <w:shd w:val="clear" w:color="auto" w:fill="FFFFFF"/>
        </w:rPr>
        <w:t xml:space="preserve"> Renata Kiri, kundër të pandehurit Julian Bregu, duke e akuzuar këtë të fundit për kryerjen e veprës penale “Mashtrimi”, parashikuar nga neni 143 i Kodit Penal. Në përfundim të hetimeve të kryera</w:t>
      </w:r>
      <w:r w:rsidR="00690F9E" w:rsidRPr="00F74CCD">
        <w:rPr>
          <w:sz w:val="24"/>
          <w:szCs w:val="24"/>
          <w:shd w:val="clear" w:color="auto" w:fill="FFFFFF"/>
        </w:rPr>
        <w:t xml:space="preserve"> n</w:t>
      </w:r>
      <w:r w:rsidR="00FE634E" w:rsidRPr="00F74CCD">
        <w:rPr>
          <w:sz w:val="24"/>
          <w:szCs w:val="24"/>
          <w:shd w:val="clear" w:color="auto" w:fill="FFFFFF"/>
        </w:rPr>
        <w:t>ë</w:t>
      </w:r>
      <w:r w:rsidR="00690F9E" w:rsidRPr="00F74CCD">
        <w:rPr>
          <w:sz w:val="24"/>
          <w:szCs w:val="24"/>
          <w:shd w:val="clear" w:color="auto" w:fill="FFFFFF"/>
        </w:rPr>
        <w:t xml:space="preserve"> </w:t>
      </w:r>
      <w:r w:rsidRPr="00F74CCD">
        <w:rPr>
          <w:sz w:val="24"/>
          <w:szCs w:val="24"/>
          <w:shd w:val="clear" w:color="auto" w:fill="FFFFFF"/>
        </w:rPr>
        <w:t>kuadër të këtij procedimi penal, çështja është dërguar për gjykim në Gjykatën e Shkallës së Parë Tiranë, e cila me vendimin nr.</w:t>
      </w:r>
      <w:r w:rsidR="00DB797A" w:rsidRPr="00F74CCD">
        <w:rPr>
          <w:sz w:val="24"/>
          <w:szCs w:val="24"/>
          <w:shd w:val="clear" w:color="auto" w:fill="FFFFFF"/>
        </w:rPr>
        <w:t xml:space="preserve"> </w:t>
      </w:r>
      <w:r w:rsidRPr="00F74CCD">
        <w:rPr>
          <w:sz w:val="24"/>
          <w:szCs w:val="24"/>
          <w:shd w:val="clear" w:color="auto" w:fill="FFFFFF"/>
        </w:rPr>
        <w:t xml:space="preserve">977, datë 12.06.2020, </w:t>
      </w:r>
      <w:r w:rsidR="00796D83" w:rsidRPr="00F74CCD">
        <w:rPr>
          <w:sz w:val="24"/>
          <w:szCs w:val="24"/>
          <w:shd w:val="clear" w:color="auto" w:fill="FFFFFF"/>
        </w:rPr>
        <w:t>nd</w:t>
      </w:r>
      <w:r w:rsidR="00FD165D" w:rsidRPr="00F74CCD">
        <w:rPr>
          <w:sz w:val="24"/>
          <w:szCs w:val="24"/>
          <w:shd w:val="clear" w:color="auto" w:fill="FFFFFF"/>
        </w:rPr>
        <w:t>ë</w:t>
      </w:r>
      <w:r w:rsidR="00796D83" w:rsidRPr="00F74CCD">
        <w:rPr>
          <w:sz w:val="24"/>
          <w:szCs w:val="24"/>
          <w:shd w:val="clear" w:color="auto" w:fill="FFFFFF"/>
        </w:rPr>
        <w:t>r t</w:t>
      </w:r>
      <w:r w:rsidR="00FD165D" w:rsidRPr="00F74CCD">
        <w:rPr>
          <w:sz w:val="24"/>
          <w:szCs w:val="24"/>
          <w:shd w:val="clear" w:color="auto" w:fill="FFFFFF"/>
        </w:rPr>
        <w:t>ë</w:t>
      </w:r>
      <w:r w:rsidR="00796D83" w:rsidRPr="00F74CCD">
        <w:rPr>
          <w:sz w:val="24"/>
          <w:szCs w:val="24"/>
          <w:shd w:val="clear" w:color="auto" w:fill="FFFFFF"/>
        </w:rPr>
        <w:t xml:space="preserve"> tjera</w:t>
      </w:r>
      <w:r w:rsidR="00DB797A" w:rsidRPr="00F74CCD">
        <w:rPr>
          <w:sz w:val="24"/>
          <w:szCs w:val="24"/>
          <w:shd w:val="clear" w:color="auto" w:fill="FFFFFF"/>
        </w:rPr>
        <w:t>,</w:t>
      </w:r>
      <w:r w:rsidR="00796D83" w:rsidRPr="00F74CCD">
        <w:rPr>
          <w:sz w:val="24"/>
          <w:szCs w:val="24"/>
          <w:shd w:val="clear" w:color="auto" w:fill="FFFFFF"/>
        </w:rPr>
        <w:t xml:space="preserve"> </w:t>
      </w:r>
      <w:r w:rsidRPr="00F74CCD">
        <w:rPr>
          <w:sz w:val="24"/>
          <w:szCs w:val="24"/>
          <w:shd w:val="clear" w:color="auto" w:fill="FFFFFF"/>
        </w:rPr>
        <w:t xml:space="preserve">ka disponuar </w:t>
      </w:r>
      <w:r w:rsidR="00620F36" w:rsidRPr="00F74CCD">
        <w:rPr>
          <w:sz w:val="24"/>
          <w:szCs w:val="24"/>
          <w:shd w:val="clear" w:color="auto" w:fill="FFFFFF"/>
        </w:rPr>
        <w:t>p</w:t>
      </w:r>
      <w:r w:rsidR="00FE634E" w:rsidRPr="00F74CCD">
        <w:rPr>
          <w:sz w:val="24"/>
          <w:szCs w:val="24"/>
          <w:shd w:val="clear" w:color="auto" w:fill="FFFFFF"/>
        </w:rPr>
        <w:t>ë</w:t>
      </w:r>
      <w:r w:rsidR="00620F36" w:rsidRPr="00F74CCD">
        <w:rPr>
          <w:sz w:val="24"/>
          <w:szCs w:val="24"/>
          <w:shd w:val="clear" w:color="auto" w:fill="FFFFFF"/>
        </w:rPr>
        <w:t xml:space="preserve">r </w:t>
      </w:r>
      <w:r w:rsidRPr="00F74CCD">
        <w:rPr>
          <w:sz w:val="24"/>
          <w:szCs w:val="24"/>
          <w:shd w:val="clear" w:color="auto" w:fill="FFFFFF"/>
        </w:rPr>
        <w:t>deklarimin fajtor të të pandehurit Julian Bregu për kryerjen e veprës penale “Mashtrimi”, parashikuar nga neni 143</w:t>
      </w:r>
      <w:r w:rsidR="00620F36" w:rsidRPr="00F74CCD">
        <w:rPr>
          <w:sz w:val="24"/>
          <w:szCs w:val="24"/>
          <w:shd w:val="clear" w:color="auto" w:fill="FFFFFF"/>
        </w:rPr>
        <w:t xml:space="preserve">/3 </w:t>
      </w:r>
      <w:r w:rsidRPr="00F74CCD">
        <w:rPr>
          <w:sz w:val="24"/>
          <w:szCs w:val="24"/>
          <w:shd w:val="clear" w:color="auto" w:fill="FFFFFF"/>
        </w:rPr>
        <w:t xml:space="preserve">i Kodit Penal. Ky vendim është ankimuar nga i pandehuri në Gjykatën e Apelit, e cila, pasi ka shqyrtuar dhe analizuar situatën procedurale të </w:t>
      </w:r>
      <w:r w:rsidR="00620F36" w:rsidRPr="00F74CCD">
        <w:rPr>
          <w:sz w:val="24"/>
          <w:szCs w:val="24"/>
          <w:shd w:val="clear" w:color="auto" w:fill="FFFFFF"/>
        </w:rPr>
        <w:t>t</w:t>
      </w:r>
      <w:r w:rsidR="00FE634E" w:rsidRPr="00F74CCD">
        <w:rPr>
          <w:sz w:val="24"/>
          <w:szCs w:val="24"/>
          <w:shd w:val="clear" w:color="auto" w:fill="FFFFFF"/>
        </w:rPr>
        <w:t>ë</w:t>
      </w:r>
      <w:r w:rsidR="00620F36" w:rsidRPr="00F74CCD">
        <w:rPr>
          <w:sz w:val="24"/>
          <w:szCs w:val="24"/>
          <w:shd w:val="clear" w:color="auto" w:fill="FFFFFF"/>
        </w:rPr>
        <w:t xml:space="preserve"> </w:t>
      </w:r>
      <w:r w:rsidRPr="00F74CCD">
        <w:rPr>
          <w:sz w:val="24"/>
          <w:szCs w:val="24"/>
          <w:shd w:val="clear" w:color="auto" w:fill="FFFFFF"/>
        </w:rPr>
        <w:t>dy procedimeve në fjalë, ka disponuar</w:t>
      </w:r>
      <w:r w:rsidR="00620F36" w:rsidRPr="00F74CCD">
        <w:rPr>
          <w:sz w:val="24"/>
          <w:szCs w:val="24"/>
          <w:shd w:val="clear" w:color="auto" w:fill="FFFFFF"/>
        </w:rPr>
        <w:t xml:space="preserve"> p</w:t>
      </w:r>
      <w:r w:rsidR="00FE634E" w:rsidRPr="00F74CCD">
        <w:rPr>
          <w:sz w:val="24"/>
          <w:szCs w:val="24"/>
          <w:shd w:val="clear" w:color="auto" w:fill="FFFFFF"/>
        </w:rPr>
        <w:t>ë</w:t>
      </w:r>
      <w:r w:rsidR="00620F36" w:rsidRPr="00F74CCD">
        <w:rPr>
          <w:sz w:val="24"/>
          <w:szCs w:val="24"/>
          <w:shd w:val="clear" w:color="auto" w:fill="FFFFFF"/>
        </w:rPr>
        <w:t>r</w:t>
      </w:r>
      <w:r w:rsidRPr="00F74CCD">
        <w:rPr>
          <w:sz w:val="24"/>
          <w:szCs w:val="24"/>
          <w:shd w:val="clear" w:color="auto" w:fill="FFFFFF"/>
        </w:rPr>
        <w:t xml:space="preserve"> prishjen e vendimit nr.</w:t>
      </w:r>
      <w:r w:rsidR="00C04334" w:rsidRPr="00F74CCD">
        <w:rPr>
          <w:sz w:val="24"/>
          <w:szCs w:val="24"/>
          <w:shd w:val="clear" w:color="auto" w:fill="FFFFFF"/>
        </w:rPr>
        <w:t xml:space="preserve"> </w:t>
      </w:r>
      <w:r w:rsidRPr="00F74CCD">
        <w:rPr>
          <w:sz w:val="24"/>
          <w:szCs w:val="24"/>
          <w:shd w:val="clear" w:color="auto" w:fill="FFFFFF"/>
        </w:rPr>
        <w:t>977, datë 12.06.2020</w:t>
      </w:r>
      <w:r w:rsidR="00DB797A" w:rsidRPr="00F74CCD">
        <w:rPr>
          <w:sz w:val="24"/>
          <w:szCs w:val="24"/>
          <w:shd w:val="clear" w:color="auto" w:fill="FFFFFF"/>
        </w:rPr>
        <w:t>,</w:t>
      </w:r>
      <w:r w:rsidRPr="00F74CCD">
        <w:rPr>
          <w:sz w:val="24"/>
          <w:szCs w:val="24"/>
          <w:shd w:val="clear" w:color="auto" w:fill="FFFFFF"/>
        </w:rPr>
        <w:t xml:space="preserve"> të Gjykatës së Rrethit Gjyqësor Tiranë dhe pushimin e çështjes penale për të pandehurin Julian Bregu, me argumentin se gjykimi penal i inicuar </w:t>
      </w:r>
      <w:r w:rsidR="00796D83" w:rsidRPr="00F74CCD">
        <w:rPr>
          <w:sz w:val="24"/>
          <w:szCs w:val="24"/>
          <w:shd w:val="clear" w:color="auto" w:fill="FFFFFF"/>
        </w:rPr>
        <w:t>ndaj tij</w:t>
      </w:r>
      <w:r w:rsidR="00620F36" w:rsidRPr="00F74CCD">
        <w:rPr>
          <w:sz w:val="24"/>
          <w:szCs w:val="24"/>
          <w:shd w:val="clear" w:color="auto" w:fill="FFFFFF"/>
        </w:rPr>
        <w:t>,</w:t>
      </w:r>
      <w:r w:rsidR="00796D83" w:rsidRPr="00F74CCD">
        <w:rPr>
          <w:sz w:val="24"/>
          <w:szCs w:val="24"/>
          <w:shd w:val="clear" w:color="auto" w:fill="FFFFFF"/>
        </w:rPr>
        <w:t xml:space="preserve"> </w:t>
      </w:r>
      <w:r w:rsidRPr="00F74CCD">
        <w:rPr>
          <w:sz w:val="24"/>
          <w:szCs w:val="24"/>
          <w:shd w:val="clear" w:color="auto" w:fill="FFFFFF"/>
        </w:rPr>
        <w:t>me procedimin penal nr.7996/2017, nuk mund të vazhdojë, pasi kemi të bëjmë me “gjë të gjykuar”</w:t>
      </w:r>
      <w:r w:rsidR="00C04334" w:rsidRPr="00F74CCD">
        <w:rPr>
          <w:sz w:val="24"/>
          <w:szCs w:val="24"/>
          <w:shd w:val="clear" w:color="auto" w:fill="FFFFFF"/>
        </w:rPr>
        <w:t>, duke i’u referuar procedimit me numrin 1704 i vitit 2016.</w:t>
      </w:r>
    </w:p>
    <w:p w14:paraId="7633D6E4" w14:textId="1C8F2CB0" w:rsidR="003D1417" w:rsidRPr="00F74CCD" w:rsidRDefault="00620F36" w:rsidP="00F74CCD">
      <w:pPr>
        <w:pStyle w:val="ListParagraph"/>
        <w:numPr>
          <w:ilvl w:val="0"/>
          <w:numId w:val="35"/>
        </w:numPr>
        <w:tabs>
          <w:tab w:val="left" w:pos="900"/>
          <w:tab w:val="left" w:pos="990"/>
          <w:tab w:val="left" w:pos="1170"/>
        </w:tabs>
        <w:ind w:left="0" w:firstLine="540"/>
        <w:jc w:val="both"/>
        <w:rPr>
          <w:sz w:val="24"/>
          <w:szCs w:val="24"/>
          <w:lang w:val="it-IT"/>
        </w:rPr>
      </w:pPr>
      <w:r w:rsidRPr="00F74CCD">
        <w:rPr>
          <w:sz w:val="24"/>
          <w:szCs w:val="24"/>
        </w:rPr>
        <w:t>Kolegji thekson se p</w:t>
      </w:r>
      <w:r w:rsidR="00D66E7F" w:rsidRPr="00F74CCD">
        <w:rPr>
          <w:sz w:val="24"/>
          <w:szCs w:val="24"/>
        </w:rPr>
        <w:t>arimi “ne bis in idem”, i sanksionuar në nenin 7 të K</w:t>
      </w:r>
      <w:r w:rsidRPr="00F74CCD">
        <w:rPr>
          <w:sz w:val="24"/>
          <w:szCs w:val="24"/>
        </w:rPr>
        <w:t xml:space="preserve">PP </w:t>
      </w:r>
      <w:r w:rsidR="00D66E7F" w:rsidRPr="00F74CCD">
        <w:rPr>
          <w:sz w:val="24"/>
          <w:szCs w:val="24"/>
        </w:rPr>
        <w:t>dhe nenin 34 të Kushtetutës së Republikës, ndalon rigjykimin e të njëjtit fakt penal kur për të ekziston një vendim i formës së prerë.</w:t>
      </w:r>
      <w:r w:rsidR="00FE0AC5" w:rsidRPr="00F74CCD">
        <w:rPr>
          <w:sz w:val="24"/>
          <w:szCs w:val="24"/>
        </w:rPr>
        <w:t xml:space="preserve"> </w:t>
      </w:r>
      <w:r w:rsidR="003D1417" w:rsidRPr="00F74CCD">
        <w:rPr>
          <w:sz w:val="24"/>
          <w:szCs w:val="24"/>
        </w:rPr>
        <w:t>N</w:t>
      </w:r>
      <w:r w:rsidR="00FD165D" w:rsidRPr="00F74CCD">
        <w:rPr>
          <w:sz w:val="24"/>
          <w:szCs w:val="24"/>
        </w:rPr>
        <w:t>ë</w:t>
      </w:r>
      <w:r w:rsidR="003D1417" w:rsidRPr="00F74CCD">
        <w:rPr>
          <w:sz w:val="24"/>
          <w:szCs w:val="24"/>
        </w:rPr>
        <w:t xml:space="preserve"> nenin 462/3 t</w:t>
      </w:r>
      <w:r w:rsidR="00FD165D" w:rsidRPr="00F74CCD">
        <w:rPr>
          <w:sz w:val="24"/>
          <w:szCs w:val="24"/>
        </w:rPr>
        <w:t>ë</w:t>
      </w:r>
      <w:r w:rsidR="003D1417" w:rsidRPr="00F74CCD">
        <w:rPr>
          <w:sz w:val="24"/>
          <w:szCs w:val="24"/>
        </w:rPr>
        <w:t xml:space="preserve"> KPP, p</w:t>
      </w:r>
      <w:r w:rsidR="00FD165D" w:rsidRPr="00F74CCD">
        <w:rPr>
          <w:sz w:val="24"/>
          <w:szCs w:val="24"/>
        </w:rPr>
        <w:t>ë</w:t>
      </w:r>
      <w:r w:rsidR="003D1417" w:rsidRPr="00F74CCD">
        <w:rPr>
          <w:sz w:val="24"/>
          <w:szCs w:val="24"/>
        </w:rPr>
        <w:t xml:space="preserve">rcaktohet se: </w:t>
      </w:r>
      <w:r w:rsidR="003D1417" w:rsidRPr="00F74CCD">
        <w:rPr>
          <w:i/>
          <w:iCs/>
          <w:sz w:val="24"/>
          <w:szCs w:val="24"/>
        </w:rPr>
        <w:t>“(...)</w:t>
      </w:r>
      <w:r w:rsidR="00DB797A" w:rsidRPr="00F74CCD">
        <w:rPr>
          <w:i/>
          <w:iCs/>
          <w:sz w:val="24"/>
          <w:szCs w:val="24"/>
        </w:rPr>
        <w:t xml:space="preserve"> </w:t>
      </w:r>
      <w:r w:rsidR="003D1417" w:rsidRPr="00F74CCD">
        <w:rPr>
          <w:i/>
          <w:iCs/>
          <w:sz w:val="24"/>
          <w:szCs w:val="24"/>
        </w:rPr>
        <w:t>...</w:t>
      </w:r>
      <w:r w:rsidR="006B774F" w:rsidRPr="00F74CCD">
        <w:rPr>
          <w:i/>
          <w:iCs/>
          <w:sz w:val="24"/>
          <w:szCs w:val="24"/>
        </w:rPr>
        <w:t xml:space="preserve"> </w:t>
      </w:r>
      <w:r w:rsidR="003D1417" w:rsidRPr="00F74CCD">
        <w:rPr>
          <w:i/>
          <w:iCs/>
          <w:sz w:val="24"/>
          <w:szCs w:val="24"/>
        </w:rPr>
        <w:t>3. Janë vendime të formës së prerë: a) vendimi i gjykatës së shkallës së parë kur nuk ankimohet nga palët brenda afatit ligjor, kur është i paankimueshëm ose kur nuk pranohet ankimi për shkaqet e parashikuara nga neni 420 i këtij Kodi. Në çështjet me bashkëtëpandehur, vendimi merr formë të prerë për të pandehurin që nuk ka bërë ankim, pavarësisht ankimit të bashkëtëpandehurve të tjerë, me kusht që prokurori të mos ketë bërë ankim. Kur prokurori nuk ka ushtruar ankim dhe çështja shqyrtohet mbi bazën e ankimit të bashkëtëpandehurve të tjerë, për të pandehurin që nuk ka ushtruar ankim në një gjykim me bashkëtëpandehur, vendimi merr formë të prerë pavarësisht ankimit të ushtruar nga bashkëtëpandehurit e tjerë; b) vendimi i gjykatës së apelit kur zgjidh përfundimisht çështjen, sipas shkronjave "a", "b" dhe "c", të pikës 1, të nenit 428, të këtij Kodi; c) vendimi i Gjykatës së Lartë në rastet e ekstradimit dhe transferimit të personave të dënuar"</w:t>
      </w:r>
      <w:r w:rsidR="003D1417" w:rsidRPr="00F74CCD">
        <w:rPr>
          <w:iCs/>
          <w:sz w:val="24"/>
          <w:szCs w:val="24"/>
        </w:rPr>
        <w:t xml:space="preserve">. </w:t>
      </w:r>
      <w:r w:rsidR="003D1417" w:rsidRPr="00F74CCD">
        <w:rPr>
          <w:sz w:val="24"/>
          <w:szCs w:val="24"/>
        </w:rPr>
        <w:t>Nd</w:t>
      </w:r>
      <w:r w:rsidR="00FD165D" w:rsidRPr="00F74CCD">
        <w:rPr>
          <w:sz w:val="24"/>
          <w:szCs w:val="24"/>
        </w:rPr>
        <w:t>ë</w:t>
      </w:r>
      <w:r w:rsidR="003D1417" w:rsidRPr="00F74CCD">
        <w:rPr>
          <w:sz w:val="24"/>
          <w:szCs w:val="24"/>
        </w:rPr>
        <w:t>rsa n</w:t>
      </w:r>
      <w:r w:rsidR="00FD165D" w:rsidRPr="00F74CCD">
        <w:rPr>
          <w:sz w:val="24"/>
          <w:szCs w:val="24"/>
        </w:rPr>
        <w:t>ë</w:t>
      </w:r>
      <w:r w:rsidR="003D1417" w:rsidRPr="00F74CCD">
        <w:rPr>
          <w:sz w:val="24"/>
          <w:szCs w:val="24"/>
        </w:rPr>
        <w:t xml:space="preserve"> nenin 474 t</w:t>
      </w:r>
      <w:r w:rsidR="00FD165D" w:rsidRPr="00F74CCD">
        <w:rPr>
          <w:sz w:val="24"/>
          <w:szCs w:val="24"/>
        </w:rPr>
        <w:t>ë</w:t>
      </w:r>
      <w:r w:rsidR="003D1417" w:rsidRPr="00F74CCD">
        <w:rPr>
          <w:sz w:val="24"/>
          <w:szCs w:val="24"/>
        </w:rPr>
        <w:t xml:space="preserve"> KPP, </w:t>
      </w:r>
      <w:r w:rsidR="003D1417" w:rsidRPr="00F74CCD">
        <w:rPr>
          <w:sz w:val="24"/>
          <w:szCs w:val="24"/>
          <w:shd w:val="clear" w:color="auto" w:fill="FFFFFF"/>
        </w:rPr>
        <w:t>përcakto</w:t>
      </w:r>
      <w:r w:rsidR="006B774F" w:rsidRPr="00F74CCD">
        <w:rPr>
          <w:sz w:val="24"/>
          <w:szCs w:val="24"/>
          <w:shd w:val="clear" w:color="auto" w:fill="FFFFFF"/>
        </w:rPr>
        <w:t xml:space="preserve">het </w:t>
      </w:r>
      <w:r w:rsidR="003D1417" w:rsidRPr="00F74CCD">
        <w:rPr>
          <w:sz w:val="24"/>
          <w:szCs w:val="24"/>
          <w:shd w:val="clear" w:color="auto" w:fill="FFFFFF"/>
        </w:rPr>
        <w:t xml:space="preserve">se:  </w:t>
      </w:r>
      <w:r w:rsidR="006B774F" w:rsidRPr="00F74CCD">
        <w:rPr>
          <w:sz w:val="24"/>
          <w:szCs w:val="24"/>
          <w:shd w:val="clear" w:color="auto" w:fill="FFFFFF"/>
        </w:rPr>
        <w:t>“</w:t>
      </w:r>
      <w:r w:rsidR="003D1417" w:rsidRPr="00F74CCD">
        <w:rPr>
          <w:i/>
          <w:iCs/>
          <w:sz w:val="24"/>
          <w:szCs w:val="24"/>
          <w:shd w:val="clear" w:color="auto" w:fill="FFFFFF"/>
        </w:rPr>
        <w:t>1.  Kur  disa  vendime  janë  dhënë  kundër të  njëjtit  person  për  të  njëjtin  fakt,  gjykata  urdhëron ekzekutimin  e  vendimit  me  të  cilin  është  dhënë  dënimi  më  i  lehtë,  duke  i  deklaruar  të  tjerët  të  pazbatueshëm. Kur dënimet kryesore janë të barabarta, mbahet parasysh dënimi plotësues. 2. Kur ka disa vendime pushimi ose pafajësie, i interesuari tregon vendimin që duhet ekzekutuar dhe  kur  ai  nuk  e  bën  këtë,  prokurori  për  rastin  e  pushimit  dhe  gjykata  për  rastin  e  pafajësisë, urdhërojnë ekzekutimin e vendimit më të favorshëm. 3.  Kur  bëhet  fjalë  për  një  vendim  pafajësie  dhe  për  një  vendim  dënimi,  gjykata  urdhëron ekzekutimin  e  vendimit  të  pafajësisë,  duke  revokuar  vendimin  e  dënimit,  ndërsa  kur  është  fjala  për  një vendim mosfillimi të dhënë nga prokurori dhe një vendim të dhënë në gjykim, gjykata urdhëron ekzekutimin e vendimit të dhënë në gjykim</w:t>
      </w:r>
      <w:r w:rsidR="006B774F" w:rsidRPr="00F74CCD">
        <w:rPr>
          <w:i/>
          <w:iCs/>
          <w:sz w:val="24"/>
          <w:szCs w:val="24"/>
          <w:shd w:val="clear" w:color="auto" w:fill="FFFFFF"/>
        </w:rPr>
        <w:t>”</w:t>
      </w:r>
      <w:r w:rsidR="003D1417" w:rsidRPr="00F74CCD">
        <w:rPr>
          <w:iCs/>
          <w:sz w:val="24"/>
          <w:szCs w:val="24"/>
          <w:shd w:val="clear" w:color="auto" w:fill="FFFFFF"/>
        </w:rPr>
        <w:t>.</w:t>
      </w:r>
      <w:r w:rsidR="004C22DC" w:rsidRPr="00F74CCD">
        <w:rPr>
          <w:iCs/>
          <w:sz w:val="24"/>
          <w:szCs w:val="24"/>
          <w:shd w:val="clear" w:color="auto" w:fill="FFFFFF"/>
        </w:rPr>
        <w:t xml:space="preserve"> </w:t>
      </w:r>
      <w:r w:rsidR="00796D83" w:rsidRPr="00F74CCD">
        <w:rPr>
          <w:sz w:val="24"/>
          <w:szCs w:val="24"/>
        </w:rPr>
        <w:t>Sipas vendimit unifikues nr.</w:t>
      </w:r>
      <w:r w:rsidRPr="00F74CCD">
        <w:rPr>
          <w:sz w:val="24"/>
          <w:szCs w:val="24"/>
        </w:rPr>
        <w:t xml:space="preserve"> </w:t>
      </w:r>
      <w:r w:rsidR="00796D83" w:rsidRPr="00F74CCD">
        <w:rPr>
          <w:sz w:val="24"/>
          <w:szCs w:val="24"/>
        </w:rPr>
        <w:t>2, datë 03.11.2014</w:t>
      </w:r>
      <w:r w:rsidR="00DB797A" w:rsidRPr="00F74CCD">
        <w:rPr>
          <w:sz w:val="24"/>
          <w:szCs w:val="24"/>
        </w:rPr>
        <w:t>,</w:t>
      </w:r>
      <w:r w:rsidR="00796D83" w:rsidRPr="00F74CCD">
        <w:rPr>
          <w:sz w:val="24"/>
          <w:szCs w:val="24"/>
        </w:rPr>
        <w:t xml:space="preserve"> të Kolegjeve të Bashkuara të Gjykatës së Lartë: "Në legjislacionin procedural penal Shqiptar, me shprehjen </w:t>
      </w:r>
      <w:r w:rsidR="00796D83" w:rsidRPr="00F74CCD">
        <w:rPr>
          <w:i/>
          <w:iCs/>
          <w:sz w:val="24"/>
          <w:szCs w:val="24"/>
        </w:rPr>
        <w:t>"vendim i formës së prerë do të kuptohet, sipas rastit, vendim që ka marrë formën e "gjësë së gjykuar", ose "vendim i ekzekutueshëm". Vendimi penal merr formën e prerë" në kuptimin e "gjësë së gjykuar kur. a. Gjykata e Lartë disponon sipas neneve 433 ose 141(1)(a), 441(1)(b), 441(1) (c), 441(1)(d) të K.Pr. Penale; ose b. Palët humbasin afatet e parashikuara në menet 415(1) dhe 435(1) të K.Pr. Penale mbi paraqitjen e ankimit në gjykatën e apelit ose rekursit në Gjykatën e Lartë. Në çdo rast tjetër me shprehjen "formë e prerë do të kuptojmë "vendimin e ekzekutueshëm të gjykatave të apelit"</w:t>
      </w:r>
      <w:r w:rsidR="00796D83" w:rsidRPr="00F74CCD">
        <w:rPr>
          <w:iCs/>
          <w:sz w:val="24"/>
          <w:szCs w:val="24"/>
        </w:rPr>
        <w:t>.</w:t>
      </w:r>
    </w:p>
    <w:p w14:paraId="54E12A02" w14:textId="3F968DB4" w:rsidR="00FE0AC5" w:rsidRPr="00F74CCD" w:rsidRDefault="003D1417" w:rsidP="00F74CCD">
      <w:pPr>
        <w:pStyle w:val="ListParagraph"/>
        <w:numPr>
          <w:ilvl w:val="0"/>
          <w:numId w:val="35"/>
        </w:numPr>
        <w:tabs>
          <w:tab w:val="left" w:pos="900"/>
          <w:tab w:val="left" w:pos="990"/>
          <w:tab w:val="left" w:pos="1170"/>
        </w:tabs>
        <w:ind w:left="0" w:firstLine="540"/>
        <w:jc w:val="both"/>
        <w:rPr>
          <w:sz w:val="24"/>
          <w:szCs w:val="24"/>
          <w:shd w:val="clear" w:color="auto" w:fill="FFFFFF"/>
        </w:rPr>
      </w:pPr>
      <w:r w:rsidRPr="00F74CCD">
        <w:rPr>
          <w:sz w:val="24"/>
          <w:szCs w:val="24"/>
          <w:shd w:val="clear" w:color="auto" w:fill="FFFFFF"/>
        </w:rPr>
        <w:t>N</w:t>
      </w:r>
      <w:r w:rsidR="00FD165D" w:rsidRPr="00F74CCD">
        <w:rPr>
          <w:sz w:val="24"/>
          <w:szCs w:val="24"/>
          <w:shd w:val="clear" w:color="auto" w:fill="FFFFFF"/>
        </w:rPr>
        <w:t>ë</w:t>
      </w:r>
      <w:r w:rsidRPr="00F74CCD">
        <w:rPr>
          <w:sz w:val="24"/>
          <w:szCs w:val="24"/>
          <w:shd w:val="clear" w:color="auto" w:fill="FFFFFF"/>
        </w:rPr>
        <w:t xml:space="preserve"> referim t</w:t>
      </w:r>
      <w:r w:rsidR="00FD165D" w:rsidRPr="00F74CCD">
        <w:rPr>
          <w:sz w:val="24"/>
          <w:szCs w:val="24"/>
          <w:shd w:val="clear" w:color="auto" w:fill="FFFFFF"/>
        </w:rPr>
        <w:t>ë</w:t>
      </w:r>
      <w:r w:rsidRPr="00F74CCD">
        <w:rPr>
          <w:sz w:val="24"/>
          <w:szCs w:val="24"/>
          <w:shd w:val="clear" w:color="auto" w:fill="FFFFFF"/>
        </w:rPr>
        <w:t xml:space="preserve"> dispozitave</w:t>
      </w:r>
      <w:r w:rsidR="00D66E7F" w:rsidRPr="00F74CCD">
        <w:rPr>
          <w:sz w:val="24"/>
          <w:szCs w:val="24"/>
          <w:shd w:val="clear" w:color="auto" w:fill="FFFFFF"/>
        </w:rPr>
        <w:t xml:space="preserve"> procedurale penale</w:t>
      </w:r>
      <w:r w:rsidRPr="00F74CCD">
        <w:rPr>
          <w:sz w:val="24"/>
          <w:szCs w:val="24"/>
          <w:shd w:val="clear" w:color="auto" w:fill="FFFFFF"/>
        </w:rPr>
        <w:t xml:space="preserve"> dhe t</w:t>
      </w:r>
      <w:r w:rsidR="00FD165D" w:rsidRPr="00F74CCD">
        <w:rPr>
          <w:sz w:val="24"/>
          <w:szCs w:val="24"/>
          <w:shd w:val="clear" w:color="auto" w:fill="FFFFFF"/>
        </w:rPr>
        <w:t>ë</w:t>
      </w:r>
      <w:r w:rsidRPr="00F74CCD">
        <w:rPr>
          <w:sz w:val="24"/>
          <w:szCs w:val="24"/>
          <w:shd w:val="clear" w:color="auto" w:fill="FFFFFF"/>
        </w:rPr>
        <w:t xml:space="preserve"> rregullit gjyq</w:t>
      </w:r>
      <w:r w:rsidR="00FD165D" w:rsidRPr="00F74CCD">
        <w:rPr>
          <w:sz w:val="24"/>
          <w:szCs w:val="24"/>
          <w:shd w:val="clear" w:color="auto" w:fill="FFFFFF"/>
        </w:rPr>
        <w:t>ë</w:t>
      </w:r>
      <w:r w:rsidRPr="00F74CCD">
        <w:rPr>
          <w:sz w:val="24"/>
          <w:szCs w:val="24"/>
          <w:shd w:val="clear" w:color="auto" w:fill="FFFFFF"/>
        </w:rPr>
        <w:t>sor t</w:t>
      </w:r>
      <w:r w:rsidR="00FD165D" w:rsidRPr="00F74CCD">
        <w:rPr>
          <w:sz w:val="24"/>
          <w:szCs w:val="24"/>
          <w:shd w:val="clear" w:color="auto" w:fill="FFFFFF"/>
        </w:rPr>
        <w:t>ë</w:t>
      </w:r>
      <w:r w:rsidRPr="00F74CCD">
        <w:rPr>
          <w:sz w:val="24"/>
          <w:szCs w:val="24"/>
          <w:shd w:val="clear" w:color="auto" w:fill="FFFFFF"/>
        </w:rPr>
        <w:t xml:space="preserve"> cituar m</w:t>
      </w:r>
      <w:r w:rsidR="00FD165D" w:rsidRPr="00F74CCD">
        <w:rPr>
          <w:sz w:val="24"/>
          <w:szCs w:val="24"/>
          <w:shd w:val="clear" w:color="auto" w:fill="FFFFFF"/>
        </w:rPr>
        <w:t>ë</w:t>
      </w:r>
      <w:r w:rsidRPr="00F74CCD">
        <w:rPr>
          <w:sz w:val="24"/>
          <w:szCs w:val="24"/>
          <w:shd w:val="clear" w:color="auto" w:fill="FFFFFF"/>
        </w:rPr>
        <w:t xml:space="preserve"> lart, Kolegji vler</w:t>
      </w:r>
      <w:r w:rsidR="00FD165D" w:rsidRPr="00F74CCD">
        <w:rPr>
          <w:sz w:val="24"/>
          <w:szCs w:val="24"/>
          <w:shd w:val="clear" w:color="auto" w:fill="FFFFFF"/>
        </w:rPr>
        <w:t>ë</w:t>
      </w:r>
      <w:r w:rsidRPr="00F74CCD">
        <w:rPr>
          <w:sz w:val="24"/>
          <w:szCs w:val="24"/>
          <w:shd w:val="clear" w:color="auto" w:fill="FFFFFF"/>
        </w:rPr>
        <w:t>son se Gjykata</w:t>
      </w:r>
      <w:r w:rsidR="00D66E7F" w:rsidRPr="00F74CCD">
        <w:rPr>
          <w:sz w:val="24"/>
          <w:szCs w:val="24"/>
          <w:shd w:val="clear" w:color="auto" w:fill="FFFFFF"/>
        </w:rPr>
        <w:t xml:space="preserve"> e Apelit </w:t>
      </w:r>
      <w:r w:rsidR="00FE0AC5" w:rsidRPr="00F74CCD">
        <w:rPr>
          <w:sz w:val="24"/>
          <w:szCs w:val="24"/>
          <w:shd w:val="clear" w:color="auto" w:fill="FFFFFF"/>
        </w:rPr>
        <w:t xml:space="preserve">ka gabuar </w:t>
      </w:r>
      <w:r w:rsidR="00620F36" w:rsidRPr="00F74CCD">
        <w:rPr>
          <w:sz w:val="24"/>
          <w:szCs w:val="24"/>
          <w:shd w:val="clear" w:color="auto" w:fill="FFFFFF"/>
        </w:rPr>
        <w:t xml:space="preserve">duke disponuar: </w:t>
      </w:r>
      <w:r w:rsidR="00620F36" w:rsidRPr="00F74CCD">
        <w:rPr>
          <w:i/>
          <w:iCs/>
          <w:sz w:val="24"/>
          <w:szCs w:val="24"/>
          <w:shd w:val="clear" w:color="auto" w:fill="FFFFFF"/>
        </w:rPr>
        <w:t>“P</w:t>
      </w:r>
      <w:r w:rsidR="00FE0AC5" w:rsidRPr="00F74CCD">
        <w:rPr>
          <w:i/>
          <w:iCs/>
          <w:color w:val="000000"/>
          <w:sz w:val="24"/>
          <w:szCs w:val="24"/>
        </w:rPr>
        <w:t xml:space="preserve">rishjen e vendimit nr. 977 </w:t>
      </w:r>
      <w:r w:rsidR="004C22DC" w:rsidRPr="00F74CCD">
        <w:rPr>
          <w:i/>
          <w:iCs/>
          <w:color w:val="000000"/>
          <w:sz w:val="24"/>
          <w:szCs w:val="24"/>
        </w:rPr>
        <w:t>dat</w:t>
      </w:r>
      <w:r w:rsidR="00305087" w:rsidRPr="00F74CCD">
        <w:rPr>
          <w:i/>
          <w:iCs/>
          <w:color w:val="000000"/>
          <w:sz w:val="24"/>
          <w:szCs w:val="24"/>
        </w:rPr>
        <w:t>ë</w:t>
      </w:r>
      <w:r w:rsidR="00FE0AC5" w:rsidRPr="00F74CCD">
        <w:rPr>
          <w:i/>
          <w:iCs/>
          <w:color w:val="000000"/>
          <w:sz w:val="24"/>
          <w:szCs w:val="24"/>
        </w:rPr>
        <w:t xml:space="preserve"> 12.06.2020 të Gjykatës së Rrethit Gjyqësor Tiranë dhe pushimin e çështjes penale për të pandehurin Julian Bregu, për shkak se ndjekja penale në lidhje me këtë procedim penal nr. </w:t>
      </w:r>
      <w:r w:rsidR="00FE0AC5" w:rsidRPr="00F74CCD">
        <w:rPr>
          <w:i/>
          <w:iCs/>
          <w:color w:val="000000"/>
          <w:sz w:val="24"/>
          <w:szCs w:val="24"/>
        </w:rPr>
        <w:lastRenderedPageBreak/>
        <w:t>7966/2017 për këtë të pandehur nuk mund të vazhdojë, për shkak të parimit ne bis in idem</w:t>
      </w:r>
      <w:r w:rsidR="00620F36" w:rsidRPr="00F74CCD">
        <w:rPr>
          <w:i/>
          <w:iCs/>
          <w:color w:val="000000"/>
          <w:sz w:val="24"/>
          <w:szCs w:val="24"/>
        </w:rPr>
        <w:t xml:space="preserve">”. </w:t>
      </w:r>
      <w:r w:rsidR="00620F36" w:rsidRPr="00F74CCD">
        <w:rPr>
          <w:color w:val="000000"/>
          <w:sz w:val="24"/>
          <w:szCs w:val="24"/>
        </w:rPr>
        <w:t>N</w:t>
      </w:r>
      <w:r w:rsidR="00FE634E" w:rsidRPr="00F74CCD">
        <w:rPr>
          <w:color w:val="000000"/>
          <w:sz w:val="24"/>
          <w:szCs w:val="24"/>
        </w:rPr>
        <w:t>ë</w:t>
      </w:r>
      <w:r w:rsidR="00FE0AC5" w:rsidRPr="00F74CCD">
        <w:rPr>
          <w:color w:val="000000"/>
          <w:sz w:val="24"/>
          <w:szCs w:val="24"/>
        </w:rPr>
        <w:t xml:space="preserve"> rastin konkret </w:t>
      </w:r>
      <w:r w:rsidR="004C22DC" w:rsidRPr="00F74CCD">
        <w:rPr>
          <w:color w:val="000000"/>
          <w:sz w:val="24"/>
          <w:szCs w:val="24"/>
        </w:rPr>
        <w:t>Kolegji v</w:t>
      </w:r>
      <w:r w:rsidR="00633B7F" w:rsidRPr="00F74CCD">
        <w:rPr>
          <w:color w:val="000000"/>
          <w:sz w:val="24"/>
          <w:szCs w:val="24"/>
        </w:rPr>
        <w:t>ë</w:t>
      </w:r>
      <w:r w:rsidR="00C04334" w:rsidRPr="00F74CCD">
        <w:rPr>
          <w:color w:val="000000"/>
          <w:sz w:val="24"/>
          <w:szCs w:val="24"/>
        </w:rPr>
        <w:t xml:space="preserve">ren </w:t>
      </w:r>
      <w:r w:rsidR="004C22DC" w:rsidRPr="00F74CCD">
        <w:rPr>
          <w:color w:val="000000"/>
          <w:sz w:val="24"/>
          <w:szCs w:val="24"/>
        </w:rPr>
        <w:t xml:space="preserve">se </w:t>
      </w:r>
      <w:r w:rsidR="00FE0AC5" w:rsidRPr="00F74CCD">
        <w:rPr>
          <w:color w:val="000000"/>
          <w:sz w:val="24"/>
          <w:szCs w:val="24"/>
        </w:rPr>
        <w:t xml:space="preserve">nuk </w:t>
      </w:r>
      <w:r w:rsidR="00DB797A" w:rsidRPr="00F74CCD">
        <w:rPr>
          <w:color w:val="000000"/>
          <w:sz w:val="24"/>
          <w:szCs w:val="24"/>
        </w:rPr>
        <w:t>ndodh</w:t>
      </w:r>
      <w:r w:rsidR="00FE0AC5" w:rsidRPr="00F74CCD">
        <w:rPr>
          <w:color w:val="000000"/>
          <w:sz w:val="24"/>
          <w:szCs w:val="24"/>
        </w:rPr>
        <w:t>emi para nj</w:t>
      </w:r>
      <w:r w:rsidR="00FD165D" w:rsidRPr="00F74CCD">
        <w:rPr>
          <w:color w:val="000000"/>
          <w:sz w:val="24"/>
          <w:szCs w:val="24"/>
        </w:rPr>
        <w:t>ë</w:t>
      </w:r>
      <w:r w:rsidR="00FE0AC5" w:rsidRPr="00F74CCD">
        <w:rPr>
          <w:color w:val="000000"/>
          <w:sz w:val="24"/>
          <w:szCs w:val="24"/>
        </w:rPr>
        <w:t xml:space="preserve"> vendimin </w:t>
      </w:r>
      <w:r w:rsidR="00D66E7F" w:rsidRPr="00F74CCD">
        <w:rPr>
          <w:sz w:val="24"/>
          <w:szCs w:val="24"/>
        </w:rPr>
        <w:t>të formës së prerë, që do të sillte pamundësinë e vijimit të gjykimit</w:t>
      </w:r>
      <w:r w:rsidR="00FE0AC5" w:rsidRPr="00F74CCD">
        <w:rPr>
          <w:sz w:val="24"/>
          <w:szCs w:val="24"/>
        </w:rPr>
        <w:t xml:space="preserve"> q</w:t>
      </w:r>
      <w:r w:rsidR="00FD165D" w:rsidRPr="00F74CCD">
        <w:rPr>
          <w:sz w:val="24"/>
          <w:szCs w:val="24"/>
        </w:rPr>
        <w:t>ë</w:t>
      </w:r>
      <w:r w:rsidR="00FE0AC5" w:rsidRPr="00F74CCD">
        <w:rPr>
          <w:sz w:val="24"/>
          <w:szCs w:val="24"/>
        </w:rPr>
        <w:t xml:space="preserve"> lidhet me </w:t>
      </w:r>
      <w:r w:rsidR="00FE0AC5" w:rsidRPr="00F74CCD">
        <w:rPr>
          <w:color w:val="000000"/>
          <w:sz w:val="24"/>
          <w:szCs w:val="24"/>
        </w:rPr>
        <w:t>procedim</w:t>
      </w:r>
      <w:r w:rsidR="00633B7F" w:rsidRPr="00F74CCD">
        <w:rPr>
          <w:color w:val="000000"/>
          <w:sz w:val="24"/>
          <w:szCs w:val="24"/>
        </w:rPr>
        <w:t>in</w:t>
      </w:r>
      <w:r w:rsidR="00FE0AC5" w:rsidRPr="00F74CCD">
        <w:rPr>
          <w:color w:val="000000"/>
          <w:sz w:val="24"/>
          <w:szCs w:val="24"/>
        </w:rPr>
        <w:t xml:space="preserve"> penal nr. 7966/2017</w:t>
      </w:r>
      <w:r w:rsidR="00D66E7F" w:rsidRPr="00F74CCD">
        <w:rPr>
          <w:sz w:val="24"/>
          <w:szCs w:val="24"/>
        </w:rPr>
        <w:t>, pasi kundër vendimit nr.</w:t>
      </w:r>
      <w:r w:rsidR="00620F36" w:rsidRPr="00F74CCD">
        <w:rPr>
          <w:sz w:val="24"/>
          <w:szCs w:val="24"/>
        </w:rPr>
        <w:t xml:space="preserve"> </w:t>
      </w:r>
      <w:r w:rsidR="00D66E7F" w:rsidRPr="00F74CCD">
        <w:rPr>
          <w:sz w:val="24"/>
          <w:szCs w:val="24"/>
        </w:rPr>
        <w:t>294, datë 06.02.2019</w:t>
      </w:r>
      <w:r w:rsidR="00DB797A" w:rsidRPr="00F74CCD">
        <w:rPr>
          <w:sz w:val="24"/>
          <w:szCs w:val="24"/>
        </w:rPr>
        <w:t>,</w:t>
      </w:r>
      <w:r w:rsidR="00D66E7F" w:rsidRPr="00F74CCD">
        <w:rPr>
          <w:sz w:val="24"/>
          <w:szCs w:val="24"/>
        </w:rPr>
        <w:t xml:space="preserve"> të Gjykatës së Rrethit Gjyqësor Tiranë është paraqitur ankim nga prokurori dhe çështja është </w:t>
      </w:r>
      <w:r w:rsidR="00633B7F" w:rsidRPr="00F74CCD">
        <w:rPr>
          <w:sz w:val="24"/>
          <w:szCs w:val="24"/>
        </w:rPr>
        <w:t>në pritje për tu gjykuar</w:t>
      </w:r>
      <w:r w:rsidR="00D66E7F" w:rsidRPr="00F74CCD">
        <w:rPr>
          <w:sz w:val="24"/>
          <w:szCs w:val="24"/>
        </w:rPr>
        <w:t xml:space="preserve"> në Gjykatën e Apelit. </w:t>
      </w:r>
      <w:r w:rsidR="00633B7F" w:rsidRPr="00F74CCD">
        <w:rPr>
          <w:sz w:val="24"/>
          <w:szCs w:val="24"/>
        </w:rPr>
        <w:t>Pra për shkak të ankimit të ushtruar ndaj tij, vendimi nr. 294, datë 06.02.2019</w:t>
      </w:r>
      <w:r w:rsidR="00DB797A" w:rsidRPr="00F74CCD">
        <w:rPr>
          <w:sz w:val="24"/>
          <w:szCs w:val="24"/>
        </w:rPr>
        <w:t>,</w:t>
      </w:r>
      <w:r w:rsidR="00633B7F" w:rsidRPr="00F74CCD">
        <w:rPr>
          <w:sz w:val="24"/>
          <w:szCs w:val="24"/>
        </w:rPr>
        <w:t xml:space="preserve"> i Gjykatës së Rrethit Gjyqësor Tiranë, nuk përbën një vendim të formës së prerë, në kup</w:t>
      </w:r>
      <w:r w:rsidR="00DB797A" w:rsidRPr="00F74CCD">
        <w:rPr>
          <w:sz w:val="24"/>
          <w:szCs w:val="24"/>
        </w:rPr>
        <w:t>t</w:t>
      </w:r>
      <w:r w:rsidR="00633B7F" w:rsidRPr="00F74CCD">
        <w:rPr>
          <w:sz w:val="24"/>
          <w:szCs w:val="24"/>
        </w:rPr>
        <w:t>im të nenit 263 të KPP.</w:t>
      </w:r>
    </w:p>
    <w:p w14:paraId="2B86F704" w14:textId="6100B04A" w:rsidR="00FE0AC5" w:rsidRPr="00F74CCD" w:rsidRDefault="00FE0AC5" w:rsidP="00F74CCD">
      <w:pPr>
        <w:pStyle w:val="ListParagraph"/>
        <w:numPr>
          <w:ilvl w:val="0"/>
          <w:numId w:val="35"/>
        </w:numPr>
        <w:tabs>
          <w:tab w:val="left" w:pos="900"/>
          <w:tab w:val="left" w:pos="990"/>
          <w:tab w:val="left" w:pos="1170"/>
        </w:tabs>
        <w:ind w:left="0" w:firstLine="540"/>
        <w:jc w:val="both"/>
        <w:rPr>
          <w:sz w:val="24"/>
          <w:szCs w:val="24"/>
          <w:shd w:val="clear" w:color="auto" w:fill="FFFFFF"/>
        </w:rPr>
      </w:pPr>
      <w:r w:rsidRPr="00F74CCD">
        <w:rPr>
          <w:sz w:val="24"/>
          <w:szCs w:val="24"/>
        </w:rPr>
        <w:t>Kolegji vler</w:t>
      </w:r>
      <w:r w:rsidR="00FD165D" w:rsidRPr="00F74CCD">
        <w:rPr>
          <w:sz w:val="24"/>
          <w:szCs w:val="24"/>
        </w:rPr>
        <w:t>ë</w:t>
      </w:r>
      <w:r w:rsidRPr="00F74CCD">
        <w:rPr>
          <w:sz w:val="24"/>
          <w:szCs w:val="24"/>
        </w:rPr>
        <w:t xml:space="preserve">son se Gjykata e Apelit, </w:t>
      </w:r>
      <w:r w:rsidR="00796D83" w:rsidRPr="00F74CCD">
        <w:rPr>
          <w:sz w:val="24"/>
          <w:szCs w:val="24"/>
          <w:shd w:val="clear" w:color="auto" w:fill="FFFFFF"/>
        </w:rPr>
        <w:t>duhet të kishte shqyrtuar në themel ankimin e të pandehurit Julian Bregu</w:t>
      </w:r>
      <w:r w:rsidR="00620F36" w:rsidRPr="00F74CCD">
        <w:rPr>
          <w:sz w:val="24"/>
          <w:szCs w:val="24"/>
          <w:shd w:val="clear" w:color="auto" w:fill="FFFFFF"/>
        </w:rPr>
        <w:t xml:space="preserve">, </w:t>
      </w:r>
      <w:r w:rsidR="00796D83" w:rsidRPr="00F74CCD">
        <w:rPr>
          <w:sz w:val="24"/>
          <w:szCs w:val="24"/>
          <w:shd w:val="clear" w:color="auto" w:fill="FFFFFF"/>
        </w:rPr>
        <w:t xml:space="preserve">të dispononte </w:t>
      </w:r>
      <w:r w:rsidRPr="00F74CCD">
        <w:rPr>
          <w:sz w:val="24"/>
          <w:szCs w:val="24"/>
          <w:shd w:val="clear" w:color="auto" w:fill="FFFFFF"/>
        </w:rPr>
        <w:t>mbi</w:t>
      </w:r>
      <w:r w:rsidR="00796D83" w:rsidRPr="00F74CCD">
        <w:rPr>
          <w:sz w:val="24"/>
          <w:szCs w:val="24"/>
          <w:shd w:val="clear" w:color="auto" w:fill="FFFFFF"/>
        </w:rPr>
        <w:t xml:space="preserve"> bazueshmërinë ose jo të tij dhe jo të pushonte gjykimin. </w:t>
      </w:r>
      <w:r w:rsidR="004C22DC" w:rsidRPr="00F74CCD">
        <w:rPr>
          <w:sz w:val="24"/>
          <w:szCs w:val="24"/>
          <w:shd w:val="clear" w:color="auto" w:fill="FFFFFF"/>
        </w:rPr>
        <w:t>Ndon</w:t>
      </w:r>
      <w:r w:rsidR="00305087" w:rsidRPr="00F74CCD">
        <w:rPr>
          <w:sz w:val="24"/>
          <w:szCs w:val="24"/>
          <w:shd w:val="clear" w:color="auto" w:fill="FFFFFF"/>
        </w:rPr>
        <w:t>ë</w:t>
      </w:r>
      <w:r w:rsidR="004C22DC" w:rsidRPr="00F74CCD">
        <w:rPr>
          <w:sz w:val="24"/>
          <w:szCs w:val="24"/>
          <w:shd w:val="clear" w:color="auto" w:fill="FFFFFF"/>
        </w:rPr>
        <w:t>se</w:t>
      </w:r>
      <w:r w:rsidR="00796D83" w:rsidRPr="00F74CCD">
        <w:rPr>
          <w:sz w:val="24"/>
          <w:szCs w:val="24"/>
          <w:shd w:val="clear" w:color="auto" w:fill="FFFFFF"/>
        </w:rPr>
        <w:t xml:space="preserve"> vendimi </w:t>
      </w:r>
      <w:r w:rsidR="004C22DC" w:rsidRPr="00F74CCD">
        <w:rPr>
          <w:sz w:val="24"/>
          <w:szCs w:val="24"/>
          <w:shd w:val="clear" w:color="auto" w:fill="FFFFFF"/>
        </w:rPr>
        <w:t>nr.</w:t>
      </w:r>
      <w:r w:rsidR="00DB797A" w:rsidRPr="00F74CCD">
        <w:rPr>
          <w:sz w:val="24"/>
          <w:szCs w:val="24"/>
          <w:shd w:val="clear" w:color="auto" w:fill="FFFFFF"/>
        </w:rPr>
        <w:t xml:space="preserve"> </w:t>
      </w:r>
      <w:r w:rsidR="004C22DC" w:rsidRPr="00F74CCD">
        <w:rPr>
          <w:sz w:val="24"/>
          <w:szCs w:val="24"/>
          <w:shd w:val="clear" w:color="auto" w:fill="FFFFFF"/>
        </w:rPr>
        <w:t>294, datë 06.02.2019</w:t>
      </w:r>
      <w:r w:rsidR="00DB797A" w:rsidRPr="00F74CCD">
        <w:rPr>
          <w:sz w:val="24"/>
          <w:szCs w:val="24"/>
          <w:shd w:val="clear" w:color="auto" w:fill="FFFFFF"/>
        </w:rPr>
        <w:t>,</w:t>
      </w:r>
      <w:r w:rsidR="004C22DC" w:rsidRPr="00F74CCD">
        <w:rPr>
          <w:sz w:val="24"/>
          <w:szCs w:val="24"/>
          <w:shd w:val="clear" w:color="auto" w:fill="FFFFFF"/>
        </w:rPr>
        <w:t xml:space="preserve"> i </w:t>
      </w:r>
      <w:r w:rsidR="00796D83" w:rsidRPr="00F74CCD">
        <w:rPr>
          <w:sz w:val="24"/>
          <w:szCs w:val="24"/>
          <w:shd w:val="clear" w:color="auto" w:fill="FFFFFF"/>
        </w:rPr>
        <w:t>Gjykatës së Shkallës së Parë Tiranë</w:t>
      </w:r>
      <w:r w:rsidR="004C22DC" w:rsidRPr="00F74CCD">
        <w:rPr>
          <w:sz w:val="24"/>
          <w:szCs w:val="24"/>
          <w:shd w:val="clear" w:color="auto" w:fill="FFFFFF"/>
        </w:rPr>
        <w:t xml:space="preserve">, i </w:t>
      </w:r>
      <w:r w:rsidR="00796D83" w:rsidRPr="00F74CCD">
        <w:rPr>
          <w:sz w:val="24"/>
          <w:szCs w:val="24"/>
          <w:shd w:val="clear" w:color="auto" w:fill="FFFFFF"/>
        </w:rPr>
        <w:t xml:space="preserve">dhënë në kuadër të </w:t>
      </w:r>
      <w:r w:rsidR="004C22DC" w:rsidRPr="00F74CCD">
        <w:rPr>
          <w:sz w:val="24"/>
          <w:szCs w:val="24"/>
          <w:shd w:val="clear" w:color="auto" w:fill="FFFFFF"/>
        </w:rPr>
        <w:t>procedimit penal (1704</w:t>
      </w:r>
      <w:r w:rsidR="00DB797A" w:rsidRPr="00F74CCD">
        <w:rPr>
          <w:sz w:val="24"/>
          <w:szCs w:val="24"/>
          <w:shd w:val="clear" w:color="auto" w:fill="FFFFFF"/>
        </w:rPr>
        <w:t>,</w:t>
      </w:r>
      <w:r w:rsidR="004C22DC" w:rsidRPr="00F74CCD">
        <w:rPr>
          <w:sz w:val="24"/>
          <w:szCs w:val="24"/>
          <w:shd w:val="clear" w:color="auto" w:fill="FFFFFF"/>
        </w:rPr>
        <w:t xml:space="preserve"> i vitit 2016</w:t>
      </w:r>
      <w:r w:rsidR="004C22DC" w:rsidRPr="00F74CCD">
        <w:rPr>
          <w:sz w:val="24"/>
          <w:szCs w:val="24"/>
        </w:rPr>
        <w:t xml:space="preserve">) </w:t>
      </w:r>
      <w:r w:rsidR="004C22DC" w:rsidRPr="00F74CCD">
        <w:rPr>
          <w:sz w:val="24"/>
          <w:szCs w:val="24"/>
          <w:shd w:val="clear" w:color="auto" w:fill="FFFFFF"/>
        </w:rPr>
        <w:t>t</w:t>
      </w:r>
      <w:r w:rsidR="00305087" w:rsidRPr="00F74CCD">
        <w:rPr>
          <w:sz w:val="24"/>
          <w:szCs w:val="24"/>
          <w:shd w:val="clear" w:color="auto" w:fill="FFFFFF"/>
        </w:rPr>
        <w:t>ë</w:t>
      </w:r>
      <w:r w:rsidR="004C22DC" w:rsidRPr="00F74CCD">
        <w:rPr>
          <w:sz w:val="24"/>
          <w:szCs w:val="24"/>
          <w:shd w:val="clear" w:color="auto" w:fill="FFFFFF"/>
        </w:rPr>
        <w:t xml:space="preserve"> regjistruar i pari në kohë</w:t>
      </w:r>
      <w:r w:rsidR="00C04334" w:rsidRPr="00F74CCD">
        <w:rPr>
          <w:sz w:val="24"/>
          <w:szCs w:val="24"/>
          <w:shd w:val="clear" w:color="auto" w:fill="FFFFFF"/>
        </w:rPr>
        <w:t>/</w:t>
      </w:r>
      <w:r w:rsidR="00796D83" w:rsidRPr="00F74CCD">
        <w:rPr>
          <w:sz w:val="24"/>
          <w:szCs w:val="24"/>
          <w:shd w:val="clear" w:color="auto" w:fill="FFFFFF"/>
        </w:rPr>
        <w:t>ka mbërritur për shqyrtim</w:t>
      </w:r>
      <w:r w:rsidRPr="00F74CCD">
        <w:rPr>
          <w:sz w:val="24"/>
          <w:szCs w:val="24"/>
          <w:shd w:val="clear" w:color="auto" w:fill="FFFFFF"/>
        </w:rPr>
        <w:t xml:space="preserve"> </w:t>
      </w:r>
      <w:r w:rsidR="00796D83" w:rsidRPr="00F74CCD">
        <w:rPr>
          <w:sz w:val="24"/>
          <w:szCs w:val="24"/>
          <w:shd w:val="clear" w:color="auto" w:fill="FFFFFF"/>
        </w:rPr>
        <w:t xml:space="preserve">(është ankimuar) në Gjykatën e Apelit përpara çështjes objekt të këtij </w:t>
      </w:r>
      <w:r w:rsidR="004C22DC" w:rsidRPr="00F74CCD">
        <w:rPr>
          <w:sz w:val="24"/>
          <w:szCs w:val="24"/>
          <w:shd w:val="clear" w:color="auto" w:fill="FFFFFF"/>
        </w:rPr>
        <w:t>gjykimi</w:t>
      </w:r>
      <w:r w:rsidR="00796D83" w:rsidRPr="00F74CCD">
        <w:rPr>
          <w:sz w:val="24"/>
          <w:szCs w:val="24"/>
          <w:shd w:val="clear" w:color="auto" w:fill="FFFFFF"/>
        </w:rPr>
        <w:t xml:space="preserve">, rezulton </w:t>
      </w:r>
      <w:r w:rsidR="004C22DC" w:rsidRPr="00F74CCD">
        <w:rPr>
          <w:sz w:val="24"/>
          <w:szCs w:val="24"/>
          <w:shd w:val="clear" w:color="auto" w:fill="FFFFFF"/>
        </w:rPr>
        <w:t xml:space="preserve"> se ai vendim  </w:t>
      </w:r>
      <w:r w:rsidR="00796D83" w:rsidRPr="00F74CCD">
        <w:rPr>
          <w:sz w:val="24"/>
          <w:szCs w:val="24"/>
        </w:rPr>
        <w:t xml:space="preserve">nuk </w:t>
      </w:r>
      <w:r w:rsidR="00305087" w:rsidRPr="00F74CCD">
        <w:rPr>
          <w:sz w:val="24"/>
          <w:szCs w:val="24"/>
        </w:rPr>
        <w:t>ë</w:t>
      </w:r>
      <w:r w:rsidR="004C22DC" w:rsidRPr="00F74CCD">
        <w:rPr>
          <w:sz w:val="24"/>
          <w:szCs w:val="24"/>
        </w:rPr>
        <w:t>sht</w:t>
      </w:r>
      <w:r w:rsidR="00305087" w:rsidRPr="00F74CCD">
        <w:rPr>
          <w:sz w:val="24"/>
          <w:szCs w:val="24"/>
        </w:rPr>
        <w:t>ë</w:t>
      </w:r>
      <w:r w:rsidR="004C22DC" w:rsidRPr="00F74CCD">
        <w:rPr>
          <w:sz w:val="24"/>
          <w:szCs w:val="24"/>
        </w:rPr>
        <w:t xml:space="preserve"> </w:t>
      </w:r>
      <w:r w:rsidR="00796D83" w:rsidRPr="00F74CCD">
        <w:rPr>
          <w:sz w:val="24"/>
          <w:szCs w:val="24"/>
        </w:rPr>
        <w:t>i formës së prerë</w:t>
      </w:r>
      <w:r w:rsidR="00620F36" w:rsidRPr="00F74CCD">
        <w:rPr>
          <w:sz w:val="24"/>
          <w:szCs w:val="24"/>
        </w:rPr>
        <w:t xml:space="preserve">, </w:t>
      </w:r>
      <w:r w:rsidR="00796D83" w:rsidRPr="00F74CCD">
        <w:rPr>
          <w:sz w:val="24"/>
          <w:szCs w:val="24"/>
        </w:rPr>
        <w:t>nuk ka marrë formën e "gjësë së gjykuar" ose "vendim</w:t>
      </w:r>
      <w:r w:rsidR="00620F36" w:rsidRPr="00F74CCD">
        <w:rPr>
          <w:sz w:val="24"/>
          <w:szCs w:val="24"/>
        </w:rPr>
        <w:t>it t</w:t>
      </w:r>
      <w:r w:rsidR="00FE634E" w:rsidRPr="00F74CCD">
        <w:rPr>
          <w:sz w:val="24"/>
          <w:szCs w:val="24"/>
        </w:rPr>
        <w:t>ë</w:t>
      </w:r>
      <w:r w:rsidR="00620F36" w:rsidRPr="00F74CCD">
        <w:rPr>
          <w:sz w:val="24"/>
          <w:szCs w:val="24"/>
        </w:rPr>
        <w:t xml:space="preserve"> </w:t>
      </w:r>
      <w:r w:rsidR="00796D83" w:rsidRPr="00F74CCD">
        <w:rPr>
          <w:sz w:val="24"/>
          <w:szCs w:val="24"/>
        </w:rPr>
        <w:t xml:space="preserve">ekzekutueshëm" , pasi </w:t>
      </w:r>
      <w:r w:rsidR="00796D83" w:rsidRPr="00F74CCD">
        <w:rPr>
          <w:sz w:val="24"/>
          <w:szCs w:val="24"/>
          <w:shd w:val="clear" w:color="auto" w:fill="FFFFFF"/>
        </w:rPr>
        <w:t>nuk i është nënshtruar ende shqyrtimit nga gjykata e shkallës së dytë (Gjykata e Apelit). Pra, në rastin konkret, në momentin që Gjykata e Apelit ka shqyrtuar në shkallë të dytë ankimin e paraqitur ndaj vendimit nr.</w:t>
      </w:r>
      <w:r w:rsidR="00DB797A" w:rsidRPr="00F74CCD">
        <w:rPr>
          <w:sz w:val="24"/>
          <w:szCs w:val="24"/>
          <w:shd w:val="clear" w:color="auto" w:fill="FFFFFF"/>
        </w:rPr>
        <w:t xml:space="preserve"> </w:t>
      </w:r>
      <w:r w:rsidR="00796D83" w:rsidRPr="00F74CCD">
        <w:rPr>
          <w:sz w:val="24"/>
          <w:szCs w:val="24"/>
          <w:shd w:val="clear" w:color="auto" w:fill="FFFFFF"/>
        </w:rPr>
        <w:t>977, datë 12.06.2020</w:t>
      </w:r>
      <w:r w:rsidR="00DB797A" w:rsidRPr="00F74CCD">
        <w:rPr>
          <w:sz w:val="24"/>
          <w:szCs w:val="24"/>
          <w:shd w:val="clear" w:color="auto" w:fill="FFFFFF"/>
        </w:rPr>
        <w:t>,</w:t>
      </w:r>
      <w:r w:rsidR="00796D83" w:rsidRPr="00F74CCD">
        <w:rPr>
          <w:sz w:val="24"/>
          <w:szCs w:val="24"/>
          <w:shd w:val="clear" w:color="auto" w:fill="FFFFFF"/>
        </w:rPr>
        <w:t xml:space="preserve"> të Gjykatës së Rrethit Gjyqësor Tiranë, të dhënë në kuadër të procedimit penal më të vonshëm në kohë </w:t>
      </w:r>
      <w:r w:rsidR="00DB797A" w:rsidRPr="00F74CCD">
        <w:rPr>
          <w:sz w:val="24"/>
          <w:szCs w:val="24"/>
          <w:shd w:val="clear" w:color="auto" w:fill="FFFFFF"/>
        </w:rPr>
        <w:t xml:space="preserve">me </w:t>
      </w:r>
      <w:r w:rsidR="00796D83" w:rsidRPr="00F74CCD">
        <w:rPr>
          <w:sz w:val="24"/>
          <w:szCs w:val="24"/>
          <w:shd w:val="clear" w:color="auto" w:fill="FFFFFF"/>
        </w:rPr>
        <w:t>nr.</w:t>
      </w:r>
      <w:r w:rsidR="00DB797A" w:rsidRPr="00F74CCD">
        <w:rPr>
          <w:sz w:val="24"/>
          <w:szCs w:val="24"/>
          <w:shd w:val="clear" w:color="auto" w:fill="FFFFFF"/>
        </w:rPr>
        <w:t xml:space="preserve"> </w:t>
      </w:r>
      <w:r w:rsidR="00796D83" w:rsidRPr="00F74CCD">
        <w:rPr>
          <w:sz w:val="24"/>
          <w:szCs w:val="24"/>
          <w:shd w:val="clear" w:color="auto" w:fill="FFFFFF"/>
        </w:rPr>
        <w:t>7996</w:t>
      </w:r>
      <w:r w:rsidR="00DB797A" w:rsidRPr="00F74CCD">
        <w:rPr>
          <w:sz w:val="24"/>
          <w:szCs w:val="24"/>
          <w:shd w:val="clear" w:color="auto" w:fill="FFFFFF"/>
        </w:rPr>
        <w:t>,</w:t>
      </w:r>
      <w:r w:rsidR="00796D83" w:rsidRPr="00F74CCD">
        <w:rPr>
          <w:sz w:val="24"/>
          <w:szCs w:val="24"/>
          <w:shd w:val="clear" w:color="auto" w:fill="FFFFFF"/>
        </w:rPr>
        <w:t xml:space="preserve"> të vitit 2017, nuk ekzistonte një vendim tjetër penal i formës së prerë</w:t>
      </w:r>
      <w:r w:rsidR="004C22DC" w:rsidRPr="00F74CCD">
        <w:rPr>
          <w:sz w:val="24"/>
          <w:szCs w:val="24"/>
          <w:shd w:val="clear" w:color="auto" w:fill="FFFFFF"/>
        </w:rPr>
        <w:t>,</w:t>
      </w:r>
      <w:r w:rsidR="00796D83" w:rsidRPr="00F74CCD">
        <w:rPr>
          <w:sz w:val="24"/>
          <w:szCs w:val="24"/>
          <w:shd w:val="clear" w:color="auto" w:fill="FFFFFF"/>
        </w:rPr>
        <w:t xml:space="preserve"> që të ishte dhënë për të njëjtin fakt penal</w:t>
      </w:r>
      <w:r w:rsidR="004C22DC" w:rsidRPr="00F74CCD">
        <w:rPr>
          <w:sz w:val="24"/>
          <w:szCs w:val="24"/>
          <w:shd w:val="clear" w:color="auto" w:fill="FFFFFF"/>
        </w:rPr>
        <w:t>,</w:t>
      </w:r>
      <w:r w:rsidRPr="00F74CCD">
        <w:rPr>
          <w:sz w:val="24"/>
          <w:szCs w:val="24"/>
          <w:shd w:val="clear" w:color="auto" w:fill="FFFFFF"/>
        </w:rPr>
        <w:t xml:space="preserve"> p</w:t>
      </w:r>
      <w:r w:rsidR="00FD165D" w:rsidRPr="00F74CCD">
        <w:rPr>
          <w:sz w:val="24"/>
          <w:szCs w:val="24"/>
          <w:shd w:val="clear" w:color="auto" w:fill="FFFFFF"/>
        </w:rPr>
        <w:t>ë</w:t>
      </w:r>
      <w:r w:rsidRPr="00F74CCD">
        <w:rPr>
          <w:sz w:val="24"/>
          <w:szCs w:val="24"/>
          <w:shd w:val="clear" w:color="auto" w:fill="FFFFFF"/>
        </w:rPr>
        <w:t>r t</w:t>
      </w:r>
      <w:r w:rsidR="00FD165D" w:rsidRPr="00F74CCD">
        <w:rPr>
          <w:sz w:val="24"/>
          <w:szCs w:val="24"/>
          <w:shd w:val="clear" w:color="auto" w:fill="FFFFFF"/>
        </w:rPr>
        <w:t>ë</w:t>
      </w:r>
      <w:r w:rsidRPr="00F74CCD">
        <w:rPr>
          <w:sz w:val="24"/>
          <w:szCs w:val="24"/>
          <w:shd w:val="clear" w:color="auto" w:fill="FFFFFF"/>
        </w:rPr>
        <w:t xml:space="preserve"> cilin </w:t>
      </w:r>
      <w:r w:rsidR="00FD165D" w:rsidRPr="00F74CCD">
        <w:rPr>
          <w:sz w:val="24"/>
          <w:szCs w:val="24"/>
          <w:shd w:val="clear" w:color="auto" w:fill="FFFFFF"/>
        </w:rPr>
        <w:t>ë</w:t>
      </w:r>
      <w:r w:rsidRPr="00F74CCD">
        <w:rPr>
          <w:sz w:val="24"/>
          <w:szCs w:val="24"/>
          <w:shd w:val="clear" w:color="auto" w:fill="FFFFFF"/>
        </w:rPr>
        <w:t>sht</w:t>
      </w:r>
      <w:r w:rsidR="00FD165D" w:rsidRPr="00F74CCD">
        <w:rPr>
          <w:sz w:val="24"/>
          <w:szCs w:val="24"/>
          <w:shd w:val="clear" w:color="auto" w:fill="FFFFFF"/>
        </w:rPr>
        <w:t>ë</w:t>
      </w:r>
      <w:r w:rsidRPr="00F74CCD">
        <w:rPr>
          <w:sz w:val="24"/>
          <w:szCs w:val="24"/>
          <w:shd w:val="clear" w:color="auto" w:fill="FFFFFF"/>
        </w:rPr>
        <w:t xml:space="preserve"> akuzuar i </w:t>
      </w:r>
      <w:r w:rsidR="00796D83" w:rsidRPr="00F74CCD">
        <w:rPr>
          <w:sz w:val="24"/>
          <w:szCs w:val="24"/>
          <w:shd w:val="clear" w:color="auto" w:fill="FFFFFF"/>
        </w:rPr>
        <w:t>pandehuri Bregu.</w:t>
      </w:r>
    </w:p>
    <w:p w14:paraId="46DDAF6C" w14:textId="7277F6BF" w:rsidR="00FE0AC5" w:rsidRPr="00F74CCD" w:rsidRDefault="00796D83" w:rsidP="00F74CCD">
      <w:pPr>
        <w:pStyle w:val="ListParagraph"/>
        <w:numPr>
          <w:ilvl w:val="0"/>
          <w:numId w:val="35"/>
        </w:numPr>
        <w:tabs>
          <w:tab w:val="left" w:pos="900"/>
          <w:tab w:val="left" w:pos="990"/>
          <w:tab w:val="left" w:pos="1170"/>
        </w:tabs>
        <w:ind w:left="0" w:firstLine="540"/>
        <w:jc w:val="both"/>
        <w:rPr>
          <w:sz w:val="24"/>
          <w:szCs w:val="24"/>
          <w:shd w:val="clear" w:color="auto" w:fill="FFFFFF"/>
        </w:rPr>
      </w:pPr>
      <w:r w:rsidRPr="00F74CCD">
        <w:rPr>
          <w:sz w:val="24"/>
          <w:szCs w:val="24"/>
          <w:shd w:val="clear" w:color="auto" w:fill="FFFFFF"/>
        </w:rPr>
        <w:t xml:space="preserve">Në këto rrethana </w:t>
      </w:r>
      <w:r w:rsidR="00FE0AC5" w:rsidRPr="00F74CCD">
        <w:rPr>
          <w:sz w:val="24"/>
          <w:szCs w:val="24"/>
          <w:shd w:val="clear" w:color="auto" w:fill="FFFFFF"/>
        </w:rPr>
        <w:t xml:space="preserve">Kolegji </w:t>
      </w:r>
      <w:r w:rsidRPr="00F74CCD">
        <w:rPr>
          <w:sz w:val="24"/>
          <w:szCs w:val="24"/>
          <w:shd w:val="clear" w:color="auto" w:fill="FFFFFF"/>
        </w:rPr>
        <w:t>vlerëso</w:t>
      </w:r>
      <w:r w:rsidR="00FE0AC5" w:rsidRPr="00F74CCD">
        <w:rPr>
          <w:sz w:val="24"/>
          <w:szCs w:val="24"/>
          <w:shd w:val="clear" w:color="auto" w:fill="FFFFFF"/>
        </w:rPr>
        <w:t>n</w:t>
      </w:r>
      <w:r w:rsidRPr="00F74CCD">
        <w:rPr>
          <w:sz w:val="24"/>
          <w:szCs w:val="24"/>
          <w:shd w:val="clear" w:color="auto" w:fill="FFFFFF"/>
        </w:rPr>
        <w:t xml:space="preserve"> se, pavarësisht radhës së regjistrimit të dy çështjeve në </w:t>
      </w:r>
      <w:r w:rsidR="00FE0AC5" w:rsidRPr="00F74CCD">
        <w:rPr>
          <w:sz w:val="24"/>
          <w:szCs w:val="24"/>
          <w:shd w:val="clear" w:color="auto" w:fill="FFFFFF"/>
        </w:rPr>
        <w:t>G</w:t>
      </w:r>
      <w:r w:rsidRPr="00F74CCD">
        <w:rPr>
          <w:sz w:val="24"/>
          <w:szCs w:val="24"/>
          <w:shd w:val="clear" w:color="auto" w:fill="FFFFFF"/>
        </w:rPr>
        <w:t xml:space="preserve">jykatën e </w:t>
      </w:r>
      <w:r w:rsidR="00FE0AC5" w:rsidRPr="00F74CCD">
        <w:rPr>
          <w:sz w:val="24"/>
          <w:szCs w:val="24"/>
          <w:shd w:val="clear" w:color="auto" w:fill="FFFFFF"/>
        </w:rPr>
        <w:t>A</w:t>
      </w:r>
      <w:r w:rsidRPr="00F74CCD">
        <w:rPr>
          <w:sz w:val="24"/>
          <w:szCs w:val="24"/>
          <w:shd w:val="clear" w:color="auto" w:fill="FFFFFF"/>
        </w:rPr>
        <w:t>pelit, kjo e fundit, përderisa ka gjykuar më përpara çështjen e dytë, duhet ta gjykonte atë në themel dhe jo të dispononte për prishjen e vendimit nr.</w:t>
      </w:r>
      <w:r w:rsidR="00FE0AC5" w:rsidRPr="00F74CCD">
        <w:rPr>
          <w:sz w:val="24"/>
          <w:szCs w:val="24"/>
          <w:shd w:val="clear" w:color="auto" w:fill="FFFFFF"/>
        </w:rPr>
        <w:t xml:space="preserve"> </w:t>
      </w:r>
      <w:r w:rsidRPr="00F74CCD">
        <w:rPr>
          <w:sz w:val="24"/>
          <w:szCs w:val="24"/>
          <w:shd w:val="clear" w:color="auto" w:fill="FFFFFF"/>
        </w:rPr>
        <w:t>977, datë 12.06.2020</w:t>
      </w:r>
      <w:r w:rsidR="00DB797A" w:rsidRPr="00F74CCD">
        <w:rPr>
          <w:sz w:val="24"/>
          <w:szCs w:val="24"/>
          <w:shd w:val="clear" w:color="auto" w:fill="FFFFFF"/>
        </w:rPr>
        <w:t>,</w:t>
      </w:r>
      <w:r w:rsidRPr="00F74CCD">
        <w:rPr>
          <w:sz w:val="24"/>
          <w:szCs w:val="24"/>
          <w:shd w:val="clear" w:color="auto" w:fill="FFFFFF"/>
        </w:rPr>
        <w:t xml:space="preserve"> të Gjykatës së Rrethit Gjyqësor Tiranë dhe pushimin e çështjes penale për të pandehurin Julian Bregu, me argumentin se gjykimi penal i kundërshtuar ndaj tij, i inic</w:t>
      </w:r>
      <w:r w:rsidR="00DB797A" w:rsidRPr="00F74CCD">
        <w:rPr>
          <w:sz w:val="24"/>
          <w:szCs w:val="24"/>
          <w:shd w:val="clear" w:color="auto" w:fill="FFFFFF"/>
        </w:rPr>
        <w:t>i</w:t>
      </w:r>
      <w:r w:rsidRPr="00F74CCD">
        <w:rPr>
          <w:sz w:val="24"/>
          <w:szCs w:val="24"/>
          <w:shd w:val="clear" w:color="auto" w:fill="FFFFFF"/>
        </w:rPr>
        <w:t>uar me procedimin penal nr.</w:t>
      </w:r>
      <w:r w:rsidR="00DB797A" w:rsidRPr="00F74CCD">
        <w:rPr>
          <w:sz w:val="24"/>
          <w:szCs w:val="24"/>
          <w:shd w:val="clear" w:color="auto" w:fill="FFFFFF"/>
        </w:rPr>
        <w:t xml:space="preserve"> </w:t>
      </w:r>
      <w:r w:rsidRPr="00F74CCD">
        <w:rPr>
          <w:sz w:val="24"/>
          <w:szCs w:val="24"/>
          <w:shd w:val="clear" w:color="auto" w:fill="FFFFFF"/>
        </w:rPr>
        <w:t xml:space="preserve">7996/2017, nuk mund të vazhdojë pasi kemi të bëjmë me një “gjë të gjykuar”. Në këtë situatë, </w:t>
      </w:r>
      <w:r w:rsidR="00FE0AC5" w:rsidRPr="00F74CCD">
        <w:rPr>
          <w:sz w:val="24"/>
          <w:szCs w:val="24"/>
          <w:shd w:val="clear" w:color="auto" w:fill="FFFFFF"/>
        </w:rPr>
        <w:t>Kolegji vler</w:t>
      </w:r>
      <w:r w:rsidR="00FD165D" w:rsidRPr="00F74CCD">
        <w:rPr>
          <w:sz w:val="24"/>
          <w:szCs w:val="24"/>
          <w:shd w:val="clear" w:color="auto" w:fill="FFFFFF"/>
        </w:rPr>
        <w:t>ë</w:t>
      </w:r>
      <w:r w:rsidR="00FE0AC5" w:rsidRPr="00F74CCD">
        <w:rPr>
          <w:sz w:val="24"/>
          <w:szCs w:val="24"/>
          <w:shd w:val="clear" w:color="auto" w:fill="FFFFFF"/>
        </w:rPr>
        <w:t>son</w:t>
      </w:r>
      <w:r w:rsidRPr="00F74CCD">
        <w:rPr>
          <w:sz w:val="24"/>
          <w:szCs w:val="24"/>
          <w:shd w:val="clear" w:color="auto" w:fill="FFFFFF"/>
        </w:rPr>
        <w:t xml:space="preserve"> se Gjykata e Apelit ka nxituar duke pushuar çështjen me argumentin se kemi të bëjmë me “gjë të gjykuar”.</w:t>
      </w:r>
    </w:p>
    <w:p w14:paraId="5C769E98" w14:textId="225E1B17" w:rsidR="00FD165D" w:rsidRPr="00F74CCD" w:rsidRDefault="00620F36" w:rsidP="00F74CCD">
      <w:pPr>
        <w:pStyle w:val="ListParagraph"/>
        <w:numPr>
          <w:ilvl w:val="0"/>
          <w:numId w:val="35"/>
        </w:numPr>
        <w:tabs>
          <w:tab w:val="left" w:pos="900"/>
          <w:tab w:val="left" w:pos="990"/>
          <w:tab w:val="left" w:pos="1170"/>
        </w:tabs>
        <w:ind w:left="0" w:firstLine="540"/>
        <w:jc w:val="both"/>
        <w:rPr>
          <w:sz w:val="24"/>
          <w:szCs w:val="24"/>
          <w:shd w:val="clear" w:color="auto" w:fill="FFFFFF"/>
        </w:rPr>
      </w:pPr>
      <w:r w:rsidRPr="00F74CCD">
        <w:rPr>
          <w:sz w:val="24"/>
          <w:szCs w:val="24"/>
          <w:shd w:val="clear" w:color="auto" w:fill="FFFFFF"/>
          <w:lang w:val="it-IT"/>
        </w:rPr>
        <w:t>A</w:t>
      </w:r>
      <w:r w:rsidR="00796D83" w:rsidRPr="00F74CCD">
        <w:rPr>
          <w:sz w:val="24"/>
          <w:szCs w:val="24"/>
          <w:shd w:val="clear" w:color="auto" w:fill="FFFFFF"/>
          <w:lang w:val="it-IT"/>
        </w:rPr>
        <w:t>rgumenti i përdorur nga Gjykata e Apelit në vendimin objekt rekursi, mund dhe duhej të gjente zbatim vetëm pasi Gjykata e Apelit e invokuar për shqyrtimin e ankimit të parashtruar pranë saj do të konstatonte se për të njëjtin fakt penal kundër të njëjtit pandehur ishte dhënë</w:t>
      </w:r>
      <w:r w:rsidR="00FE0AC5" w:rsidRPr="00F74CCD">
        <w:rPr>
          <w:sz w:val="24"/>
          <w:szCs w:val="24"/>
          <w:shd w:val="clear" w:color="auto" w:fill="FFFFFF"/>
          <w:lang w:val="it-IT"/>
        </w:rPr>
        <w:t>/ekzistonte</w:t>
      </w:r>
      <w:r w:rsidR="00796D83" w:rsidRPr="00F74CCD">
        <w:rPr>
          <w:sz w:val="24"/>
          <w:szCs w:val="24"/>
          <w:shd w:val="clear" w:color="auto" w:fill="FFFFFF"/>
          <w:lang w:val="it-IT"/>
        </w:rPr>
        <w:t xml:space="preserve"> një vendim i formës së prerë</w:t>
      </w:r>
      <w:r w:rsidR="00FE0AC5" w:rsidRPr="00F74CCD">
        <w:rPr>
          <w:sz w:val="24"/>
          <w:szCs w:val="24"/>
          <w:shd w:val="clear" w:color="auto" w:fill="FFFFFF"/>
          <w:lang w:val="it-IT"/>
        </w:rPr>
        <w:t xml:space="preserve"> konform p</w:t>
      </w:r>
      <w:r w:rsidR="00FD165D" w:rsidRPr="00F74CCD">
        <w:rPr>
          <w:sz w:val="24"/>
          <w:szCs w:val="24"/>
          <w:shd w:val="clear" w:color="auto" w:fill="FFFFFF"/>
          <w:lang w:val="it-IT"/>
        </w:rPr>
        <w:t>ë</w:t>
      </w:r>
      <w:r w:rsidR="00FE0AC5" w:rsidRPr="00F74CCD">
        <w:rPr>
          <w:sz w:val="24"/>
          <w:szCs w:val="24"/>
          <w:shd w:val="clear" w:color="auto" w:fill="FFFFFF"/>
          <w:lang w:val="it-IT"/>
        </w:rPr>
        <w:t>rcaktimeve t</w:t>
      </w:r>
      <w:r w:rsidR="00FD165D" w:rsidRPr="00F74CCD">
        <w:rPr>
          <w:sz w:val="24"/>
          <w:szCs w:val="24"/>
          <w:shd w:val="clear" w:color="auto" w:fill="FFFFFF"/>
          <w:lang w:val="it-IT"/>
        </w:rPr>
        <w:t>ë</w:t>
      </w:r>
      <w:r w:rsidR="00FE0AC5" w:rsidRPr="00F74CCD">
        <w:rPr>
          <w:sz w:val="24"/>
          <w:szCs w:val="24"/>
          <w:shd w:val="clear" w:color="auto" w:fill="FFFFFF"/>
          <w:lang w:val="it-IT"/>
        </w:rPr>
        <w:t xml:space="preserve"> nenit </w:t>
      </w:r>
      <w:r w:rsidR="00796D83" w:rsidRPr="00F74CCD">
        <w:rPr>
          <w:sz w:val="24"/>
          <w:szCs w:val="24"/>
          <w:shd w:val="clear" w:color="auto" w:fill="FFFFFF"/>
          <w:lang w:val="it-IT"/>
        </w:rPr>
        <w:t xml:space="preserve"> </w:t>
      </w:r>
      <w:r w:rsidR="00FE0AC5" w:rsidRPr="00F74CCD">
        <w:rPr>
          <w:sz w:val="24"/>
          <w:szCs w:val="24"/>
        </w:rPr>
        <w:t>462/3 t</w:t>
      </w:r>
      <w:r w:rsidR="00FD165D" w:rsidRPr="00F74CCD">
        <w:rPr>
          <w:sz w:val="24"/>
          <w:szCs w:val="24"/>
        </w:rPr>
        <w:t>ë</w:t>
      </w:r>
      <w:r w:rsidR="00FE0AC5" w:rsidRPr="00F74CCD">
        <w:rPr>
          <w:sz w:val="24"/>
          <w:szCs w:val="24"/>
        </w:rPr>
        <w:t xml:space="preserve"> KPP</w:t>
      </w:r>
      <w:r w:rsidR="00FE0AC5" w:rsidRPr="00F74CCD">
        <w:rPr>
          <w:sz w:val="24"/>
          <w:szCs w:val="24"/>
          <w:shd w:val="clear" w:color="auto" w:fill="FFFFFF"/>
        </w:rPr>
        <w:t>. Vet</w:t>
      </w:r>
      <w:r w:rsidR="00FD165D" w:rsidRPr="00F74CCD">
        <w:rPr>
          <w:sz w:val="24"/>
          <w:szCs w:val="24"/>
          <w:shd w:val="clear" w:color="auto" w:fill="FFFFFF"/>
        </w:rPr>
        <w:t>ë</w:t>
      </w:r>
      <w:r w:rsidR="00FE0AC5" w:rsidRPr="00F74CCD">
        <w:rPr>
          <w:sz w:val="24"/>
          <w:szCs w:val="24"/>
          <w:shd w:val="clear" w:color="auto" w:fill="FFFFFF"/>
        </w:rPr>
        <w:t>m n</w:t>
      </w:r>
      <w:r w:rsidR="00FD165D" w:rsidRPr="00F74CCD">
        <w:rPr>
          <w:sz w:val="24"/>
          <w:szCs w:val="24"/>
          <w:shd w:val="clear" w:color="auto" w:fill="FFFFFF"/>
        </w:rPr>
        <w:t>ë</w:t>
      </w:r>
      <w:r w:rsidR="00FE0AC5" w:rsidRPr="00F74CCD">
        <w:rPr>
          <w:sz w:val="24"/>
          <w:szCs w:val="24"/>
          <w:shd w:val="clear" w:color="auto" w:fill="FFFFFF"/>
        </w:rPr>
        <w:t xml:space="preserve"> rrethana t</w:t>
      </w:r>
      <w:r w:rsidR="00FD165D" w:rsidRPr="00F74CCD">
        <w:rPr>
          <w:sz w:val="24"/>
          <w:szCs w:val="24"/>
          <w:shd w:val="clear" w:color="auto" w:fill="FFFFFF"/>
        </w:rPr>
        <w:t>ë</w:t>
      </w:r>
      <w:r w:rsidR="00FE0AC5" w:rsidRPr="00F74CCD">
        <w:rPr>
          <w:sz w:val="24"/>
          <w:szCs w:val="24"/>
          <w:shd w:val="clear" w:color="auto" w:fill="FFFFFF"/>
        </w:rPr>
        <w:t xml:space="preserve"> tilla </w:t>
      </w:r>
      <w:r w:rsidR="00796D83" w:rsidRPr="00F74CCD">
        <w:rPr>
          <w:sz w:val="24"/>
          <w:szCs w:val="24"/>
          <w:shd w:val="clear" w:color="auto" w:fill="FFFFFF"/>
          <w:lang w:val="it-IT"/>
        </w:rPr>
        <w:t xml:space="preserve">vijimi i mëtejshëm i gjykimit do të binte ndesh me parimin </w:t>
      </w:r>
      <w:r w:rsidR="00796D83" w:rsidRPr="00F74CCD">
        <w:rPr>
          <w:i/>
          <w:iCs/>
          <w:sz w:val="24"/>
          <w:szCs w:val="24"/>
          <w:shd w:val="clear" w:color="auto" w:fill="FFFFFF"/>
          <w:lang w:val="it-IT"/>
        </w:rPr>
        <w:t>ne bis in idem</w:t>
      </w:r>
      <w:r w:rsidR="00796D83" w:rsidRPr="00F74CCD">
        <w:rPr>
          <w:sz w:val="24"/>
          <w:szCs w:val="24"/>
          <w:shd w:val="clear" w:color="auto" w:fill="FFFFFF"/>
          <w:lang w:val="it-IT"/>
        </w:rPr>
        <w:t>, që do të thotë se i pandehuri nuk mund të gjykohet për të njëjtin fakt penal dy herë.</w:t>
      </w:r>
    </w:p>
    <w:p w14:paraId="0E4BFA86" w14:textId="793D4B43" w:rsidR="00FD165D" w:rsidRPr="00F74CCD" w:rsidRDefault="00FD165D" w:rsidP="00F74CCD">
      <w:pPr>
        <w:pStyle w:val="ListParagraph"/>
        <w:numPr>
          <w:ilvl w:val="0"/>
          <w:numId w:val="35"/>
        </w:numPr>
        <w:tabs>
          <w:tab w:val="left" w:pos="900"/>
          <w:tab w:val="left" w:pos="990"/>
          <w:tab w:val="left" w:pos="1170"/>
        </w:tabs>
        <w:ind w:left="0" w:firstLine="540"/>
        <w:jc w:val="both"/>
        <w:rPr>
          <w:i/>
          <w:iCs/>
          <w:sz w:val="24"/>
          <w:szCs w:val="24"/>
        </w:rPr>
      </w:pPr>
      <w:r w:rsidRPr="00F74CCD">
        <w:rPr>
          <w:sz w:val="24"/>
          <w:szCs w:val="24"/>
        </w:rPr>
        <w:t xml:space="preserve">Në përfundim, Kolegji </w:t>
      </w:r>
      <w:r w:rsidRPr="00F74CCD">
        <w:rPr>
          <w:rFonts w:eastAsia="MS Mincho"/>
          <w:sz w:val="24"/>
          <w:szCs w:val="24"/>
        </w:rPr>
        <w:t xml:space="preserve">konsideron se në rekursin e paraqitur </w:t>
      </w:r>
      <w:r w:rsidRPr="00F74CCD">
        <w:rPr>
          <w:noProof/>
          <w:sz w:val="24"/>
          <w:szCs w:val="24"/>
        </w:rPr>
        <w:t xml:space="preserve">nga Prokuroria, ekzistojnë </w:t>
      </w:r>
      <w:r w:rsidRPr="00F74CCD">
        <w:rPr>
          <w:rFonts w:eastAsia="MS Mincho"/>
          <w:sz w:val="24"/>
          <w:szCs w:val="24"/>
        </w:rPr>
        <w:t>shkaqe nga ato të parashikuara nga neni 432, pika 1</w:t>
      </w:r>
      <w:r w:rsidR="00DE4526" w:rsidRPr="00F74CCD">
        <w:rPr>
          <w:rFonts w:eastAsia="MS Mincho"/>
          <w:sz w:val="24"/>
          <w:szCs w:val="24"/>
        </w:rPr>
        <w:t>,</w:t>
      </w:r>
      <w:r w:rsidRPr="00F74CCD">
        <w:rPr>
          <w:rFonts w:eastAsia="MS Mincho"/>
          <w:sz w:val="24"/>
          <w:szCs w:val="24"/>
        </w:rPr>
        <w:t xml:space="preserve"> shkronja “a” të KPP, pasi, sikurse u sipërcitua, prej</w:t>
      </w:r>
      <w:r w:rsidRPr="00F74CCD">
        <w:rPr>
          <w:sz w:val="24"/>
          <w:szCs w:val="24"/>
        </w:rPr>
        <w:t xml:space="preserve"> Gjykatës së Apelit është zbatuar gabim ligji penal (material dhe procedural). Për këtë arsye, Kolegji Penal</w:t>
      </w:r>
      <w:r w:rsidR="00DE4526" w:rsidRPr="00F74CCD">
        <w:rPr>
          <w:sz w:val="24"/>
          <w:szCs w:val="24"/>
        </w:rPr>
        <w:t>,</w:t>
      </w:r>
      <w:r w:rsidRPr="00F74CCD">
        <w:rPr>
          <w:sz w:val="24"/>
          <w:szCs w:val="24"/>
        </w:rPr>
        <w:t xml:space="preserve"> bazuar në nenin 441, pika 1, shkronja “c”, konsideron se vendimi nr.</w:t>
      </w:r>
      <w:r w:rsidR="00305087" w:rsidRPr="00F74CCD">
        <w:rPr>
          <w:sz w:val="24"/>
          <w:szCs w:val="24"/>
        </w:rPr>
        <w:t xml:space="preserve"> </w:t>
      </w:r>
      <w:r w:rsidRPr="00F74CCD">
        <w:rPr>
          <w:sz w:val="24"/>
          <w:szCs w:val="24"/>
        </w:rPr>
        <w:t>2214 (30-2024-7304), datë 10.10.2024</w:t>
      </w:r>
      <w:r w:rsidR="00DE4526" w:rsidRPr="00F74CCD">
        <w:rPr>
          <w:sz w:val="24"/>
          <w:szCs w:val="24"/>
        </w:rPr>
        <w:t>,</w:t>
      </w:r>
      <w:r w:rsidRPr="00F74CCD">
        <w:rPr>
          <w:sz w:val="24"/>
          <w:szCs w:val="24"/>
        </w:rPr>
        <w:t xml:space="preserve"> </w:t>
      </w:r>
      <w:r w:rsidR="00DE4526" w:rsidRPr="00F74CCD">
        <w:rPr>
          <w:rFonts w:eastAsia="MS Mincho"/>
          <w:sz w:val="24"/>
          <w:szCs w:val="24"/>
        </w:rPr>
        <w:t>i</w:t>
      </w:r>
      <w:r w:rsidRPr="00F74CCD">
        <w:rPr>
          <w:rFonts w:eastAsia="MS Mincho"/>
          <w:sz w:val="24"/>
          <w:szCs w:val="24"/>
        </w:rPr>
        <w:t xml:space="preserve"> Gjykatës së Apelit të Juridiksionit të Përgjithshëm</w:t>
      </w:r>
      <w:r w:rsidRPr="00F74CCD">
        <w:rPr>
          <w:sz w:val="24"/>
          <w:szCs w:val="24"/>
        </w:rPr>
        <w:t xml:space="preserve"> duhet të prishet dhe çështja (aktet) të kthehet për rishqyrtim, në po atë gjykatë, por me tjetër trup gjykues, për të vijuar me shqyrtimin/gjykimin e çështjes në themel.</w:t>
      </w:r>
    </w:p>
    <w:p w14:paraId="4AF956E5" w14:textId="00BCD8AD" w:rsidR="00F85086" w:rsidRPr="00F74CCD" w:rsidRDefault="00AC6B72" w:rsidP="00F74CCD">
      <w:pPr>
        <w:pStyle w:val="ListParagraph"/>
        <w:tabs>
          <w:tab w:val="left" w:pos="990"/>
        </w:tabs>
        <w:ind w:left="540"/>
        <w:jc w:val="both"/>
        <w:rPr>
          <w:sz w:val="24"/>
          <w:szCs w:val="24"/>
        </w:rPr>
      </w:pPr>
      <w:r w:rsidRPr="00F74CCD">
        <w:rPr>
          <w:color w:val="000000"/>
          <w:sz w:val="24"/>
          <w:szCs w:val="24"/>
        </w:rPr>
        <w:t xml:space="preserve"> </w:t>
      </w:r>
      <w:r w:rsidRPr="00F74CCD">
        <w:rPr>
          <w:sz w:val="24"/>
          <w:szCs w:val="24"/>
        </w:rPr>
        <w:t xml:space="preserve"> </w:t>
      </w:r>
    </w:p>
    <w:p w14:paraId="25DB39E5" w14:textId="77777777" w:rsidR="00276895" w:rsidRPr="00F74CCD" w:rsidRDefault="00276895" w:rsidP="00F74CCD">
      <w:pPr>
        <w:jc w:val="center"/>
        <w:rPr>
          <w:rFonts w:ascii="Times New Roman" w:hAnsi="Times New Roman"/>
          <w:b/>
          <w:bCs/>
          <w:iCs/>
        </w:rPr>
      </w:pPr>
      <w:r w:rsidRPr="00F74CCD">
        <w:rPr>
          <w:rFonts w:ascii="Times New Roman" w:hAnsi="Times New Roman"/>
          <w:b/>
          <w:bCs/>
          <w:iCs/>
        </w:rPr>
        <w:t>PËR KËTO ARSYE</w:t>
      </w:r>
    </w:p>
    <w:p w14:paraId="6648CFC5" w14:textId="77777777" w:rsidR="00276895" w:rsidRPr="00F74CCD" w:rsidRDefault="00276895" w:rsidP="00F74CCD">
      <w:pPr>
        <w:rPr>
          <w:rFonts w:ascii="Times New Roman" w:hAnsi="Times New Roman"/>
        </w:rPr>
      </w:pPr>
    </w:p>
    <w:p w14:paraId="1257A0A5" w14:textId="078121BB" w:rsidR="00276895" w:rsidRPr="00F74CCD" w:rsidRDefault="00276895" w:rsidP="00F74CCD">
      <w:pPr>
        <w:ind w:firstLine="540"/>
        <w:jc w:val="both"/>
        <w:rPr>
          <w:rFonts w:ascii="Times New Roman" w:eastAsia="Calibri" w:hAnsi="Times New Roman"/>
        </w:rPr>
      </w:pPr>
      <w:bookmarkStart w:id="3" w:name="_Hlk233720989"/>
      <w:r w:rsidRPr="00F74CCD">
        <w:rPr>
          <w:rFonts w:ascii="Times New Roman" w:eastAsia="Calibri" w:hAnsi="Times New Roman"/>
        </w:rPr>
        <w:t>Kolegji Penal i Gjykatës së Lartë</w:t>
      </w:r>
      <w:r w:rsidR="00E2037A" w:rsidRPr="00F74CCD">
        <w:rPr>
          <w:rFonts w:ascii="Times New Roman" w:eastAsia="Calibri" w:hAnsi="Times New Roman"/>
        </w:rPr>
        <w:t>,</w:t>
      </w:r>
      <w:r w:rsidRPr="00F74CCD">
        <w:rPr>
          <w:rFonts w:ascii="Times New Roman" w:eastAsia="Calibri" w:hAnsi="Times New Roman"/>
        </w:rPr>
        <w:t xml:space="preserve"> bazuar në nen</w:t>
      </w:r>
      <w:r w:rsidR="00FD165D" w:rsidRPr="00F74CCD">
        <w:rPr>
          <w:rFonts w:ascii="Times New Roman" w:eastAsia="Calibri" w:hAnsi="Times New Roman"/>
        </w:rPr>
        <w:t>in</w:t>
      </w:r>
      <w:r w:rsidRPr="00F74CCD">
        <w:rPr>
          <w:rFonts w:ascii="Times New Roman" w:eastAsia="Calibri" w:hAnsi="Times New Roman"/>
        </w:rPr>
        <w:t xml:space="preserve"> 441, pika 1, shkronja </w:t>
      </w:r>
      <w:r w:rsidR="00E14D1A" w:rsidRPr="00F74CCD">
        <w:rPr>
          <w:rFonts w:ascii="Times New Roman" w:eastAsia="Calibri" w:hAnsi="Times New Roman"/>
        </w:rPr>
        <w:t>“</w:t>
      </w:r>
      <w:r w:rsidR="00FD165D" w:rsidRPr="00F74CCD">
        <w:rPr>
          <w:rFonts w:ascii="Times New Roman" w:hAnsi="Times New Roman"/>
        </w:rPr>
        <w:t>c</w:t>
      </w:r>
      <w:r w:rsidR="00E2037A" w:rsidRPr="00F74CCD">
        <w:rPr>
          <w:rFonts w:ascii="Times New Roman" w:eastAsia="Calibri" w:hAnsi="Times New Roman"/>
        </w:rPr>
        <w:t>”</w:t>
      </w:r>
      <w:r w:rsidRPr="00F74CCD">
        <w:rPr>
          <w:rFonts w:ascii="Times New Roman" w:eastAsia="Calibri" w:hAnsi="Times New Roman"/>
        </w:rPr>
        <w:t xml:space="preserve"> të Kodit të Procedurës Penale,</w:t>
      </w:r>
    </w:p>
    <w:p w14:paraId="46BA98E2" w14:textId="77777777" w:rsidR="00276895" w:rsidRPr="00F74CCD" w:rsidRDefault="00276895" w:rsidP="00F74CCD">
      <w:pPr>
        <w:ind w:firstLine="720"/>
        <w:jc w:val="both"/>
        <w:rPr>
          <w:rFonts w:ascii="Times New Roman" w:eastAsia="Calibri" w:hAnsi="Times New Roman"/>
        </w:rPr>
      </w:pPr>
    </w:p>
    <w:p w14:paraId="7F87DFC1" w14:textId="77777777" w:rsidR="00276895" w:rsidRPr="00F74CCD" w:rsidRDefault="00276895" w:rsidP="00F74CCD">
      <w:pPr>
        <w:jc w:val="center"/>
        <w:rPr>
          <w:rFonts w:ascii="Times New Roman" w:hAnsi="Times New Roman"/>
          <w:b/>
        </w:rPr>
      </w:pPr>
      <w:r w:rsidRPr="00F74CCD">
        <w:rPr>
          <w:rFonts w:ascii="Times New Roman" w:hAnsi="Times New Roman"/>
          <w:b/>
        </w:rPr>
        <w:t>V E N D O S I:</w:t>
      </w:r>
    </w:p>
    <w:p w14:paraId="1A9FDE29" w14:textId="77777777" w:rsidR="00276895" w:rsidRPr="00F74CCD" w:rsidRDefault="00276895" w:rsidP="00F74CCD">
      <w:pPr>
        <w:jc w:val="both"/>
        <w:rPr>
          <w:rFonts w:ascii="Times New Roman" w:hAnsi="Times New Roman"/>
          <w:b/>
        </w:rPr>
      </w:pPr>
    </w:p>
    <w:p w14:paraId="1DBD49F7" w14:textId="1A22C9C1" w:rsidR="00147DB8" w:rsidRPr="00F74CCD" w:rsidRDefault="00FD165D" w:rsidP="00F74CCD">
      <w:pPr>
        <w:widowControl w:val="0"/>
        <w:tabs>
          <w:tab w:val="right" w:pos="0"/>
          <w:tab w:val="left" w:pos="993"/>
        </w:tabs>
        <w:ind w:firstLine="540"/>
        <w:jc w:val="both"/>
        <w:rPr>
          <w:rFonts w:ascii="Times New Roman" w:hAnsi="Times New Roman"/>
          <w:i/>
          <w:iCs/>
        </w:rPr>
      </w:pPr>
      <w:r w:rsidRPr="00F74CCD">
        <w:rPr>
          <w:rFonts w:ascii="Times New Roman" w:hAnsi="Times New Roman"/>
        </w:rPr>
        <w:lastRenderedPageBreak/>
        <w:t xml:space="preserve">Prishjen e vendimit </w:t>
      </w:r>
      <w:r w:rsidR="00305087" w:rsidRPr="00F74CCD">
        <w:rPr>
          <w:rFonts w:ascii="Times New Roman" w:hAnsi="Times New Roman"/>
        </w:rPr>
        <w:t>nr. 2214 (30-2024-7304), datë 10.10.2024</w:t>
      </w:r>
      <w:r w:rsidR="00DE4526" w:rsidRPr="00F74CCD">
        <w:rPr>
          <w:rFonts w:ascii="Times New Roman" w:hAnsi="Times New Roman"/>
        </w:rPr>
        <w:t>,</w:t>
      </w:r>
      <w:r w:rsidR="00305087" w:rsidRPr="00F74CCD">
        <w:rPr>
          <w:rFonts w:ascii="Times New Roman" w:hAnsi="Times New Roman"/>
        </w:rPr>
        <w:t xml:space="preserve"> </w:t>
      </w:r>
      <w:r w:rsidRPr="00F74CCD">
        <w:rPr>
          <w:rFonts w:ascii="Times New Roman" w:hAnsi="Times New Roman"/>
        </w:rPr>
        <w:t>të Gjykatës së Apelit të Juridiksionit të Përgjithshëm dhe kthimin e çështjes për rishqyrtim pranë asaj gjykate, me tjetër trup gjykues</w:t>
      </w:r>
      <w:r w:rsidRPr="00F74CCD">
        <w:rPr>
          <w:rFonts w:ascii="Times New Roman" w:hAnsi="Times New Roman"/>
          <w:i/>
          <w:iCs/>
        </w:rPr>
        <w:t>”</w:t>
      </w:r>
      <w:r w:rsidR="00305087" w:rsidRPr="00F74CCD">
        <w:rPr>
          <w:rFonts w:ascii="Times New Roman" w:hAnsi="Times New Roman"/>
          <w:i/>
          <w:iCs/>
        </w:rPr>
        <w:t>.</w:t>
      </w:r>
    </w:p>
    <w:p w14:paraId="2CE5081F" w14:textId="77777777" w:rsidR="00305087" w:rsidRPr="00F74CCD" w:rsidRDefault="00305087" w:rsidP="00F74CCD">
      <w:pPr>
        <w:widowControl w:val="0"/>
        <w:tabs>
          <w:tab w:val="right" w:pos="0"/>
          <w:tab w:val="left" w:pos="993"/>
        </w:tabs>
        <w:ind w:firstLine="540"/>
        <w:jc w:val="both"/>
        <w:rPr>
          <w:rFonts w:ascii="Times New Roman" w:hAnsi="Times New Roman"/>
        </w:rPr>
      </w:pPr>
    </w:p>
    <w:p w14:paraId="6A5C2A33" w14:textId="4D698135" w:rsidR="00E14D1A" w:rsidRPr="00F74CCD" w:rsidRDefault="00D975F2" w:rsidP="00F74CCD">
      <w:pPr>
        <w:widowControl w:val="0"/>
        <w:tabs>
          <w:tab w:val="right" w:pos="0"/>
          <w:tab w:val="left" w:pos="993"/>
        </w:tabs>
        <w:jc w:val="right"/>
        <w:rPr>
          <w:rFonts w:ascii="Times New Roman" w:hAnsi="Times New Roman"/>
        </w:rPr>
      </w:pPr>
      <w:r w:rsidRPr="00F74CCD">
        <w:rPr>
          <w:rFonts w:ascii="Times New Roman" w:hAnsi="Times New Roman"/>
        </w:rPr>
        <w:t xml:space="preserve">Tiranë, më </w:t>
      </w:r>
      <w:r w:rsidR="004374D2" w:rsidRPr="00F74CCD">
        <w:rPr>
          <w:rFonts w:ascii="Times New Roman" w:hAnsi="Times New Roman"/>
        </w:rPr>
        <w:t>12.05.2026</w:t>
      </w:r>
    </w:p>
    <w:bookmarkEnd w:id="3"/>
    <w:p w14:paraId="72E98E92" w14:textId="77777777" w:rsidR="00E14D1A" w:rsidRPr="00F74CCD" w:rsidRDefault="00E14D1A" w:rsidP="00F74CCD">
      <w:pPr>
        <w:widowControl w:val="0"/>
        <w:tabs>
          <w:tab w:val="right" w:pos="0"/>
          <w:tab w:val="left" w:pos="993"/>
        </w:tabs>
        <w:jc w:val="right"/>
        <w:rPr>
          <w:rFonts w:ascii="Times New Roman" w:hAnsi="Times New Roman"/>
        </w:rPr>
      </w:pPr>
    </w:p>
    <w:p w14:paraId="7E2EF66B" w14:textId="46590E31" w:rsidR="00E8207B" w:rsidRPr="00312D5B" w:rsidRDefault="00156195" w:rsidP="00E8207B">
      <w:pPr>
        <w:widowControl w:val="0"/>
        <w:tabs>
          <w:tab w:val="right" w:pos="0"/>
          <w:tab w:val="left" w:pos="993"/>
        </w:tabs>
        <w:rPr>
          <w:rFonts w:ascii="Times New Roman" w:hAnsi="Times New Roman"/>
          <w:bCs/>
        </w:rPr>
      </w:pPr>
      <w:r w:rsidRPr="00F74CCD">
        <w:rPr>
          <w:rFonts w:ascii="Times New Roman" w:hAnsi="Times New Roman"/>
          <w:b/>
        </w:rPr>
        <w:t xml:space="preserve"> </w:t>
      </w:r>
      <w:r w:rsidR="00036204" w:rsidRPr="00F74CCD">
        <w:rPr>
          <w:rFonts w:ascii="Times New Roman" w:hAnsi="Times New Roman"/>
          <w:b/>
        </w:rPr>
        <w:t xml:space="preserve">  </w:t>
      </w:r>
    </w:p>
    <w:p w14:paraId="444C91A0" w14:textId="78621E03" w:rsidR="00312D5B" w:rsidRPr="00312D5B" w:rsidRDefault="00312D5B" w:rsidP="00F74CCD">
      <w:pPr>
        <w:pStyle w:val="BodyText"/>
        <w:spacing w:after="0"/>
        <w:rPr>
          <w:rFonts w:ascii="Times New Roman" w:hAnsi="Times New Roman"/>
          <w:bCs/>
        </w:rPr>
      </w:pPr>
    </w:p>
    <w:sectPr w:rsidR="00312D5B" w:rsidRPr="00312D5B" w:rsidSect="00F74CCD">
      <w:footerReference w:type="default" r:id="rId10"/>
      <w:pgSz w:w="11907" w:h="16839"/>
      <w:pgMar w:top="1440" w:right="1440" w:bottom="1440" w:left="1440" w:header="720" w:footer="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1CF116E" w14:textId="77777777" w:rsidR="00BC54E4" w:rsidRDefault="00BC54E4">
      <w:r>
        <w:separator/>
      </w:r>
    </w:p>
  </w:endnote>
  <w:endnote w:type="continuationSeparator" w:id="0">
    <w:p w14:paraId="3CCBBF2E" w14:textId="77777777" w:rsidR="00BC54E4" w:rsidRDefault="00BC54E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 w:name="Bookman Old Style">
    <w:panose1 w:val="02050604050505020204"/>
    <w:charset w:val="00"/>
    <w:family w:val="roman"/>
    <w:pitch w:val="variable"/>
    <w:sig w:usb0="00000287" w:usb1="00000000" w:usb2="00000000" w:usb3="00000000" w:csb0="0000009F" w:csb1="00000000"/>
  </w:font>
  <w:font w:name="Palatino Linotype">
    <w:panose1 w:val="02040502050505030304"/>
    <w:charset w:val="00"/>
    <w:family w:val="roman"/>
    <w:pitch w:val="variable"/>
    <w:sig w:usb0="E0000287" w:usb1="40000013" w:usb2="00000000" w:usb3="00000000" w:csb0="0000019F" w:csb1="00000000"/>
  </w:font>
  <w:font w:name="Times-Bold">
    <w:altName w:val="Times New Roman"/>
    <w:panose1 w:val="00000000000000000000"/>
    <w:charset w:val="00"/>
    <w:family w:val="roman"/>
    <w:notTrueType/>
    <w:pitch w:val="default"/>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08049285"/>
      <w:docPartObj>
        <w:docPartGallery w:val="AutoText"/>
      </w:docPartObj>
    </w:sdtPr>
    <w:sdtEndPr>
      <w:rPr>
        <w:rFonts w:ascii="Times New Roman" w:hAnsi="Times New Roman"/>
        <w:sz w:val="20"/>
        <w:szCs w:val="20"/>
      </w:rPr>
    </w:sdtEndPr>
    <w:sdtContent>
      <w:p w14:paraId="27326C34" w14:textId="2F16D4F2" w:rsidR="005F5550" w:rsidRPr="00F74CCD" w:rsidRDefault="00D975F2" w:rsidP="00554BFB">
        <w:pPr>
          <w:pStyle w:val="Footer"/>
          <w:jc w:val="right"/>
          <w:rPr>
            <w:rFonts w:ascii="Times New Roman" w:hAnsi="Times New Roman"/>
            <w:sz w:val="20"/>
            <w:szCs w:val="20"/>
          </w:rPr>
        </w:pPr>
        <w:r w:rsidRPr="00F74CCD">
          <w:rPr>
            <w:rFonts w:ascii="Times New Roman" w:hAnsi="Times New Roman"/>
            <w:sz w:val="20"/>
            <w:szCs w:val="20"/>
          </w:rPr>
          <w:fldChar w:fldCharType="begin"/>
        </w:r>
        <w:r w:rsidRPr="00F74CCD">
          <w:rPr>
            <w:rFonts w:ascii="Times New Roman" w:hAnsi="Times New Roman"/>
            <w:sz w:val="20"/>
            <w:szCs w:val="20"/>
          </w:rPr>
          <w:instrText xml:space="preserve"> PAGE   \* MERGEFORMAT </w:instrText>
        </w:r>
        <w:r w:rsidRPr="00F74CCD">
          <w:rPr>
            <w:rFonts w:ascii="Times New Roman" w:hAnsi="Times New Roman"/>
            <w:sz w:val="20"/>
            <w:szCs w:val="20"/>
          </w:rPr>
          <w:fldChar w:fldCharType="separate"/>
        </w:r>
        <w:r w:rsidR="00DB797A" w:rsidRPr="00F74CCD">
          <w:rPr>
            <w:rFonts w:ascii="Times New Roman" w:hAnsi="Times New Roman"/>
            <w:noProof/>
            <w:sz w:val="20"/>
            <w:szCs w:val="20"/>
          </w:rPr>
          <w:t>15</w:t>
        </w:r>
        <w:r w:rsidRPr="00F74CCD">
          <w:rPr>
            <w:rFonts w:ascii="Times New Roman" w:hAnsi="Times New Roman"/>
            <w:sz w:val="20"/>
            <w:szCs w:val="20"/>
          </w:rPr>
          <w:fldChar w:fldCharType="end"/>
        </w:r>
      </w:p>
    </w:sdtContent>
  </w:sdt>
  <w:p w14:paraId="546DCF45" w14:textId="77777777" w:rsidR="005F5550" w:rsidRDefault="005F555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9EAD14B" w14:textId="77777777" w:rsidR="00BC54E4" w:rsidRDefault="00BC54E4">
      <w:r>
        <w:separator/>
      </w:r>
    </w:p>
  </w:footnote>
  <w:footnote w:type="continuationSeparator" w:id="0">
    <w:p w14:paraId="7CBFDC52" w14:textId="77777777" w:rsidR="00BC54E4" w:rsidRDefault="00BC54E4">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5674D4"/>
    <w:multiLevelType w:val="hybridMultilevel"/>
    <w:tmpl w:val="68CE3B6E"/>
    <w:lvl w:ilvl="0" w:tplc="43E065C0">
      <w:start w:val="23"/>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1F77D9D"/>
    <w:multiLevelType w:val="hybridMultilevel"/>
    <w:tmpl w:val="A3C2C760"/>
    <w:lvl w:ilvl="0" w:tplc="43E065C0">
      <w:start w:val="23"/>
      <w:numFmt w:val="bullet"/>
      <w:lvlText w:val="-"/>
      <w:lvlJc w:val="left"/>
      <w:pPr>
        <w:ind w:left="720" w:hanging="360"/>
      </w:pPr>
      <w:rPr>
        <w:rFonts w:ascii="Times New Roman" w:eastAsiaTheme="minorHAnsi" w:hAnsi="Times New Roman" w:cs="Times New Roman" w:hint="default"/>
      </w:rPr>
    </w:lvl>
    <w:lvl w:ilvl="1" w:tplc="041C0003" w:tentative="1">
      <w:start w:val="1"/>
      <w:numFmt w:val="bullet"/>
      <w:lvlText w:val="o"/>
      <w:lvlJc w:val="left"/>
      <w:pPr>
        <w:ind w:left="1440" w:hanging="360"/>
      </w:pPr>
      <w:rPr>
        <w:rFonts w:ascii="Courier New" w:hAnsi="Courier New" w:cs="Courier New" w:hint="default"/>
      </w:rPr>
    </w:lvl>
    <w:lvl w:ilvl="2" w:tplc="041C0005" w:tentative="1">
      <w:start w:val="1"/>
      <w:numFmt w:val="bullet"/>
      <w:lvlText w:val=""/>
      <w:lvlJc w:val="left"/>
      <w:pPr>
        <w:ind w:left="2160" w:hanging="360"/>
      </w:pPr>
      <w:rPr>
        <w:rFonts w:ascii="Wingdings" w:hAnsi="Wingdings" w:hint="default"/>
      </w:rPr>
    </w:lvl>
    <w:lvl w:ilvl="3" w:tplc="041C0001" w:tentative="1">
      <w:start w:val="1"/>
      <w:numFmt w:val="bullet"/>
      <w:lvlText w:val=""/>
      <w:lvlJc w:val="left"/>
      <w:pPr>
        <w:ind w:left="2880" w:hanging="360"/>
      </w:pPr>
      <w:rPr>
        <w:rFonts w:ascii="Symbol" w:hAnsi="Symbol" w:hint="default"/>
      </w:rPr>
    </w:lvl>
    <w:lvl w:ilvl="4" w:tplc="041C0003" w:tentative="1">
      <w:start w:val="1"/>
      <w:numFmt w:val="bullet"/>
      <w:lvlText w:val="o"/>
      <w:lvlJc w:val="left"/>
      <w:pPr>
        <w:ind w:left="3600" w:hanging="360"/>
      </w:pPr>
      <w:rPr>
        <w:rFonts w:ascii="Courier New" w:hAnsi="Courier New" w:cs="Courier New" w:hint="default"/>
      </w:rPr>
    </w:lvl>
    <w:lvl w:ilvl="5" w:tplc="041C0005" w:tentative="1">
      <w:start w:val="1"/>
      <w:numFmt w:val="bullet"/>
      <w:lvlText w:val=""/>
      <w:lvlJc w:val="left"/>
      <w:pPr>
        <w:ind w:left="4320" w:hanging="360"/>
      </w:pPr>
      <w:rPr>
        <w:rFonts w:ascii="Wingdings" w:hAnsi="Wingdings" w:hint="default"/>
      </w:rPr>
    </w:lvl>
    <w:lvl w:ilvl="6" w:tplc="041C0001" w:tentative="1">
      <w:start w:val="1"/>
      <w:numFmt w:val="bullet"/>
      <w:lvlText w:val=""/>
      <w:lvlJc w:val="left"/>
      <w:pPr>
        <w:ind w:left="5040" w:hanging="360"/>
      </w:pPr>
      <w:rPr>
        <w:rFonts w:ascii="Symbol" w:hAnsi="Symbol" w:hint="default"/>
      </w:rPr>
    </w:lvl>
    <w:lvl w:ilvl="7" w:tplc="041C0003" w:tentative="1">
      <w:start w:val="1"/>
      <w:numFmt w:val="bullet"/>
      <w:lvlText w:val="o"/>
      <w:lvlJc w:val="left"/>
      <w:pPr>
        <w:ind w:left="5760" w:hanging="360"/>
      </w:pPr>
      <w:rPr>
        <w:rFonts w:ascii="Courier New" w:hAnsi="Courier New" w:cs="Courier New" w:hint="default"/>
      </w:rPr>
    </w:lvl>
    <w:lvl w:ilvl="8" w:tplc="041C0005" w:tentative="1">
      <w:start w:val="1"/>
      <w:numFmt w:val="bullet"/>
      <w:lvlText w:val=""/>
      <w:lvlJc w:val="left"/>
      <w:pPr>
        <w:ind w:left="6480" w:hanging="360"/>
      </w:pPr>
      <w:rPr>
        <w:rFonts w:ascii="Wingdings" w:hAnsi="Wingdings" w:hint="default"/>
      </w:rPr>
    </w:lvl>
  </w:abstractNum>
  <w:abstractNum w:abstractNumId="2" w15:restartNumberingAfterBreak="0">
    <w:nsid w:val="09D84FF4"/>
    <w:multiLevelType w:val="hybridMultilevel"/>
    <w:tmpl w:val="F048A9A8"/>
    <w:lvl w:ilvl="0" w:tplc="43E065C0">
      <w:start w:val="23"/>
      <w:numFmt w:val="bullet"/>
      <w:lvlText w:val="-"/>
      <w:lvlJc w:val="left"/>
      <w:pPr>
        <w:ind w:left="900" w:hanging="360"/>
      </w:pPr>
      <w:rPr>
        <w:rFonts w:ascii="Times New Roman" w:eastAsiaTheme="minorHAnsi" w:hAnsi="Times New Roman" w:cs="Times New Roman" w:hint="default"/>
      </w:rPr>
    </w:lvl>
    <w:lvl w:ilvl="1" w:tplc="041C0003" w:tentative="1">
      <w:start w:val="1"/>
      <w:numFmt w:val="bullet"/>
      <w:lvlText w:val="o"/>
      <w:lvlJc w:val="left"/>
      <w:pPr>
        <w:ind w:left="1620" w:hanging="360"/>
      </w:pPr>
      <w:rPr>
        <w:rFonts w:ascii="Courier New" w:hAnsi="Courier New" w:cs="Courier New" w:hint="default"/>
      </w:rPr>
    </w:lvl>
    <w:lvl w:ilvl="2" w:tplc="041C0005" w:tentative="1">
      <w:start w:val="1"/>
      <w:numFmt w:val="bullet"/>
      <w:lvlText w:val=""/>
      <w:lvlJc w:val="left"/>
      <w:pPr>
        <w:ind w:left="2340" w:hanging="360"/>
      </w:pPr>
      <w:rPr>
        <w:rFonts w:ascii="Wingdings" w:hAnsi="Wingdings" w:hint="default"/>
      </w:rPr>
    </w:lvl>
    <w:lvl w:ilvl="3" w:tplc="041C0001" w:tentative="1">
      <w:start w:val="1"/>
      <w:numFmt w:val="bullet"/>
      <w:lvlText w:val=""/>
      <w:lvlJc w:val="left"/>
      <w:pPr>
        <w:ind w:left="3060" w:hanging="360"/>
      </w:pPr>
      <w:rPr>
        <w:rFonts w:ascii="Symbol" w:hAnsi="Symbol" w:hint="default"/>
      </w:rPr>
    </w:lvl>
    <w:lvl w:ilvl="4" w:tplc="041C0003" w:tentative="1">
      <w:start w:val="1"/>
      <w:numFmt w:val="bullet"/>
      <w:lvlText w:val="o"/>
      <w:lvlJc w:val="left"/>
      <w:pPr>
        <w:ind w:left="3780" w:hanging="360"/>
      </w:pPr>
      <w:rPr>
        <w:rFonts w:ascii="Courier New" w:hAnsi="Courier New" w:cs="Courier New" w:hint="default"/>
      </w:rPr>
    </w:lvl>
    <w:lvl w:ilvl="5" w:tplc="041C0005" w:tentative="1">
      <w:start w:val="1"/>
      <w:numFmt w:val="bullet"/>
      <w:lvlText w:val=""/>
      <w:lvlJc w:val="left"/>
      <w:pPr>
        <w:ind w:left="4500" w:hanging="360"/>
      </w:pPr>
      <w:rPr>
        <w:rFonts w:ascii="Wingdings" w:hAnsi="Wingdings" w:hint="default"/>
      </w:rPr>
    </w:lvl>
    <w:lvl w:ilvl="6" w:tplc="041C0001" w:tentative="1">
      <w:start w:val="1"/>
      <w:numFmt w:val="bullet"/>
      <w:lvlText w:val=""/>
      <w:lvlJc w:val="left"/>
      <w:pPr>
        <w:ind w:left="5220" w:hanging="360"/>
      </w:pPr>
      <w:rPr>
        <w:rFonts w:ascii="Symbol" w:hAnsi="Symbol" w:hint="default"/>
      </w:rPr>
    </w:lvl>
    <w:lvl w:ilvl="7" w:tplc="041C0003" w:tentative="1">
      <w:start w:val="1"/>
      <w:numFmt w:val="bullet"/>
      <w:lvlText w:val="o"/>
      <w:lvlJc w:val="left"/>
      <w:pPr>
        <w:ind w:left="5940" w:hanging="360"/>
      </w:pPr>
      <w:rPr>
        <w:rFonts w:ascii="Courier New" w:hAnsi="Courier New" w:cs="Courier New" w:hint="default"/>
      </w:rPr>
    </w:lvl>
    <w:lvl w:ilvl="8" w:tplc="041C0005" w:tentative="1">
      <w:start w:val="1"/>
      <w:numFmt w:val="bullet"/>
      <w:lvlText w:val=""/>
      <w:lvlJc w:val="left"/>
      <w:pPr>
        <w:ind w:left="6660" w:hanging="360"/>
      </w:pPr>
      <w:rPr>
        <w:rFonts w:ascii="Wingdings" w:hAnsi="Wingdings" w:hint="default"/>
      </w:rPr>
    </w:lvl>
  </w:abstractNum>
  <w:abstractNum w:abstractNumId="3" w15:restartNumberingAfterBreak="0">
    <w:nsid w:val="0AAA477F"/>
    <w:multiLevelType w:val="multilevel"/>
    <w:tmpl w:val="F246EF12"/>
    <w:lvl w:ilvl="0">
      <w:start w:val="3"/>
      <w:numFmt w:val="decimal"/>
      <w:lvlText w:val="%1."/>
      <w:lvlJc w:val="left"/>
      <w:pPr>
        <w:ind w:left="360" w:hanging="360"/>
      </w:pPr>
      <w:rPr>
        <w:rFonts w:hint="default"/>
        <w:b w:val="0"/>
        <w:bCs w:val="0"/>
        <w:i w:val="0"/>
        <w:iCs w:val="0"/>
      </w:rPr>
    </w:lvl>
    <w:lvl w:ilvl="1">
      <w:start w:val="1"/>
      <w:numFmt w:val="decimal"/>
      <w:lvlText w:val="%1.%2."/>
      <w:lvlJc w:val="left"/>
      <w:pPr>
        <w:ind w:left="360" w:hanging="360"/>
      </w:pPr>
      <w:rPr>
        <w:rFonts w:hint="default"/>
        <w:b w:val="0"/>
        <w:bCs/>
        <w:i w:val="0"/>
        <w:iCs/>
        <w:color w:val="auto"/>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15:restartNumberingAfterBreak="0">
    <w:nsid w:val="0FC95698"/>
    <w:multiLevelType w:val="hybridMultilevel"/>
    <w:tmpl w:val="1E64320C"/>
    <w:lvl w:ilvl="0" w:tplc="43E065C0">
      <w:start w:val="23"/>
      <w:numFmt w:val="bullet"/>
      <w:lvlText w:val="-"/>
      <w:lvlJc w:val="left"/>
      <w:pPr>
        <w:ind w:left="720" w:hanging="360"/>
      </w:pPr>
      <w:rPr>
        <w:rFonts w:ascii="Times New Roman" w:eastAsiaTheme="minorHAnsi" w:hAnsi="Times New Roman" w:cs="Times New Roman" w:hint="default"/>
      </w:rPr>
    </w:lvl>
    <w:lvl w:ilvl="1" w:tplc="43E065C0">
      <w:start w:val="23"/>
      <w:numFmt w:val="bullet"/>
      <w:lvlText w:val="-"/>
      <w:lvlJc w:val="left"/>
      <w:pPr>
        <w:ind w:left="1440" w:hanging="360"/>
      </w:pPr>
      <w:rPr>
        <w:rFonts w:ascii="Times New Roman" w:eastAsiaTheme="minorHAnsi" w:hAnsi="Times New Roman" w:cs="Times New Roman"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11812E2A"/>
    <w:multiLevelType w:val="hybridMultilevel"/>
    <w:tmpl w:val="C2DE368E"/>
    <w:lvl w:ilvl="0" w:tplc="7444DFAE">
      <w:start w:val="2"/>
      <w:numFmt w:val="decimal"/>
      <w:lvlText w:val="%1-"/>
      <w:lvlJc w:val="left"/>
      <w:pPr>
        <w:ind w:left="1080" w:hanging="360"/>
      </w:pPr>
      <w:rPr>
        <w:rFonts w:hint="default"/>
        <w:b/>
        <w:i/>
      </w:rPr>
    </w:lvl>
    <w:lvl w:ilvl="1" w:tplc="041C0019" w:tentative="1">
      <w:start w:val="1"/>
      <w:numFmt w:val="lowerLetter"/>
      <w:lvlText w:val="%2."/>
      <w:lvlJc w:val="left"/>
      <w:pPr>
        <w:ind w:left="1800" w:hanging="360"/>
      </w:pPr>
    </w:lvl>
    <w:lvl w:ilvl="2" w:tplc="041C001B" w:tentative="1">
      <w:start w:val="1"/>
      <w:numFmt w:val="lowerRoman"/>
      <w:lvlText w:val="%3."/>
      <w:lvlJc w:val="right"/>
      <w:pPr>
        <w:ind w:left="2520" w:hanging="180"/>
      </w:pPr>
    </w:lvl>
    <w:lvl w:ilvl="3" w:tplc="041C000F" w:tentative="1">
      <w:start w:val="1"/>
      <w:numFmt w:val="decimal"/>
      <w:lvlText w:val="%4."/>
      <w:lvlJc w:val="left"/>
      <w:pPr>
        <w:ind w:left="3240" w:hanging="360"/>
      </w:pPr>
    </w:lvl>
    <w:lvl w:ilvl="4" w:tplc="041C0019" w:tentative="1">
      <w:start w:val="1"/>
      <w:numFmt w:val="lowerLetter"/>
      <w:lvlText w:val="%5."/>
      <w:lvlJc w:val="left"/>
      <w:pPr>
        <w:ind w:left="3960" w:hanging="360"/>
      </w:pPr>
    </w:lvl>
    <w:lvl w:ilvl="5" w:tplc="041C001B" w:tentative="1">
      <w:start w:val="1"/>
      <w:numFmt w:val="lowerRoman"/>
      <w:lvlText w:val="%6."/>
      <w:lvlJc w:val="right"/>
      <w:pPr>
        <w:ind w:left="4680" w:hanging="180"/>
      </w:pPr>
    </w:lvl>
    <w:lvl w:ilvl="6" w:tplc="041C000F" w:tentative="1">
      <w:start w:val="1"/>
      <w:numFmt w:val="decimal"/>
      <w:lvlText w:val="%7."/>
      <w:lvlJc w:val="left"/>
      <w:pPr>
        <w:ind w:left="5400" w:hanging="360"/>
      </w:pPr>
    </w:lvl>
    <w:lvl w:ilvl="7" w:tplc="041C0019" w:tentative="1">
      <w:start w:val="1"/>
      <w:numFmt w:val="lowerLetter"/>
      <w:lvlText w:val="%8."/>
      <w:lvlJc w:val="left"/>
      <w:pPr>
        <w:ind w:left="6120" w:hanging="360"/>
      </w:pPr>
    </w:lvl>
    <w:lvl w:ilvl="8" w:tplc="041C001B" w:tentative="1">
      <w:start w:val="1"/>
      <w:numFmt w:val="lowerRoman"/>
      <w:lvlText w:val="%9."/>
      <w:lvlJc w:val="right"/>
      <w:pPr>
        <w:ind w:left="6840" w:hanging="180"/>
      </w:pPr>
    </w:lvl>
  </w:abstractNum>
  <w:abstractNum w:abstractNumId="6" w15:restartNumberingAfterBreak="0">
    <w:nsid w:val="19823751"/>
    <w:multiLevelType w:val="hybridMultilevel"/>
    <w:tmpl w:val="B95688CC"/>
    <w:lvl w:ilvl="0" w:tplc="43E065C0">
      <w:start w:val="23"/>
      <w:numFmt w:val="bullet"/>
      <w:lvlText w:val="-"/>
      <w:lvlJc w:val="left"/>
      <w:pPr>
        <w:ind w:left="1260" w:hanging="360"/>
      </w:pPr>
      <w:rPr>
        <w:rFonts w:ascii="Times New Roman" w:eastAsiaTheme="minorHAnsi" w:hAnsi="Times New Roman" w:cs="Times New Roman" w:hint="default"/>
      </w:rPr>
    </w:lvl>
    <w:lvl w:ilvl="1" w:tplc="04090003" w:tentative="1">
      <w:start w:val="1"/>
      <w:numFmt w:val="bullet"/>
      <w:lvlText w:val="o"/>
      <w:lvlJc w:val="left"/>
      <w:pPr>
        <w:ind w:left="1980" w:hanging="360"/>
      </w:pPr>
      <w:rPr>
        <w:rFonts w:ascii="Courier New" w:hAnsi="Courier New" w:cs="Courier New" w:hint="default"/>
      </w:rPr>
    </w:lvl>
    <w:lvl w:ilvl="2" w:tplc="04090005" w:tentative="1">
      <w:start w:val="1"/>
      <w:numFmt w:val="bullet"/>
      <w:lvlText w:val=""/>
      <w:lvlJc w:val="left"/>
      <w:pPr>
        <w:ind w:left="2700" w:hanging="360"/>
      </w:pPr>
      <w:rPr>
        <w:rFonts w:ascii="Wingdings" w:hAnsi="Wingdings" w:hint="default"/>
      </w:rPr>
    </w:lvl>
    <w:lvl w:ilvl="3" w:tplc="04090001" w:tentative="1">
      <w:start w:val="1"/>
      <w:numFmt w:val="bullet"/>
      <w:lvlText w:val=""/>
      <w:lvlJc w:val="left"/>
      <w:pPr>
        <w:ind w:left="3420" w:hanging="360"/>
      </w:pPr>
      <w:rPr>
        <w:rFonts w:ascii="Symbol" w:hAnsi="Symbol" w:hint="default"/>
      </w:rPr>
    </w:lvl>
    <w:lvl w:ilvl="4" w:tplc="04090003" w:tentative="1">
      <w:start w:val="1"/>
      <w:numFmt w:val="bullet"/>
      <w:lvlText w:val="o"/>
      <w:lvlJc w:val="left"/>
      <w:pPr>
        <w:ind w:left="4140" w:hanging="360"/>
      </w:pPr>
      <w:rPr>
        <w:rFonts w:ascii="Courier New" w:hAnsi="Courier New" w:cs="Courier New" w:hint="default"/>
      </w:rPr>
    </w:lvl>
    <w:lvl w:ilvl="5" w:tplc="04090005" w:tentative="1">
      <w:start w:val="1"/>
      <w:numFmt w:val="bullet"/>
      <w:lvlText w:val=""/>
      <w:lvlJc w:val="left"/>
      <w:pPr>
        <w:ind w:left="4860" w:hanging="360"/>
      </w:pPr>
      <w:rPr>
        <w:rFonts w:ascii="Wingdings" w:hAnsi="Wingdings" w:hint="default"/>
      </w:rPr>
    </w:lvl>
    <w:lvl w:ilvl="6" w:tplc="04090001" w:tentative="1">
      <w:start w:val="1"/>
      <w:numFmt w:val="bullet"/>
      <w:lvlText w:val=""/>
      <w:lvlJc w:val="left"/>
      <w:pPr>
        <w:ind w:left="5580" w:hanging="360"/>
      </w:pPr>
      <w:rPr>
        <w:rFonts w:ascii="Symbol" w:hAnsi="Symbol" w:hint="default"/>
      </w:rPr>
    </w:lvl>
    <w:lvl w:ilvl="7" w:tplc="04090003" w:tentative="1">
      <w:start w:val="1"/>
      <w:numFmt w:val="bullet"/>
      <w:lvlText w:val="o"/>
      <w:lvlJc w:val="left"/>
      <w:pPr>
        <w:ind w:left="6300" w:hanging="360"/>
      </w:pPr>
      <w:rPr>
        <w:rFonts w:ascii="Courier New" w:hAnsi="Courier New" w:cs="Courier New" w:hint="default"/>
      </w:rPr>
    </w:lvl>
    <w:lvl w:ilvl="8" w:tplc="04090005" w:tentative="1">
      <w:start w:val="1"/>
      <w:numFmt w:val="bullet"/>
      <w:lvlText w:val=""/>
      <w:lvlJc w:val="left"/>
      <w:pPr>
        <w:ind w:left="7020" w:hanging="360"/>
      </w:pPr>
      <w:rPr>
        <w:rFonts w:ascii="Wingdings" w:hAnsi="Wingdings" w:hint="default"/>
      </w:rPr>
    </w:lvl>
  </w:abstractNum>
  <w:abstractNum w:abstractNumId="7" w15:restartNumberingAfterBreak="0">
    <w:nsid w:val="1E391D5C"/>
    <w:multiLevelType w:val="hybridMultilevel"/>
    <w:tmpl w:val="090213E8"/>
    <w:lvl w:ilvl="0" w:tplc="43E065C0">
      <w:start w:val="23"/>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20911EFD"/>
    <w:multiLevelType w:val="hybridMultilevel"/>
    <w:tmpl w:val="4AA62632"/>
    <w:lvl w:ilvl="0" w:tplc="B4CEEF40">
      <w:start w:val="1"/>
      <w:numFmt w:val="decimal"/>
      <w:lvlText w:val="%1-"/>
      <w:lvlJc w:val="left"/>
      <w:pPr>
        <w:ind w:left="720" w:hanging="360"/>
      </w:pPr>
      <w:rPr>
        <w:rFonts w:hint="default"/>
        <w:b/>
        <w:color w:val="000000"/>
        <w:u w:val="none"/>
      </w:rPr>
    </w:lvl>
    <w:lvl w:ilvl="1" w:tplc="041C0019" w:tentative="1">
      <w:start w:val="1"/>
      <w:numFmt w:val="lowerLetter"/>
      <w:lvlText w:val="%2."/>
      <w:lvlJc w:val="left"/>
      <w:pPr>
        <w:ind w:left="1440" w:hanging="360"/>
      </w:pPr>
    </w:lvl>
    <w:lvl w:ilvl="2" w:tplc="041C001B" w:tentative="1">
      <w:start w:val="1"/>
      <w:numFmt w:val="lowerRoman"/>
      <w:lvlText w:val="%3."/>
      <w:lvlJc w:val="right"/>
      <w:pPr>
        <w:ind w:left="2160" w:hanging="180"/>
      </w:pPr>
    </w:lvl>
    <w:lvl w:ilvl="3" w:tplc="041C000F" w:tentative="1">
      <w:start w:val="1"/>
      <w:numFmt w:val="decimal"/>
      <w:lvlText w:val="%4."/>
      <w:lvlJc w:val="left"/>
      <w:pPr>
        <w:ind w:left="2880" w:hanging="360"/>
      </w:pPr>
    </w:lvl>
    <w:lvl w:ilvl="4" w:tplc="041C0019" w:tentative="1">
      <w:start w:val="1"/>
      <w:numFmt w:val="lowerLetter"/>
      <w:lvlText w:val="%5."/>
      <w:lvlJc w:val="left"/>
      <w:pPr>
        <w:ind w:left="3600" w:hanging="360"/>
      </w:pPr>
    </w:lvl>
    <w:lvl w:ilvl="5" w:tplc="041C001B" w:tentative="1">
      <w:start w:val="1"/>
      <w:numFmt w:val="lowerRoman"/>
      <w:lvlText w:val="%6."/>
      <w:lvlJc w:val="right"/>
      <w:pPr>
        <w:ind w:left="4320" w:hanging="180"/>
      </w:pPr>
    </w:lvl>
    <w:lvl w:ilvl="6" w:tplc="041C000F" w:tentative="1">
      <w:start w:val="1"/>
      <w:numFmt w:val="decimal"/>
      <w:lvlText w:val="%7."/>
      <w:lvlJc w:val="left"/>
      <w:pPr>
        <w:ind w:left="5040" w:hanging="360"/>
      </w:pPr>
    </w:lvl>
    <w:lvl w:ilvl="7" w:tplc="041C0019" w:tentative="1">
      <w:start w:val="1"/>
      <w:numFmt w:val="lowerLetter"/>
      <w:lvlText w:val="%8."/>
      <w:lvlJc w:val="left"/>
      <w:pPr>
        <w:ind w:left="5760" w:hanging="360"/>
      </w:pPr>
    </w:lvl>
    <w:lvl w:ilvl="8" w:tplc="041C001B" w:tentative="1">
      <w:start w:val="1"/>
      <w:numFmt w:val="lowerRoman"/>
      <w:lvlText w:val="%9."/>
      <w:lvlJc w:val="right"/>
      <w:pPr>
        <w:ind w:left="6480" w:hanging="180"/>
      </w:pPr>
    </w:lvl>
  </w:abstractNum>
  <w:abstractNum w:abstractNumId="9" w15:restartNumberingAfterBreak="0">
    <w:nsid w:val="23AB133B"/>
    <w:multiLevelType w:val="multilevel"/>
    <w:tmpl w:val="59E04E3E"/>
    <w:lvl w:ilvl="0">
      <w:start w:val="1"/>
      <w:numFmt w:val="decimal"/>
      <w:lvlText w:val="%1."/>
      <w:lvlJc w:val="left"/>
      <w:pPr>
        <w:ind w:left="720" w:hanging="360"/>
      </w:pPr>
      <w:rPr>
        <w:rFonts w:ascii="Times New Roman" w:eastAsia="Times New Roman" w:hAnsi="Times New Roman" w:cs="Times New Roman"/>
        <w:b w:val="0"/>
        <w:bCs w:val="0"/>
        <w:i w:val="0"/>
        <w:iCs/>
        <w:color w:val="auto"/>
      </w:rPr>
    </w:lvl>
    <w:lvl w:ilvl="1">
      <w:start w:val="1"/>
      <w:numFmt w:val="decimal"/>
      <w:isLgl/>
      <w:lvlText w:val="%1.%2."/>
      <w:lvlJc w:val="left"/>
      <w:pPr>
        <w:ind w:left="1890" w:hanging="360"/>
      </w:pPr>
      <w:rPr>
        <w:rFonts w:hint="default"/>
        <w:b w:val="0"/>
        <w:bCs w:val="0"/>
        <w:i w:val="0"/>
        <w:iCs w:val="0"/>
        <w:color w:val="auto"/>
      </w:rPr>
    </w:lvl>
    <w:lvl w:ilvl="2">
      <w:start w:val="1"/>
      <w:numFmt w:val="decimal"/>
      <w:isLgl/>
      <w:lvlText w:val="%1.%2.%3."/>
      <w:lvlJc w:val="left"/>
      <w:pPr>
        <w:ind w:left="1440" w:hanging="720"/>
      </w:pPr>
      <w:rPr>
        <w:rFonts w:hint="default"/>
      </w:rPr>
    </w:lvl>
    <w:lvl w:ilvl="3">
      <w:start w:val="1"/>
      <w:numFmt w:val="decimal"/>
      <w:isLgl/>
      <w:lvlText w:val="%1.%2.%3.%4."/>
      <w:lvlJc w:val="left"/>
      <w:pPr>
        <w:ind w:left="1620" w:hanging="720"/>
      </w:pPr>
      <w:rPr>
        <w:rFonts w:hint="default"/>
      </w:rPr>
    </w:lvl>
    <w:lvl w:ilvl="4">
      <w:start w:val="1"/>
      <w:numFmt w:val="decimal"/>
      <w:isLgl/>
      <w:lvlText w:val="%1.%2.%3.%4.%5."/>
      <w:lvlJc w:val="left"/>
      <w:pPr>
        <w:ind w:left="2160" w:hanging="1080"/>
      </w:pPr>
      <w:rPr>
        <w:rFonts w:hint="default"/>
      </w:rPr>
    </w:lvl>
    <w:lvl w:ilvl="5">
      <w:start w:val="1"/>
      <w:numFmt w:val="decimal"/>
      <w:isLgl/>
      <w:lvlText w:val="%1.%2.%3.%4.%5.%6."/>
      <w:lvlJc w:val="left"/>
      <w:pPr>
        <w:ind w:left="2340" w:hanging="1080"/>
      </w:pPr>
      <w:rPr>
        <w:rFonts w:hint="default"/>
      </w:rPr>
    </w:lvl>
    <w:lvl w:ilvl="6">
      <w:start w:val="1"/>
      <w:numFmt w:val="decimal"/>
      <w:isLgl/>
      <w:lvlText w:val="%1.%2.%3.%4.%5.%6.%7."/>
      <w:lvlJc w:val="left"/>
      <w:pPr>
        <w:ind w:left="2880" w:hanging="1440"/>
      </w:pPr>
      <w:rPr>
        <w:rFonts w:hint="default"/>
      </w:rPr>
    </w:lvl>
    <w:lvl w:ilvl="7">
      <w:start w:val="1"/>
      <w:numFmt w:val="decimal"/>
      <w:isLgl/>
      <w:lvlText w:val="%1.%2.%3.%4.%5.%6.%7.%8."/>
      <w:lvlJc w:val="left"/>
      <w:pPr>
        <w:ind w:left="3060" w:hanging="1440"/>
      </w:pPr>
      <w:rPr>
        <w:rFonts w:hint="default"/>
      </w:rPr>
    </w:lvl>
    <w:lvl w:ilvl="8">
      <w:start w:val="1"/>
      <w:numFmt w:val="decimal"/>
      <w:isLgl/>
      <w:lvlText w:val="%1.%2.%3.%4.%5.%6.%7.%8.%9."/>
      <w:lvlJc w:val="left"/>
      <w:pPr>
        <w:ind w:left="3600" w:hanging="1800"/>
      </w:pPr>
      <w:rPr>
        <w:rFonts w:hint="default"/>
      </w:rPr>
    </w:lvl>
  </w:abstractNum>
  <w:abstractNum w:abstractNumId="10" w15:restartNumberingAfterBreak="0">
    <w:nsid w:val="26BC23B3"/>
    <w:multiLevelType w:val="hybridMultilevel"/>
    <w:tmpl w:val="7CF8B23A"/>
    <w:lvl w:ilvl="0" w:tplc="43E065C0">
      <w:start w:val="23"/>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29EC7D03"/>
    <w:multiLevelType w:val="hybridMultilevel"/>
    <w:tmpl w:val="44804414"/>
    <w:lvl w:ilvl="0" w:tplc="378E9396">
      <w:start w:val="1"/>
      <w:numFmt w:val="bullet"/>
      <w:lvlText w:val="-"/>
      <w:lvlJc w:val="left"/>
      <w:pPr>
        <w:ind w:left="720" w:hanging="360"/>
      </w:pPr>
      <w:rPr>
        <w:rFonts w:ascii="Verdana" w:hAnsi="Verdana" w:hint="default"/>
      </w:rPr>
    </w:lvl>
    <w:lvl w:ilvl="1" w:tplc="041C0003" w:tentative="1">
      <w:start w:val="1"/>
      <w:numFmt w:val="bullet"/>
      <w:lvlText w:val="o"/>
      <w:lvlJc w:val="left"/>
      <w:pPr>
        <w:ind w:left="1440" w:hanging="360"/>
      </w:pPr>
      <w:rPr>
        <w:rFonts w:ascii="Courier New" w:hAnsi="Courier New" w:cs="Courier New" w:hint="default"/>
      </w:rPr>
    </w:lvl>
    <w:lvl w:ilvl="2" w:tplc="041C0005" w:tentative="1">
      <w:start w:val="1"/>
      <w:numFmt w:val="bullet"/>
      <w:lvlText w:val=""/>
      <w:lvlJc w:val="left"/>
      <w:pPr>
        <w:ind w:left="2160" w:hanging="360"/>
      </w:pPr>
      <w:rPr>
        <w:rFonts w:ascii="Wingdings" w:hAnsi="Wingdings" w:hint="default"/>
      </w:rPr>
    </w:lvl>
    <w:lvl w:ilvl="3" w:tplc="041C0001" w:tentative="1">
      <w:start w:val="1"/>
      <w:numFmt w:val="bullet"/>
      <w:lvlText w:val=""/>
      <w:lvlJc w:val="left"/>
      <w:pPr>
        <w:ind w:left="2880" w:hanging="360"/>
      </w:pPr>
      <w:rPr>
        <w:rFonts w:ascii="Symbol" w:hAnsi="Symbol" w:hint="default"/>
      </w:rPr>
    </w:lvl>
    <w:lvl w:ilvl="4" w:tplc="041C0003" w:tentative="1">
      <w:start w:val="1"/>
      <w:numFmt w:val="bullet"/>
      <w:lvlText w:val="o"/>
      <w:lvlJc w:val="left"/>
      <w:pPr>
        <w:ind w:left="3600" w:hanging="360"/>
      </w:pPr>
      <w:rPr>
        <w:rFonts w:ascii="Courier New" w:hAnsi="Courier New" w:cs="Courier New" w:hint="default"/>
      </w:rPr>
    </w:lvl>
    <w:lvl w:ilvl="5" w:tplc="041C0005" w:tentative="1">
      <w:start w:val="1"/>
      <w:numFmt w:val="bullet"/>
      <w:lvlText w:val=""/>
      <w:lvlJc w:val="left"/>
      <w:pPr>
        <w:ind w:left="4320" w:hanging="360"/>
      </w:pPr>
      <w:rPr>
        <w:rFonts w:ascii="Wingdings" w:hAnsi="Wingdings" w:hint="default"/>
      </w:rPr>
    </w:lvl>
    <w:lvl w:ilvl="6" w:tplc="041C0001" w:tentative="1">
      <w:start w:val="1"/>
      <w:numFmt w:val="bullet"/>
      <w:lvlText w:val=""/>
      <w:lvlJc w:val="left"/>
      <w:pPr>
        <w:ind w:left="5040" w:hanging="360"/>
      </w:pPr>
      <w:rPr>
        <w:rFonts w:ascii="Symbol" w:hAnsi="Symbol" w:hint="default"/>
      </w:rPr>
    </w:lvl>
    <w:lvl w:ilvl="7" w:tplc="041C0003" w:tentative="1">
      <w:start w:val="1"/>
      <w:numFmt w:val="bullet"/>
      <w:lvlText w:val="o"/>
      <w:lvlJc w:val="left"/>
      <w:pPr>
        <w:ind w:left="5760" w:hanging="360"/>
      </w:pPr>
      <w:rPr>
        <w:rFonts w:ascii="Courier New" w:hAnsi="Courier New" w:cs="Courier New" w:hint="default"/>
      </w:rPr>
    </w:lvl>
    <w:lvl w:ilvl="8" w:tplc="041C0005" w:tentative="1">
      <w:start w:val="1"/>
      <w:numFmt w:val="bullet"/>
      <w:lvlText w:val=""/>
      <w:lvlJc w:val="left"/>
      <w:pPr>
        <w:ind w:left="6480" w:hanging="360"/>
      </w:pPr>
      <w:rPr>
        <w:rFonts w:ascii="Wingdings" w:hAnsi="Wingdings" w:hint="default"/>
      </w:rPr>
    </w:lvl>
  </w:abstractNum>
  <w:abstractNum w:abstractNumId="12" w15:restartNumberingAfterBreak="0">
    <w:nsid w:val="37230781"/>
    <w:multiLevelType w:val="multilevel"/>
    <w:tmpl w:val="37230781"/>
    <w:lvl w:ilvl="0">
      <w:start w:val="1"/>
      <w:numFmt w:val="decimal"/>
      <w:lvlText w:val="%1."/>
      <w:lvlJc w:val="left"/>
      <w:pPr>
        <w:ind w:left="1080" w:hanging="360"/>
      </w:pPr>
      <w:rPr>
        <w:rFonts w:hint="default"/>
        <w:i w:val="0"/>
        <w:iCs/>
      </w:rPr>
    </w:lvl>
    <w:lvl w:ilvl="1">
      <w:start w:val="1"/>
      <w:numFmt w:val="decimal"/>
      <w:isLgl/>
      <w:lvlText w:val="%1.%2."/>
      <w:lvlJc w:val="left"/>
      <w:pPr>
        <w:ind w:left="1080" w:hanging="360"/>
      </w:pPr>
      <w:rPr>
        <w:rFonts w:hint="default"/>
        <w:b w:val="0"/>
        <w:bCs/>
        <w:i w:val="0"/>
        <w:color w:val="auto"/>
      </w:rPr>
    </w:lvl>
    <w:lvl w:ilvl="2">
      <w:start w:val="1"/>
      <w:numFmt w:val="decimal"/>
      <w:isLgl/>
      <w:lvlText w:val="%1.%2.%3."/>
      <w:lvlJc w:val="left"/>
      <w:pPr>
        <w:ind w:left="1440" w:hanging="720"/>
      </w:pPr>
      <w:rPr>
        <w:rFonts w:hint="default"/>
        <w:b/>
        <w:i w:val="0"/>
        <w:color w:val="auto"/>
      </w:rPr>
    </w:lvl>
    <w:lvl w:ilvl="3">
      <w:start w:val="1"/>
      <w:numFmt w:val="decimal"/>
      <w:isLgl/>
      <w:lvlText w:val="%1.%2.%3.%4."/>
      <w:lvlJc w:val="left"/>
      <w:pPr>
        <w:ind w:left="1440" w:hanging="720"/>
      </w:pPr>
      <w:rPr>
        <w:rFonts w:hint="default"/>
        <w:b/>
        <w:i w:val="0"/>
        <w:color w:val="auto"/>
      </w:rPr>
    </w:lvl>
    <w:lvl w:ilvl="4">
      <w:start w:val="1"/>
      <w:numFmt w:val="decimal"/>
      <w:isLgl/>
      <w:lvlText w:val="%1.%2.%3.%4.%5."/>
      <w:lvlJc w:val="left"/>
      <w:pPr>
        <w:ind w:left="1800" w:hanging="1080"/>
      </w:pPr>
      <w:rPr>
        <w:rFonts w:hint="default"/>
        <w:b/>
        <w:i w:val="0"/>
        <w:color w:val="auto"/>
      </w:rPr>
    </w:lvl>
    <w:lvl w:ilvl="5">
      <w:start w:val="1"/>
      <w:numFmt w:val="decimal"/>
      <w:isLgl/>
      <w:lvlText w:val="%1.%2.%3.%4.%5.%6."/>
      <w:lvlJc w:val="left"/>
      <w:pPr>
        <w:ind w:left="1800" w:hanging="1080"/>
      </w:pPr>
      <w:rPr>
        <w:rFonts w:hint="default"/>
        <w:b/>
        <w:i w:val="0"/>
        <w:color w:val="auto"/>
      </w:rPr>
    </w:lvl>
    <w:lvl w:ilvl="6">
      <w:start w:val="1"/>
      <w:numFmt w:val="decimal"/>
      <w:isLgl/>
      <w:lvlText w:val="%1.%2.%3.%4.%5.%6.%7."/>
      <w:lvlJc w:val="left"/>
      <w:pPr>
        <w:ind w:left="2160" w:hanging="1440"/>
      </w:pPr>
      <w:rPr>
        <w:rFonts w:hint="default"/>
        <w:b/>
        <w:i w:val="0"/>
        <w:color w:val="auto"/>
      </w:rPr>
    </w:lvl>
    <w:lvl w:ilvl="7">
      <w:start w:val="1"/>
      <w:numFmt w:val="decimal"/>
      <w:isLgl/>
      <w:lvlText w:val="%1.%2.%3.%4.%5.%6.%7.%8."/>
      <w:lvlJc w:val="left"/>
      <w:pPr>
        <w:ind w:left="2160" w:hanging="1440"/>
      </w:pPr>
      <w:rPr>
        <w:rFonts w:hint="default"/>
        <w:b/>
        <w:i w:val="0"/>
        <w:color w:val="auto"/>
      </w:rPr>
    </w:lvl>
    <w:lvl w:ilvl="8">
      <w:start w:val="1"/>
      <w:numFmt w:val="decimal"/>
      <w:isLgl/>
      <w:lvlText w:val="%1.%2.%3.%4.%5.%6.%7.%8.%9."/>
      <w:lvlJc w:val="left"/>
      <w:pPr>
        <w:ind w:left="2520" w:hanging="1800"/>
      </w:pPr>
      <w:rPr>
        <w:rFonts w:hint="default"/>
        <w:b/>
        <w:i w:val="0"/>
        <w:color w:val="auto"/>
      </w:rPr>
    </w:lvl>
  </w:abstractNum>
  <w:abstractNum w:abstractNumId="13" w15:restartNumberingAfterBreak="0">
    <w:nsid w:val="38206FB6"/>
    <w:multiLevelType w:val="hybridMultilevel"/>
    <w:tmpl w:val="4AA2B0C2"/>
    <w:lvl w:ilvl="0" w:tplc="A7A631F8">
      <w:start w:val="1"/>
      <w:numFmt w:val="decimal"/>
      <w:lvlText w:val="%1."/>
      <w:lvlJc w:val="left"/>
      <w:pPr>
        <w:ind w:left="720" w:hanging="360"/>
      </w:pPr>
      <w:rPr>
        <w:rFonts w:hint="default"/>
        <w:b/>
        <w:bCs/>
      </w:rPr>
    </w:lvl>
    <w:lvl w:ilvl="1" w:tplc="041C0019">
      <w:start w:val="1"/>
      <w:numFmt w:val="lowerLetter"/>
      <w:lvlText w:val="%2."/>
      <w:lvlJc w:val="left"/>
      <w:pPr>
        <w:ind w:left="1440" w:hanging="360"/>
      </w:pPr>
    </w:lvl>
    <w:lvl w:ilvl="2" w:tplc="041C001B" w:tentative="1">
      <w:start w:val="1"/>
      <w:numFmt w:val="lowerRoman"/>
      <w:lvlText w:val="%3."/>
      <w:lvlJc w:val="right"/>
      <w:pPr>
        <w:ind w:left="2160" w:hanging="180"/>
      </w:pPr>
    </w:lvl>
    <w:lvl w:ilvl="3" w:tplc="041C000F" w:tentative="1">
      <w:start w:val="1"/>
      <w:numFmt w:val="decimal"/>
      <w:lvlText w:val="%4."/>
      <w:lvlJc w:val="left"/>
      <w:pPr>
        <w:ind w:left="2880" w:hanging="360"/>
      </w:pPr>
    </w:lvl>
    <w:lvl w:ilvl="4" w:tplc="041C0019" w:tentative="1">
      <w:start w:val="1"/>
      <w:numFmt w:val="lowerLetter"/>
      <w:lvlText w:val="%5."/>
      <w:lvlJc w:val="left"/>
      <w:pPr>
        <w:ind w:left="3600" w:hanging="360"/>
      </w:pPr>
    </w:lvl>
    <w:lvl w:ilvl="5" w:tplc="041C001B" w:tentative="1">
      <w:start w:val="1"/>
      <w:numFmt w:val="lowerRoman"/>
      <w:lvlText w:val="%6."/>
      <w:lvlJc w:val="right"/>
      <w:pPr>
        <w:ind w:left="4320" w:hanging="180"/>
      </w:pPr>
    </w:lvl>
    <w:lvl w:ilvl="6" w:tplc="041C000F" w:tentative="1">
      <w:start w:val="1"/>
      <w:numFmt w:val="decimal"/>
      <w:lvlText w:val="%7."/>
      <w:lvlJc w:val="left"/>
      <w:pPr>
        <w:ind w:left="5040" w:hanging="360"/>
      </w:pPr>
    </w:lvl>
    <w:lvl w:ilvl="7" w:tplc="041C0019" w:tentative="1">
      <w:start w:val="1"/>
      <w:numFmt w:val="lowerLetter"/>
      <w:lvlText w:val="%8."/>
      <w:lvlJc w:val="left"/>
      <w:pPr>
        <w:ind w:left="5760" w:hanging="360"/>
      </w:pPr>
    </w:lvl>
    <w:lvl w:ilvl="8" w:tplc="041C001B" w:tentative="1">
      <w:start w:val="1"/>
      <w:numFmt w:val="lowerRoman"/>
      <w:lvlText w:val="%9."/>
      <w:lvlJc w:val="right"/>
      <w:pPr>
        <w:ind w:left="6480" w:hanging="180"/>
      </w:pPr>
    </w:lvl>
  </w:abstractNum>
  <w:abstractNum w:abstractNumId="14" w15:restartNumberingAfterBreak="0">
    <w:nsid w:val="3A8120BD"/>
    <w:multiLevelType w:val="hybridMultilevel"/>
    <w:tmpl w:val="4348AE7C"/>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41274152"/>
    <w:multiLevelType w:val="multilevel"/>
    <w:tmpl w:val="6D7EE330"/>
    <w:lvl w:ilvl="0">
      <w:start w:val="6"/>
      <w:numFmt w:val="decimal"/>
      <w:lvlText w:val="%1."/>
      <w:lvlJc w:val="left"/>
      <w:pPr>
        <w:ind w:left="2970" w:hanging="360"/>
      </w:pPr>
      <w:rPr>
        <w:rFonts w:eastAsia="Times New Roman" w:hint="default"/>
        <w:b w:val="0"/>
        <w:bCs w:val="0"/>
        <w:i w:val="0"/>
        <w:iCs w:val="0"/>
        <w:color w:val="000000"/>
      </w:rPr>
    </w:lvl>
    <w:lvl w:ilvl="1">
      <w:start w:val="1"/>
      <w:numFmt w:val="decimal"/>
      <w:isLgl/>
      <w:lvlText w:val="%1.%2."/>
      <w:lvlJc w:val="left"/>
      <w:pPr>
        <w:ind w:left="720" w:hanging="360"/>
      </w:pPr>
      <w:rPr>
        <w:rFonts w:hint="default"/>
        <w:b w:val="0"/>
        <w:bCs/>
        <w:i w:val="0"/>
        <w:color w:val="auto"/>
      </w:rPr>
    </w:lvl>
    <w:lvl w:ilvl="2">
      <w:start w:val="1"/>
      <w:numFmt w:val="decimal"/>
      <w:isLgl/>
      <w:lvlText w:val="%1.%2.%3."/>
      <w:lvlJc w:val="left"/>
      <w:pPr>
        <w:ind w:left="1080" w:hanging="720"/>
      </w:pPr>
      <w:rPr>
        <w:rFonts w:hint="default"/>
        <w:b/>
        <w:i w:val="0"/>
      </w:rPr>
    </w:lvl>
    <w:lvl w:ilvl="3">
      <w:start w:val="1"/>
      <w:numFmt w:val="decimal"/>
      <w:isLgl/>
      <w:lvlText w:val="%1.%2.%3.%4."/>
      <w:lvlJc w:val="left"/>
      <w:pPr>
        <w:ind w:left="1080" w:hanging="720"/>
      </w:pPr>
      <w:rPr>
        <w:rFonts w:hint="default"/>
        <w:b/>
        <w:i w:val="0"/>
      </w:rPr>
    </w:lvl>
    <w:lvl w:ilvl="4">
      <w:start w:val="1"/>
      <w:numFmt w:val="decimal"/>
      <w:isLgl/>
      <w:lvlText w:val="%1.%2.%3.%4.%5."/>
      <w:lvlJc w:val="left"/>
      <w:pPr>
        <w:ind w:left="1440" w:hanging="1080"/>
      </w:pPr>
      <w:rPr>
        <w:rFonts w:hint="default"/>
        <w:b/>
        <w:i w:val="0"/>
      </w:rPr>
    </w:lvl>
    <w:lvl w:ilvl="5">
      <w:start w:val="1"/>
      <w:numFmt w:val="decimal"/>
      <w:isLgl/>
      <w:lvlText w:val="%1.%2.%3.%4.%5.%6."/>
      <w:lvlJc w:val="left"/>
      <w:pPr>
        <w:ind w:left="1440" w:hanging="1080"/>
      </w:pPr>
      <w:rPr>
        <w:rFonts w:hint="default"/>
        <w:b/>
        <w:i w:val="0"/>
      </w:rPr>
    </w:lvl>
    <w:lvl w:ilvl="6">
      <w:start w:val="1"/>
      <w:numFmt w:val="decimal"/>
      <w:isLgl/>
      <w:lvlText w:val="%1.%2.%3.%4.%5.%6.%7."/>
      <w:lvlJc w:val="left"/>
      <w:pPr>
        <w:ind w:left="1800" w:hanging="1440"/>
      </w:pPr>
      <w:rPr>
        <w:rFonts w:hint="default"/>
        <w:b/>
        <w:i w:val="0"/>
      </w:rPr>
    </w:lvl>
    <w:lvl w:ilvl="7">
      <w:start w:val="1"/>
      <w:numFmt w:val="decimal"/>
      <w:isLgl/>
      <w:lvlText w:val="%1.%2.%3.%4.%5.%6.%7.%8."/>
      <w:lvlJc w:val="left"/>
      <w:pPr>
        <w:ind w:left="1800" w:hanging="1440"/>
      </w:pPr>
      <w:rPr>
        <w:rFonts w:hint="default"/>
        <w:b/>
        <w:i w:val="0"/>
      </w:rPr>
    </w:lvl>
    <w:lvl w:ilvl="8">
      <w:start w:val="1"/>
      <w:numFmt w:val="decimal"/>
      <w:isLgl/>
      <w:lvlText w:val="%1.%2.%3.%4.%5.%6.%7.%8.%9."/>
      <w:lvlJc w:val="left"/>
      <w:pPr>
        <w:ind w:left="2160" w:hanging="1800"/>
      </w:pPr>
      <w:rPr>
        <w:rFonts w:hint="default"/>
        <w:b/>
        <w:i w:val="0"/>
      </w:rPr>
    </w:lvl>
  </w:abstractNum>
  <w:abstractNum w:abstractNumId="16" w15:restartNumberingAfterBreak="0">
    <w:nsid w:val="430302C0"/>
    <w:multiLevelType w:val="hybridMultilevel"/>
    <w:tmpl w:val="7EC84516"/>
    <w:lvl w:ilvl="0" w:tplc="43E065C0">
      <w:start w:val="23"/>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471D77D5"/>
    <w:multiLevelType w:val="hybridMultilevel"/>
    <w:tmpl w:val="6F4AE3F8"/>
    <w:lvl w:ilvl="0" w:tplc="2E54AC5E">
      <w:start w:val="1"/>
      <w:numFmt w:val="decimal"/>
      <w:lvlText w:val="%1."/>
      <w:lvlJc w:val="left"/>
      <w:pPr>
        <w:ind w:left="4860" w:hanging="360"/>
      </w:pPr>
      <w:rPr>
        <w:rFonts w:hint="default"/>
        <w:b w:val="0"/>
        <w:bCs/>
        <w:i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478D3131"/>
    <w:multiLevelType w:val="multilevel"/>
    <w:tmpl w:val="D56C2D40"/>
    <w:lvl w:ilvl="0">
      <w:start w:val="9"/>
      <w:numFmt w:val="decimal"/>
      <w:lvlText w:val="%1."/>
      <w:lvlJc w:val="left"/>
      <w:pPr>
        <w:ind w:left="360" w:hanging="360"/>
      </w:pPr>
      <w:rPr>
        <w:rFonts w:hint="default"/>
        <w:b/>
        <w:color w:val="auto"/>
        <w:sz w:val="24"/>
      </w:rPr>
    </w:lvl>
    <w:lvl w:ilvl="1">
      <w:start w:val="1"/>
      <w:numFmt w:val="decimal"/>
      <w:lvlText w:val="%1.%2."/>
      <w:lvlJc w:val="left"/>
      <w:pPr>
        <w:ind w:left="720" w:hanging="720"/>
      </w:pPr>
      <w:rPr>
        <w:rFonts w:hint="default"/>
        <w:b w:val="0"/>
        <w:bCs/>
        <w:i w:val="0"/>
        <w:iCs w:val="0"/>
        <w:color w:val="auto"/>
        <w:sz w:val="24"/>
      </w:rPr>
    </w:lvl>
    <w:lvl w:ilvl="2">
      <w:start w:val="1"/>
      <w:numFmt w:val="decimal"/>
      <w:lvlText w:val="%1.%2.%3."/>
      <w:lvlJc w:val="left"/>
      <w:pPr>
        <w:ind w:left="720" w:hanging="720"/>
      </w:pPr>
      <w:rPr>
        <w:rFonts w:hint="default"/>
        <w:b/>
        <w:color w:val="auto"/>
        <w:sz w:val="24"/>
      </w:rPr>
    </w:lvl>
    <w:lvl w:ilvl="3">
      <w:start w:val="1"/>
      <w:numFmt w:val="decimal"/>
      <w:lvlText w:val="%1.%2.%3.%4."/>
      <w:lvlJc w:val="left"/>
      <w:pPr>
        <w:ind w:left="1080" w:hanging="1080"/>
      </w:pPr>
      <w:rPr>
        <w:rFonts w:hint="default"/>
        <w:b/>
        <w:color w:val="auto"/>
        <w:sz w:val="24"/>
      </w:rPr>
    </w:lvl>
    <w:lvl w:ilvl="4">
      <w:start w:val="1"/>
      <w:numFmt w:val="decimal"/>
      <w:lvlText w:val="%1.%2.%3.%4.%5."/>
      <w:lvlJc w:val="left"/>
      <w:pPr>
        <w:ind w:left="1080" w:hanging="1080"/>
      </w:pPr>
      <w:rPr>
        <w:rFonts w:hint="default"/>
        <w:b/>
        <w:color w:val="auto"/>
        <w:sz w:val="24"/>
      </w:rPr>
    </w:lvl>
    <w:lvl w:ilvl="5">
      <w:start w:val="1"/>
      <w:numFmt w:val="decimal"/>
      <w:lvlText w:val="%1.%2.%3.%4.%5.%6."/>
      <w:lvlJc w:val="left"/>
      <w:pPr>
        <w:ind w:left="1440" w:hanging="1440"/>
      </w:pPr>
      <w:rPr>
        <w:rFonts w:hint="default"/>
        <w:b/>
        <w:color w:val="auto"/>
        <w:sz w:val="24"/>
      </w:rPr>
    </w:lvl>
    <w:lvl w:ilvl="6">
      <w:start w:val="1"/>
      <w:numFmt w:val="decimal"/>
      <w:lvlText w:val="%1.%2.%3.%4.%5.%6.%7."/>
      <w:lvlJc w:val="left"/>
      <w:pPr>
        <w:ind w:left="1440" w:hanging="1440"/>
      </w:pPr>
      <w:rPr>
        <w:rFonts w:hint="default"/>
        <w:b/>
        <w:color w:val="auto"/>
        <w:sz w:val="24"/>
      </w:rPr>
    </w:lvl>
    <w:lvl w:ilvl="7">
      <w:start w:val="1"/>
      <w:numFmt w:val="decimal"/>
      <w:lvlText w:val="%1.%2.%3.%4.%5.%6.%7.%8."/>
      <w:lvlJc w:val="left"/>
      <w:pPr>
        <w:ind w:left="1800" w:hanging="1800"/>
      </w:pPr>
      <w:rPr>
        <w:rFonts w:hint="default"/>
        <w:b/>
        <w:color w:val="auto"/>
        <w:sz w:val="24"/>
      </w:rPr>
    </w:lvl>
    <w:lvl w:ilvl="8">
      <w:start w:val="1"/>
      <w:numFmt w:val="decimal"/>
      <w:lvlText w:val="%1.%2.%3.%4.%5.%6.%7.%8.%9."/>
      <w:lvlJc w:val="left"/>
      <w:pPr>
        <w:ind w:left="2160" w:hanging="2160"/>
      </w:pPr>
      <w:rPr>
        <w:rFonts w:hint="default"/>
        <w:b/>
        <w:color w:val="auto"/>
        <w:sz w:val="24"/>
      </w:rPr>
    </w:lvl>
  </w:abstractNum>
  <w:abstractNum w:abstractNumId="19" w15:restartNumberingAfterBreak="0">
    <w:nsid w:val="47E71D9C"/>
    <w:multiLevelType w:val="hybridMultilevel"/>
    <w:tmpl w:val="660C77C0"/>
    <w:lvl w:ilvl="0" w:tplc="378E9396">
      <w:start w:val="1"/>
      <w:numFmt w:val="bullet"/>
      <w:lvlText w:val="-"/>
      <w:lvlJc w:val="left"/>
      <w:pPr>
        <w:ind w:left="1260" w:hanging="360"/>
      </w:pPr>
      <w:rPr>
        <w:rFonts w:ascii="Verdana" w:hAnsi="Verdana" w:hint="default"/>
      </w:rPr>
    </w:lvl>
    <w:lvl w:ilvl="1" w:tplc="041C0003" w:tentative="1">
      <w:start w:val="1"/>
      <w:numFmt w:val="bullet"/>
      <w:lvlText w:val="o"/>
      <w:lvlJc w:val="left"/>
      <w:pPr>
        <w:ind w:left="1980" w:hanging="360"/>
      </w:pPr>
      <w:rPr>
        <w:rFonts w:ascii="Courier New" w:hAnsi="Courier New" w:cs="Courier New" w:hint="default"/>
      </w:rPr>
    </w:lvl>
    <w:lvl w:ilvl="2" w:tplc="041C0005" w:tentative="1">
      <w:start w:val="1"/>
      <w:numFmt w:val="bullet"/>
      <w:lvlText w:val=""/>
      <w:lvlJc w:val="left"/>
      <w:pPr>
        <w:ind w:left="2700" w:hanging="360"/>
      </w:pPr>
      <w:rPr>
        <w:rFonts w:ascii="Wingdings" w:hAnsi="Wingdings" w:hint="default"/>
      </w:rPr>
    </w:lvl>
    <w:lvl w:ilvl="3" w:tplc="041C0001" w:tentative="1">
      <w:start w:val="1"/>
      <w:numFmt w:val="bullet"/>
      <w:lvlText w:val=""/>
      <w:lvlJc w:val="left"/>
      <w:pPr>
        <w:ind w:left="3420" w:hanging="360"/>
      </w:pPr>
      <w:rPr>
        <w:rFonts w:ascii="Symbol" w:hAnsi="Symbol" w:hint="default"/>
      </w:rPr>
    </w:lvl>
    <w:lvl w:ilvl="4" w:tplc="041C0003" w:tentative="1">
      <w:start w:val="1"/>
      <w:numFmt w:val="bullet"/>
      <w:lvlText w:val="o"/>
      <w:lvlJc w:val="left"/>
      <w:pPr>
        <w:ind w:left="4140" w:hanging="360"/>
      </w:pPr>
      <w:rPr>
        <w:rFonts w:ascii="Courier New" w:hAnsi="Courier New" w:cs="Courier New" w:hint="default"/>
      </w:rPr>
    </w:lvl>
    <w:lvl w:ilvl="5" w:tplc="041C0005" w:tentative="1">
      <w:start w:val="1"/>
      <w:numFmt w:val="bullet"/>
      <w:lvlText w:val=""/>
      <w:lvlJc w:val="left"/>
      <w:pPr>
        <w:ind w:left="4860" w:hanging="360"/>
      </w:pPr>
      <w:rPr>
        <w:rFonts w:ascii="Wingdings" w:hAnsi="Wingdings" w:hint="default"/>
      </w:rPr>
    </w:lvl>
    <w:lvl w:ilvl="6" w:tplc="041C0001" w:tentative="1">
      <w:start w:val="1"/>
      <w:numFmt w:val="bullet"/>
      <w:lvlText w:val=""/>
      <w:lvlJc w:val="left"/>
      <w:pPr>
        <w:ind w:left="5580" w:hanging="360"/>
      </w:pPr>
      <w:rPr>
        <w:rFonts w:ascii="Symbol" w:hAnsi="Symbol" w:hint="default"/>
      </w:rPr>
    </w:lvl>
    <w:lvl w:ilvl="7" w:tplc="041C0003" w:tentative="1">
      <w:start w:val="1"/>
      <w:numFmt w:val="bullet"/>
      <w:lvlText w:val="o"/>
      <w:lvlJc w:val="left"/>
      <w:pPr>
        <w:ind w:left="6300" w:hanging="360"/>
      </w:pPr>
      <w:rPr>
        <w:rFonts w:ascii="Courier New" w:hAnsi="Courier New" w:cs="Courier New" w:hint="default"/>
      </w:rPr>
    </w:lvl>
    <w:lvl w:ilvl="8" w:tplc="041C0005" w:tentative="1">
      <w:start w:val="1"/>
      <w:numFmt w:val="bullet"/>
      <w:lvlText w:val=""/>
      <w:lvlJc w:val="left"/>
      <w:pPr>
        <w:ind w:left="7020" w:hanging="360"/>
      </w:pPr>
      <w:rPr>
        <w:rFonts w:ascii="Wingdings" w:hAnsi="Wingdings" w:hint="default"/>
      </w:rPr>
    </w:lvl>
  </w:abstractNum>
  <w:abstractNum w:abstractNumId="20" w15:restartNumberingAfterBreak="0">
    <w:nsid w:val="497D7D53"/>
    <w:multiLevelType w:val="multilevel"/>
    <w:tmpl w:val="5C1ADC7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 w15:restartNumberingAfterBreak="0">
    <w:nsid w:val="502F646A"/>
    <w:multiLevelType w:val="hybridMultilevel"/>
    <w:tmpl w:val="4C48BBD2"/>
    <w:lvl w:ilvl="0" w:tplc="0BE8017E">
      <w:start w:val="1"/>
      <w:numFmt w:val="upperRoman"/>
      <w:lvlText w:val="%1."/>
      <w:lvlJc w:val="left"/>
      <w:pPr>
        <w:ind w:left="720" w:hanging="720"/>
      </w:pPr>
      <w:rPr>
        <w:rFonts w:hint="default"/>
        <w:b/>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514E6B42"/>
    <w:multiLevelType w:val="hybridMultilevel"/>
    <w:tmpl w:val="3468CE10"/>
    <w:lvl w:ilvl="0" w:tplc="43E065C0">
      <w:start w:val="23"/>
      <w:numFmt w:val="bullet"/>
      <w:lvlText w:val="-"/>
      <w:lvlJc w:val="left"/>
      <w:pPr>
        <w:ind w:left="720" w:hanging="360"/>
      </w:pPr>
      <w:rPr>
        <w:rFonts w:ascii="Times New Roman" w:eastAsiaTheme="minorHAnsi" w:hAnsi="Times New Roman" w:cs="Times New Roman" w:hint="default"/>
      </w:rPr>
    </w:lvl>
    <w:lvl w:ilvl="1" w:tplc="041C0003" w:tentative="1">
      <w:start w:val="1"/>
      <w:numFmt w:val="bullet"/>
      <w:lvlText w:val="o"/>
      <w:lvlJc w:val="left"/>
      <w:pPr>
        <w:ind w:left="1440" w:hanging="360"/>
      </w:pPr>
      <w:rPr>
        <w:rFonts w:ascii="Courier New" w:hAnsi="Courier New" w:cs="Courier New" w:hint="default"/>
      </w:rPr>
    </w:lvl>
    <w:lvl w:ilvl="2" w:tplc="041C0005" w:tentative="1">
      <w:start w:val="1"/>
      <w:numFmt w:val="bullet"/>
      <w:lvlText w:val=""/>
      <w:lvlJc w:val="left"/>
      <w:pPr>
        <w:ind w:left="2160" w:hanging="360"/>
      </w:pPr>
      <w:rPr>
        <w:rFonts w:ascii="Wingdings" w:hAnsi="Wingdings" w:hint="default"/>
      </w:rPr>
    </w:lvl>
    <w:lvl w:ilvl="3" w:tplc="041C0001" w:tentative="1">
      <w:start w:val="1"/>
      <w:numFmt w:val="bullet"/>
      <w:lvlText w:val=""/>
      <w:lvlJc w:val="left"/>
      <w:pPr>
        <w:ind w:left="2880" w:hanging="360"/>
      </w:pPr>
      <w:rPr>
        <w:rFonts w:ascii="Symbol" w:hAnsi="Symbol" w:hint="default"/>
      </w:rPr>
    </w:lvl>
    <w:lvl w:ilvl="4" w:tplc="041C0003" w:tentative="1">
      <w:start w:val="1"/>
      <w:numFmt w:val="bullet"/>
      <w:lvlText w:val="o"/>
      <w:lvlJc w:val="left"/>
      <w:pPr>
        <w:ind w:left="3600" w:hanging="360"/>
      </w:pPr>
      <w:rPr>
        <w:rFonts w:ascii="Courier New" w:hAnsi="Courier New" w:cs="Courier New" w:hint="default"/>
      </w:rPr>
    </w:lvl>
    <w:lvl w:ilvl="5" w:tplc="041C0005" w:tentative="1">
      <w:start w:val="1"/>
      <w:numFmt w:val="bullet"/>
      <w:lvlText w:val=""/>
      <w:lvlJc w:val="left"/>
      <w:pPr>
        <w:ind w:left="4320" w:hanging="360"/>
      </w:pPr>
      <w:rPr>
        <w:rFonts w:ascii="Wingdings" w:hAnsi="Wingdings" w:hint="default"/>
      </w:rPr>
    </w:lvl>
    <w:lvl w:ilvl="6" w:tplc="041C0001" w:tentative="1">
      <w:start w:val="1"/>
      <w:numFmt w:val="bullet"/>
      <w:lvlText w:val=""/>
      <w:lvlJc w:val="left"/>
      <w:pPr>
        <w:ind w:left="5040" w:hanging="360"/>
      </w:pPr>
      <w:rPr>
        <w:rFonts w:ascii="Symbol" w:hAnsi="Symbol" w:hint="default"/>
      </w:rPr>
    </w:lvl>
    <w:lvl w:ilvl="7" w:tplc="041C0003" w:tentative="1">
      <w:start w:val="1"/>
      <w:numFmt w:val="bullet"/>
      <w:lvlText w:val="o"/>
      <w:lvlJc w:val="left"/>
      <w:pPr>
        <w:ind w:left="5760" w:hanging="360"/>
      </w:pPr>
      <w:rPr>
        <w:rFonts w:ascii="Courier New" w:hAnsi="Courier New" w:cs="Courier New" w:hint="default"/>
      </w:rPr>
    </w:lvl>
    <w:lvl w:ilvl="8" w:tplc="041C0005" w:tentative="1">
      <w:start w:val="1"/>
      <w:numFmt w:val="bullet"/>
      <w:lvlText w:val=""/>
      <w:lvlJc w:val="left"/>
      <w:pPr>
        <w:ind w:left="6480" w:hanging="360"/>
      </w:pPr>
      <w:rPr>
        <w:rFonts w:ascii="Wingdings" w:hAnsi="Wingdings" w:hint="default"/>
      </w:rPr>
    </w:lvl>
  </w:abstractNum>
  <w:abstractNum w:abstractNumId="23" w15:restartNumberingAfterBreak="0">
    <w:nsid w:val="529860E4"/>
    <w:multiLevelType w:val="hybridMultilevel"/>
    <w:tmpl w:val="93F0CC60"/>
    <w:lvl w:ilvl="0" w:tplc="43E065C0">
      <w:start w:val="23"/>
      <w:numFmt w:val="bullet"/>
      <w:lvlText w:val="-"/>
      <w:lvlJc w:val="left"/>
      <w:pPr>
        <w:ind w:left="1260" w:hanging="360"/>
      </w:pPr>
      <w:rPr>
        <w:rFonts w:ascii="Times New Roman" w:eastAsiaTheme="minorHAnsi" w:hAnsi="Times New Roman" w:cs="Times New Roman" w:hint="default"/>
      </w:rPr>
    </w:lvl>
    <w:lvl w:ilvl="1" w:tplc="04090003" w:tentative="1">
      <w:start w:val="1"/>
      <w:numFmt w:val="bullet"/>
      <w:lvlText w:val="o"/>
      <w:lvlJc w:val="left"/>
      <w:pPr>
        <w:ind w:left="1980" w:hanging="360"/>
      </w:pPr>
      <w:rPr>
        <w:rFonts w:ascii="Courier New" w:hAnsi="Courier New" w:cs="Courier New" w:hint="default"/>
      </w:rPr>
    </w:lvl>
    <w:lvl w:ilvl="2" w:tplc="04090005" w:tentative="1">
      <w:start w:val="1"/>
      <w:numFmt w:val="bullet"/>
      <w:lvlText w:val=""/>
      <w:lvlJc w:val="left"/>
      <w:pPr>
        <w:ind w:left="2700" w:hanging="360"/>
      </w:pPr>
      <w:rPr>
        <w:rFonts w:ascii="Wingdings" w:hAnsi="Wingdings" w:hint="default"/>
      </w:rPr>
    </w:lvl>
    <w:lvl w:ilvl="3" w:tplc="04090001" w:tentative="1">
      <w:start w:val="1"/>
      <w:numFmt w:val="bullet"/>
      <w:lvlText w:val=""/>
      <w:lvlJc w:val="left"/>
      <w:pPr>
        <w:ind w:left="3420" w:hanging="360"/>
      </w:pPr>
      <w:rPr>
        <w:rFonts w:ascii="Symbol" w:hAnsi="Symbol" w:hint="default"/>
      </w:rPr>
    </w:lvl>
    <w:lvl w:ilvl="4" w:tplc="04090003" w:tentative="1">
      <w:start w:val="1"/>
      <w:numFmt w:val="bullet"/>
      <w:lvlText w:val="o"/>
      <w:lvlJc w:val="left"/>
      <w:pPr>
        <w:ind w:left="4140" w:hanging="360"/>
      </w:pPr>
      <w:rPr>
        <w:rFonts w:ascii="Courier New" w:hAnsi="Courier New" w:cs="Courier New" w:hint="default"/>
      </w:rPr>
    </w:lvl>
    <w:lvl w:ilvl="5" w:tplc="04090005" w:tentative="1">
      <w:start w:val="1"/>
      <w:numFmt w:val="bullet"/>
      <w:lvlText w:val=""/>
      <w:lvlJc w:val="left"/>
      <w:pPr>
        <w:ind w:left="4860" w:hanging="360"/>
      </w:pPr>
      <w:rPr>
        <w:rFonts w:ascii="Wingdings" w:hAnsi="Wingdings" w:hint="default"/>
      </w:rPr>
    </w:lvl>
    <w:lvl w:ilvl="6" w:tplc="04090001" w:tentative="1">
      <w:start w:val="1"/>
      <w:numFmt w:val="bullet"/>
      <w:lvlText w:val=""/>
      <w:lvlJc w:val="left"/>
      <w:pPr>
        <w:ind w:left="5580" w:hanging="360"/>
      </w:pPr>
      <w:rPr>
        <w:rFonts w:ascii="Symbol" w:hAnsi="Symbol" w:hint="default"/>
      </w:rPr>
    </w:lvl>
    <w:lvl w:ilvl="7" w:tplc="04090003" w:tentative="1">
      <w:start w:val="1"/>
      <w:numFmt w:val="bullet"/>
      <w:lvlText w:val="o"/>
      <w:lvlJc w:val="left"/>
      <w:pPr>
        <w:ind w:left="6300" w:hanging="360"/>
      </w:pPr>
      <w:rPr>
        <w:rFonts w:ascii="Courier New" w:hAnsi="Courier New" w:cs="Courier New" w:hint="default"/>
      </w:rPr>
    </w:lvl>
    <w:lvl w:ilvl="8" w:tplc="04090005" w:tentative="1">
      <w:start w:val="1"/>
      <w:numFmt w:val="bullet"/>
      <w:lvlText w:val=""/>
      <w:lvlJc w:val="left"/>
      <w:pPr>
        <w:ind w:left="7020" w:hanging="360"/>
      </w:pPr>
      <w:rPr>
        <w:rFonts w:ascii="Wingdings" w:hAnsi="Wingdings" w:hint="default"/>
      </w:rPr>
    </w:lvl>
  </w:abstractNum>
  <w:abstractNum w:abstractNumId="24" w15:restartNumberingAfterBreak="0">
    <w:nsid w:val="529B4A4E"/>
    <w:multiLevelType w:val="multilevel"/>
    <w:tmpl w:val="F3046096"/>
    <w:lvl w:ilvl="0">
      <w:start w:val="1"/>
      <w:numFmt w:val="decimal"/>
      <w:lvlText w:val="%1."/>
      <w:lvlJc w:val="left"/>
      <w:pPr>
        <w:ind w:left="1080" w:hanging="360"/>
      </w:pPr>
      <w:rPr>
        <w:rFonts w:hint="default"/>
        <w:b w:val="0"/>
        <w:bCs w:val="0"/>
        <w:i w:val="0"/>
        <w:iCs w:val="0"/>
        <w:color w:val="auto"/>
        <w:sz w:val="24"/>
      </w:rPr>
    </w:lvl>
    <w:lvl w:ilvl="1">
      <w:start w:val="1"/>
      <w:numFmt w:val="decimal"/>
      <w:isLgl/>
      <w:lvlText w:val="%1.%2."/>
      <w:lvlJc w:val="left"/>
      <w:pPr>
        <w:ind w:left="1080" w:hanging="360"/>
      </w:pPr>
      <w:rPr>
        <w:rFonts w:hint="default"/>
        <w:b w:val="0"/>
        <w:bCs w:val="0"/>
        <w:i w:val="0"/>
        <w:iCs w:val="0"/>
        <w:color w:val="auto"/>
      </w:rPr>
    </w:lvl>
    <w:lvl w:ilvl="2">
      <w:start w:val="1"/>
      <w:numFmt w:val="decimal"/>
      <w:isLgl/>
      <w:lvlText w:val="%1.%2.%3."/>
      <w:lvlJc w:val="left"/>
      <w:pPr>
        <w:ind w:left="1440" w:hanging="720"/>
      </w:pPr>
      <w:rPr>
        <w:rFonts w:hint="default"/>
        <w:b/>
        <w:bCs/>
      </w:rPr>
    </w:lvl>
    <w:lvl w:ilvl="3">
      <w:start w:val="1"/>
      <w:numFmt w:val="decimal"/>
      <w:isLgl/>
      <w:lvlText w:val="%1.%2.%3.%4."/>
      <w:lvlJc w:val="left"/>
      <w:pPr>
        <w:ind w:left="1440" w:hanging="72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1800" w:hanging="108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160" w:hanging="1440"/>
      </w:pPr>
      <w:rPr>
        <w:rFonts w:hint="default"/>
      </w:rPr>
    </w:lvl>
    <w:lvl w:ilvl="8">
      <w:start w:val="1"/>
      <w:numFmt w:val="decimal"/>
      <w:isLgl/>
      <w:lvlText w:val="%1.%2.%3.%4.%5.%6.%7.%8.%9."/>
      <w:lvlJc w:val="left"/>
      <w:pPr>
        <w:ind w:left="2520" w:hanging="1800"/>
      </w:pPr>
      <w:rPr>
        <w:rFonts w:hint="default"/>
      </w:rPr>
    </w:lvl>
  </w:abstractNum>
  <w:abstractNum w:abstractNumId="25" w15:restartNumberingAfterBreak="0">
    <w:nsid w:val="54440B01"/>
    <w:multiLevelType w:val="hybridMultilevel"/>
    <w:tmpl w:val="9EE2B6CA"/>
    <w:lvl w:ilvl="0" w:tplc="0409000B">
      <w:start w:val="1"/>
      <w:numFmt w:val="bullet"/>
      <w:lvlText w:val=""/>
      <w:lvlJc w:val="left"/>
      <w:pPr>
        <w:ind w:left="1080" w:hanging="360"/>
      </w:pPr>
      <w:rPr>
        <w:rFonts w:ascii="Wingdings" w:hAnsi="Wingdings"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6" w15:restartNumberingAfterBreak="0">
    <w:nsid w:val="59DC09F9"/>
    <w:multiLevelType w:val="multilevel"/>
    <w:tmpl w:val="59DC09F9"/>
    <w:lvl w:ilvl="0">
      <w:start w:val="1"/>
      <w:numFmt w:val="upperRoman"/>
      <w:lvlText w:val="%1."/>
      <w:lvlJc w:val="left"/>
      <w:pPr>
        <w:ind w:left="720" w:hanging="720"/>
      </w:pPr>
      <w:rPr>
        <w:rFonts w:hint="default"/>
      </w:rPr>
    </w:lvl>
    <w:lvl w:ilvl="1">
      <w:start w:val="1"/>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27" w15:restartNumberingAfterBreak="0">
    <w:nsid w:val="5C1E225C"/>
    <w:multiLevelType w:val="multilevel"/>
    <w:tmpl w:val="16D2BE04"/>
    <w:lvl w:ilvl="0">
      <w:start w:val="1"/>
      <w:numFmt w:val="decimal"/>
      <w:lvlText w:val="%1."/>
      <w:lvlJc w:val="left"/>
      <w:pPr>
        <w:ind w:left="720" w:hanging="360"/>
      </w:pPr>
      <w:rPr>
        <w:rFonts w:hint="default"/>
      </w:rPr>
    </w:lvl>
    <w:lvl w:ilvl="1">
      <w:start w:val="1"/>
      <w:numFmt w:val="decimal"/>
      <w:isLgl/>
      <w:lvlText w:val="%1.%2."/>
      <w:lvlJc w:val="left"/>
      <w:pPr>
        <w:ind w:left="900" w:hanging="360"/>
      </w:pPr>
      <w:rPr>
        <w:rFonts w:hint="default"/>
        <w:i w:val="0"/>
        <w:iCs w:val="0"/>
      </w:rPr>
    </w:lvl>
    <w:lvl w:ilvl="2">
      <w:start w:val="1"/>
      <w:numFmt w:val="decimal"/>
      <w:isLgl/>
      <w:lvlText w:val="%1.%2.%3."/>
      <w:lvlJc w:val="left"/>
      <w:pPr>
        <w:ind w:left="1440" w:hanging="720"/>
      </w:pPr>
      <w:rPr>
        <w:rFonts w:hint="default"/>
      </w:rPr>
    </w:lvl>
    <w:lvl w:ilvl="3">
      <w:start w:val="1"/>
      <w:numFmt w:val="decimal"/>
      <w:isLgl/>
      <w:lvlText w:val="%1.%2.%3.%4."/>
      <w:lvlJc w:val="left"/>
      <w:pPr>
        <w:ind w:left="1620" w:hanging="720"/>
      </w:pPr>
      <w:rPr>
        <w:rFonts w:hint="default"/>
      </w:rPr>
    </w:lvl>
    <w:lvl w:ilvl="4">
      <w:start w:val="1"/>
      <w:numFmt w:val="decimal"/>
      <w:isLgl/>
      <w:lvlText w:val="%1.%2.%3.%4.%5."/>
      <w:lvlJc w:val="left"/>
      <w:pPr>
        <w:ind w:left="2160" w:hanging="1080"/>
      </w:pPr>
      <w:rPr>
        <w:rFonts w:hint="default"/>
      </w:rPr>
    </w:lvl>
    <w:lvl w:ilvl="5">
      <w:start w:val="1"/>
      <w:numFmt w:val="decimal"/>
      <w:isLgl/>
      <w:lvlText w:val="%1.%2.%3.%4.%5.%6."/>
      <w:lvlJc w:val="left"/>
      <w:pPr>
        <w:ind w:left="2340" w:hanging="1080"/>
      </w:pPr>
      <w:rPr>
        <w:rFonts w:hint="default"/>
      </w:rPr>
    </w:lvl>
    <w:lvl w:ilvl="6">
      <w:start w:val="1"/>
      <w:numFmt w:val="decimal"/>
      <w:isLgl/>
      <w:lvlText w:val="%1.%2.%3.%4.%5.%6.%7."/>
      <w:lvlJc w:val="left"/>
      <w:pPr>
        <w:ind w:left="2880" w:hanging="1440"/>
      </w:pPr>
      <w:rPr>
        <w:rFonts w:hint="default"/>
      </w:rPr>
    </w:lvl>
    <w:lvl w:ilvl="7">
      <w:start w:val="1"/>
      <w:numFmt w:val="decimal"/>
      <w:isLgl/>
      <w:lvlText w:val="%1.%2.%3.%4.%5.%6.%7.%8."/>
      <w:lvlJc w:val="left"/>
      <w:pPr>
        <w:ind w:left="3060" w:hanging="1440"/>
      </w:pPr>
      <w:rPr>
        <w:rFonts w:hint="default"/>
      </w:rPr>
    </w:lvl>
    <w:lvl w:ilvl="8">
      <w:start w:val="1"/>
      <w:numFmt w:val="decimal"/>
      <w:isLgl/>
      <w:lvlText w:val="%1.%2.%3.%4.%5.%6.%7.%8.%9."/>
      <w:lvlJc w:val="left"/>
      <w:pPr>
        <w:ind w:left="3600" w:hanging="1800"/>
      </w:pPr>
      <w:rPr>
        <w:rFonts w:hint="default"/>
      </w:rPr>
    </w:lvl>
  </w:abstractNum>
  <w:abstractNum w:abstractNumId="28" w15:restartNumberingAfterBreak="0">
    <w:nsid w:val="62CE4375"/>
    <w:multiLevelType w:val="hybridMultilevel"/>
    <w:tmpl w:val="62D4ED8A"/>
    <w:lvl w:ilvl="0" w:tplc="48BA7ED8">
      <w:start w:val="8"/>
      <w:numFmt w:val="decimal"/>
      <w:lvlText w:val="%1."/>
      <w:lvlJc w:val="left"/>
      <w:pPr>
        <w:ind w:left="900" w:hanging="360"/>
      </w:pPr>
      <w:rPr>
        <w:rFonts w:hint="default"/>
        <w:b w:val="0"/>
        <w:bCs/>
        <w:i w:val="0"/>
        <w:iCs w:val="0"/>
      </w:rPr>
    </w:lvl>
    <w:lvl w:ilvl="1" w:tplc="041C0019">
      <w:start w:val="1"/>
      <w:numFmt w:val="lowerLetter"/>
      <w:lvlText w:val="%2."/>
      <w:lvlJc w:val="left"/>
      <w:pPr>
        <w:ind w:left="1620" w:hanging="360"/>
      </w:pPr>
    </w:lvl>
    <w:lvl w:ilvl="2" w:tplc="041C001B" w:tentative="1">
      <w:start w:val="1"/>
      <w:numFmt w:val="lowerRoman"/>
      <w:lvlText w:val="%3."/>
      <w:lvlJc w:val="right"/>
      <w:pPr>
        <w:ind w:left="2340" w:hanging="180"/>
      </w:pPr>
    </w:lvl>
    <w:lvl w:ilvl="3" w:tplc="041C000F" w:tentative="1">
      <w:start w:val="1"/>
      <w:numFmt w:val="decimal"/>
      <w:lvlText w:val="%4."/>
      <w:lvlJc w:val="left"/>
      <w:pPr>
        <w:ind w:left="3060" w:hanging="360"/>
      </w:pPr>
    </w:lvl>
    <w:lvl w:ilvl="4" w:tplc="041C0019" w:tentative="1">
      <w:start w:val="1"/>
      <w:numFmt w:val="lowerLetter"/>
      <w:lvlText w:val="%5."/>
      <w:lvlJc w:val="left"/>
      <w:pPr>
        <w:ind w:left="3780" w:hanging="360"/>
      </w:pPr>
    </w:lvl>
    <w:lvl w:ilvl="5" w:tplc="041C001B" w:tentative="1">
      <w:start w:val="1"/>
      <w:numFmt w:val="lowerRoman"/>
      <w:lvlText w:val="%6."/>
      <w:lvlJc w:val="right"/>
      <w:pPr>
        <w:ind w:left="4500" w:hanging="180"/>
      </w:pPr>
    </w:lvl>
    <w:lvl w:ilvl="6" w:tplc="041C000F" w:tentative="1">
      <w:start w:val="1"/>
      <w:numFmt w:val="decimal"/>
      <w:lvlText w:val="%7."/>
      <w:lvlJc w:val="left"/>
      <w:pPr>
        <w:ind w:left="5220" w:hanging="360"/>
      </w:pPr>
    </w:lvl>
    <w:lvl w:ilvl="7" w:tplc="041C0019" w:tentative="1">
      <w:start w:val="1"/>
      <w:numFmt w:val="lowerLetter"/>
      <w:lvlText w:val="%8."/>
      <w:lvlJc w:val="left"/>
      <w:pPr>
        <w:ind w:left="5940" w:hanging="360"/>
      </w:pPr>
    </w:lvl>
    <w:lvl w:ilvl="8" w:tplc="041C001B" w:tentative="1">
      <w:start w:val="1"/>
      <w:numFmt w:val="lowerRoman"/>
      <w:lvlText w:val="%9."/>
      <w:lvlJc w:val="right"/>
      <w:pPr>
        <w:ind w:left="6660" w:hanging="180"/>
      </w:pPr>
    </w:lvl>
  </w:abstractNum>
  <w:abstractNum w:abstractNumId="29" w15:restartNumberingAfterBreak="0">
    <w:nsid w:val="638072DD"/>
    <w:multiLevelType w:val="multilevel"/>
    <w:tmpl w:val="3D5084C0"/>
    <w:lvl w:ilvl="0">
      <w:start w:val="11"/>
      <w:numFmt w:val="decimal"/>
      <w:lvlText w:val="%1."/>
      <w:lvlJc w:val="left"/>
      <w:pPr>
        <w:ind w:left="480" w:hanging="480"/>
      </w:pPr>
      <w:rPr>
        <w:rFonts w:hint="default"/>
        <w:b w:val="0"/>
        <w:bCs w:val="0"/>
        <w:i w:val="0"/>
        <w:iCs w:val="0"/>
        <w:color w:val="auto"/>
      </w:rPr>
    </w:lvl>
    <w:lvl w:ilvl="1">
      <w:start w:val="1"/>
      <w:numFmt w:val="decimal"/>
      <w:lvlText w:val="%1.%2."/>
      <w:lvlJc w:val="left"/>
      <w:pPr>
        <w:ind w:left="1020" w:hanging="480"/>
      </w:pPr>
      <w:rPr>
        <w:rFonts w:hint="default"/>
        <w:i w:val="0"/>
        <w:iCs w:val="0"/>
      </w:rPr>
    </w:lvl>
    <w:lvl w:ilvl="2">
      <w:start w:val="1"/>
      <w:numFmt w:val="decimal"/>
      <w:lvlText w:val="%1.%2.%3."/>
      <w:lvlJc w:val="left"/>
      <w:pPr>
        <w:ind w:left="1800" w:hanging="720"/>
      </w:pPr>
      <w:rPr>
        <w:rFonts w:hint="default"/>
      </w:rPr>
    </w:lvl>
    <w:lvl w:ilvl="3">
      <w:start w:val="1"/>
      <w:numFmt w:val="decimal"/>
      <w:lvlText w:val="%1.%2.%3.%4."/>
      <w:lvlJc w:val="left"/>
      <w:pPr>
        <w:ind w:left="2340" w:hanging="72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3780" w:hanging="1080"/>
      </w:pPr>
      <w:rPr>
        <w:rFonts w:hint="default"/>
      </w:rPr>
    </w:lvl>
    <w:lvl w:ilvl="6">
      <w:start w:val="1"/>
      <w:numFmt w:val="decimal"/>
      <w:lvlText w:val="%1.%2.%3.%4.%5.%6.%7."/>
      <w:lvlJc w:val="left"/>
      <w:pPr>
        <w:ind w:left="4680" w:hanging="1440"/>
      </w:pPr>
      <w:rPr>
        <w:rFonts w:hint="default"/>
      </w:rPr>
    </w:lvl>
    <w:lvl w:ilvl="7">
      <w:start w:val="1"/>
      <w:numFmt w:val="decimal"/>
      <w:lvlText w:val="%1.%2.%3.%4.%5.%6.%7.%8."/>
      <w:lvlJc w:val="left"/>
      <w:pPr>
        <w:ind w:left="5220" w:hanging="1440"/>
      </w:pPr>
      <w:rPr>
        <w:rFonts w:hint="default"/>
      </w:rPr>
    </w:lvl>
    <w:lvl w:ilvl="8">
      <w:start w:val="1"/>
      <w:numFmt w:val="decimal"/>
      <w:lvlText w:val="%1.%2.%3.%4.%5.%6.%7.%8.%9."/>
      <w:lvlJc w:val="left"/>
      <w:pPr>
        <w:ind w:left="6120" w:hanging="1800"/>
      </w:pPr>
      <w:rPr>
        <w:rFonts w:hint="default"/>
      </w:rPr>
    </w:lvl>
  </w:abstractNum>
  <w:abstractNum w:abstractNumId="30" w15:restartNumberingAfterBreak="0">
    <w:nsid w:val="63BC638E"/>
    <w:multiLevelType w:val="hybridMultilevel"/>
    <w:tmpl w:val="62FA7B6C"/>
    <w:lvl w:ilvl="0" w:tplc="3C502770">
      <w:start w:val="1"/>
      <w:numFmt w:val="upperRoman"/>
      <w:lvlText w:val="%1."/>
      <w:lvlJc w:val="left"/>
      <w:pPr>
        <w:ind w:left="1260" w:hanging="720"/>
      </w:pPr>
      <w:rPr>
        <w:rFonts w:hint="default"/>
        <w:b/>
        <w:bCs/>
        <w:color w:val="auto"/>
      </w:rPr>
    </w:lvl>
    <w:lvl w:ilvl="1" w:tplc="04090019">
      <w:start w:val="1"/>
      <w:numFmt w:val="lowerLetter"/>
      <w:lvlText w:val="%2."/>
      <w:lvlJc w:val="left"/>
      <w:pPr>
        <w:ind w:left="1620" w:hanging="360"/>
      </w:pPr>
    </w:lvl>
    <w:lvl w:ilvl="2" w:tplc="0409001B" w:tentative="1">
      <w:start w:val="1"/>
      <w:numFmt w:val="lowerRoman"/>
      <w:lvlText w:val="%3."/>
      <w:lvlJc w:val="right"/>
      <w:pPr>
        <w:ind w:left="2340" w:hanging="180"/>
      </w:pPr>
    </w:lvl>
    <w:lvl w:ilvl="3" w:tplc="0409000F" w:tentative="1">
      <w:start w:val="1"/>
      <w:numFmt w:val="decimal"/>
      <w:lvlText w:val="%4."/>
      <w:lvlJc w:val="left"/>
      <w:pPr>
        <w:ind w:left="3060" w:hanging="360"/>
      </w:pPr>
    </w:lvl>
    <w:lvl w:ilvl="4" w:tplc="04090019" w:tentative="1">
      <w:start w:val="1"/>
      <w:numFmt w:val="lowerLetter"/>
      <w:lvlText w:val="%5."/>
      <w:lvlJc w:val="left"/>
      <w:pPr>
        <w:ind w:left="3780" w:hanging="360"/>
      </w:pPr>
    </w:lvl>
    <w:lvl w:ilvl="5" w:tplc="0409001B" w:tentative="1">
      <w:start w:val="1"/>
      <w:numFmt w:val="lowerRoman"/>
      <w:lvlText w:val="%6."/>
      <w:lvlJc w:val="right"/>
      <w:pPr>
        <w:ind w:left="4500" w:hanging="180"/>
      </w:pPr>
    </w:lvl>
    <w:lvl w:ilvl="6" w:tplc="0409000F" w:tentative="1">
      <w:start w:val="1"/>
      <w:numFmt w:val="decimal"/>
      <w:lvlText w:val="%7."/>
      <w:lvlJc w:val="left"/>
      <w:pPr>
        <w:ind w:left="5220" w:hanging="360"/>
      </w:pPr>
    </w:lvl>
    <w:lvl w:ilvl="7" w:tplc="04090019" w:tentative="1">
      <w:start w:val="1"/>
      <w:numFmt w:val="lowerLetter"/>
      <w:lvlText w:val="%8."/>
      <w:lvlJc w:val="left"/>
      <w:pPr>
        <w:ind w:left="5940" w:hanging="360"/>
      </w:pPr>
    </w:lvl>
    <w:lvl w:ilvl="8" w:tplc="0409001B" w:tentative="1">
      <w:start w:val="1"/>
      <w:numFmt w:val="lowerRoman"/>
      <w:lvlText w:val="%9."/>
      <w:lvlJc w:val="right"/>
      <w:pPr>
        <w:ind w:left="6660" w:hanging="180"/>
      </w:pPr>
    </w:lvl>
  </w:abstractNum>
  <w:abstractNum w:abstractNumId="31" w15:restartNumberingAfterBreak="0">
    <w:nsid w:val="697505E7"/>
    <w:multiLevelType w:val="hybridMultilevel"/>
    <w:tmpl w:val="23FE4022"/>
    <w:lvl w:ilvl="0" w:tplc="43E065C0">
      <w:start w:val="23"/>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69AB03F9"/>
    <w:multiLevelType w:val="multilevel"/>
    <w:tmpl w:val="5A748DB6"/>
    <w:lvl w:ilvl="0">
      <w:start w:val="1"/>
      <w:numFmt w:val="decimal"/>
      <w:lvlText w:val="%1."/>
      <w:lvlJc w:val="left"/>
      <w:pPr>
        <w:ind w:left="720" w:hanging="360"/>
      </w:pPr>
      <w:rPr>
        <w:rFonts w:hint="default"/>
        <w:b w:val="0"/>
        <w:bCs w:val="0"/>
        <w:i w:val="0"/>
        <w:iCs w:val="0"/>
      </w:rPr>
    </w:lvl>
    <w:lvl w:ilvl="1">
      <w:start w:val="1"/>
      <w:numFmt w:val="decimal"/>
      <w:isLgl/>
      <w:lvlText w:val="%1.%2."/>
      <w:lvlJc w:val="left"/>
      <w:pPr>
        <w:ind w:left="1080" w:hanging="720"/>
      </w:pPr>
      <w:rPr>
        <w:rFonts w:hint="default"/>
        <w:b w:val="0"/>
        <w:bCs w:val="0"/>
        <w:i w:val="0"/>
        <w:iCs w:val="0"/>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33" w15:restartNumberingAfterBreak="0">
    <w:nsid w:val="69D14E1D"/>
    <w:multiLevelType w:val="multilevel"/>
    <w:tmpl w:val="A5CC2566"/>
    <w:lvl w:ilvl="0">
      <w:start w:val="1"/>
      <w:numFmt w:val="decimal"/>
      <w:lvlText w:val="%1."/>
      <w:lvlJc w:val="left"/>
      <w:pPr>
        <w:ind w:left="720" w:hanging="360"/>
      </w:pPr>
      <w:rPr>
        <w:rFonts w:hint="default"/>
        <w:b/>
        <w:bCs/>
        <w:i w:val="0"/>
        <w:iCs/>
        <w:color w:val="auto"/>
      </w:rPr>
    </w:lvl>
    <w:lvl w:ilvl="1">
      <w:start w:val="1"/>
      <w:numFmt w:val="decimal"/>
      <w:isLgl/>
      <w:lvlText w:val="%1.%2."/>
      <w:lvlJc w:val="left"/>
      <w:pPr>
        <w:ind w:left="1890" w:hanging="360"/>
      </w:pPr>
      <w:rPr>
        <w:rFonts w:hint="default"/>
        <w:b/>
        <w:bCs/>
        <w:i w:val="0"/>
        <w:iCs w:val="0"/>
        <w:color w:val="auto"/>
      </w:rPr>
    </w:lvl>
    <w:lvl w:ilvl="2">
      <w:start w:val="1"/>
      <w:numFmt w:val="decimal"/>
      <w:isLgl/>
      <w:lvlText w:val="%1.%2.%3."/>
      <w:lvlJc w:val="left"/>
      <w:pPr>
        <w:ind w:left="1440" w:hanging="720"/>
      </w:pPr>
      <w:rPr>
        <w:rFonts w:hint="default"/>
      </w:rPr>
    </w:lvl>
    <w:lvl w:ilvl="3">
      <w:start w:val="1"/>
      <w:numFmt w:val="decimal"/>
      <w:isLgl/>
      <w:lvlText w:val="%1.%2.%3.%4."/>
      <w:lvlJc w:val="left"/>
      <w:pPr>
        <w:ind w:left="1620" w:hanging="720"/>
      </w:pPr>
      <w:rPr>
        <w:rFonts w:hint="default"/>
      </w:rPr>
    </w:lvl>
    <w:lvl w:ilvl="4">
      <w:start w:val="1"/>
      <w:numFmt w:val="decimal"/>
      <w:isLgl/>
      <w:lvlText w:val="%1.%2.%3.%4.%5."/>
      <w:lvlJc w:val="left"/>
      <w:pPr>
        <w:ind w:left="2160" w:hanging="1080"/>
      </w:pPr>
      <w:rPr>
        <w:rFonts w:hint="default"/>
      </w:rPr>
    </w:lvl>
    <w:lvl w:ilvl="5">
      <w:start w:val="1"/>
      <w:numFmt w:val="decimal"/>
      <w:isLgl/>
      <w:lvlText w:val="%1.%2.%3.%4.%5.%6."/>
      <w:lvlJc w:val="left"/>
      <w:pPr>
        <w:ind w:left="2340" w:hanging="1080"/>
      </w:pPr>
      <w:rPr>
        <w:rFonts w:hint="default"/>
      </w:rPr>
    </w:lvl>
    <w:lvl w:ilvl="6">
      <w:start w:val="1"/>
      <w:numFmt w:val="decimal"/>
      <w:isLgl/>
      <w:lvlText w:val="%1.%2.%3.%4.%5.%6.%7."/>
      <w:lvlJc w:val="left"/>
      <w:pPr>
        <w:ind w:left="2880" w:hanging="1440"/>
      </w:pPr>
      <w:rPr>
        <w:rFonts w:hint="default"/>
      </w:rPr>
    </w:lvl>
    <w:lvl w:ilvl="7">
      <w:start w:val="1"/>
      <w:numFmt w:val="decimal"/>
      <w:isLgl/>
      <w:lvlText w:val="%1.%2.%3.%4.%5.%6.%7.%8."/>
      <w:lvlJc w:val="left"/>
      <w:pPr>
        <w:ind w:left="3060" w:hanging="1440"/>
      </w:pPr>
      <w:rPr>
        <w:rFonts w:hint="default"/>
      </w:rPr>
    </w:lvl>
    <w:lvl w:ilvl="8">
      <w:start w:val="1"/>
      <w:numFmt w:val="decimal"/>
      <w:isLgl/>
      <w:lvlText w:val="%1.%2.%3.%4.%5.%6.%7.%8.%9."/>
      <w:lvlJc w:val="left"/>
      <w:pPr>
        <w:ind w:left="3600" w:hanging="1800"/>
      </w:pPr>
      <w:rPr>
        <w:rFonts w:hint="default"/>
      </w:rPr>
    </w:lvl>
  </w:abstractNum>
  <w:abstractNum w:abstractNumId="34" w15:restartNumberingAfterBreak="0">
    <w:nsid w:val="6E520B0A"/>
    <w:multiLevelType w:val="multilevel"/>
    <w:tmpl w:val="213A0F20"/>
    <w:lvl w:ilvl="0">
      <w:start w:val="8"/>
      <w:numFmt w:val="decimal"/>
      <w:lvlText w:val="%1."/>
      <w:lvlJc w:val="left"/>
      <w:pPr>
        <w:ind w:left="5310" w:hanging="360"/>
      </w:pPr>
      <w:rPr>
        <w:rFonts w:hint="default"/>
        <w:b w:val="0"/>
        <w:bCs/>
        <w:i w:val="0"/>
        <w:u w:val="none"/>
      </w:rPr>
    </w:lvl>
    <w:lvl w:ilvl="1">
      <w:start w:val="1"/>
      <w:numFmt w:val="decimal"/>
      <w:lvlText w:val="%1.%2."/>
      <w:lvlJc w:val="left"/>
      <w:pPr>
        <w:ind w:left="360" w:hanging="360"/>
      </w:pPr>
      <w:rPr>
        <w:rFonts w:hint="default"/>
        <w:b w:val="0"/>
        <w:bCs w:val="0"/>
        <w:i w:val="0"/>
        <w:u w:val="none"/>
      </w:rPr>
    </w:lvl>
    <w:lvl w:ilvl="2">
      <w:start w:val="1"/>
      <w:numFmt w:val="decimal"/>
      <w:lvlText w:val="%1.%2.%3."/>
      <w:lvlJc w:val="left"/>
      <w:pPr>
        <w:ind w:left="720" w:hanging="720"/>
      </w:pPr>
      <w:rPr>
        <w:rFonts w:hint="default"/>
        <w:b/>
        <w:i w:val="0"/>
        <w:u w:val="none"/>
      </w:rPr>
    </w:lvl>
    <w:lvl w:ilvl="3">
      <w:start w:val="1"/>
      <w:numFmt w:val="decimal"/>
      <w:lvlText w:val="%1.%2.%3.%4."/>
      <w:lvlJc w:val="left"/>
      <w:pPr>
        <w:ind w:left="720" w:hanging="720"/>
      </w:pPr>
      <w:rPr>
        <w:rFonts w:hint="default"/>
        <w:b/>
        <w:i w:val="0"/>
        <w:u w:val="none"/>
      </w:rPr>
    </w:lvl>
    <w:lvl w:ilvl="4">
      <w:start w:val="1"/>
      <w:numFmt w:val="decimal"/>
      <w:lvlText w:val="%1.%2.%3.%4.%5."/>
      <w:lvlJc w:val="left"/>
      <w:pPr>
        <w:ind w:left="1080" w:hanging="1080"/>
      </w:pPr>
      <w:rPr>
        <w:rFonts w:hint="default"/>
        <w:b/>
        <w:i w:val="0"/>
        <w:u w:val="none"/>
      </w:rPr>
    </w:lvl>
    <w:lvl w:ilvl="5">
      <w:start w:val="1"/>
      <w:numFmt w:val="decimal"/>
      <w:lvlText w:val="%1.%2.%3.%4.%5.%6."/>
      <w:lvlJc w:val="left"/>
      <w:pPr>
        <w:ind w:left="1080" w:hanging="1080"/>
      </w:pPr>
      <w:rPr>
        <w:rFonts w:hint="default"/>
        <w:b/>
        <w:i w:val="0"/>
        <w:u w:val="none"/>
      </w:rPr>
    </w:lvl>
    <w:lvl w:ilvl="6">
      <w:start w:val="1"/>
      <w:numFmt w:val="decimal"/>
      <w:lvlText w:val="%1.%2.%3.%4.%5.%6.%7."/>
      <w:lvlJc w:val="left"/>
      <w:pPr>
        <w:ind w:left="1440" w:hanging="1440"/>
      </w:pPr>
      <w:rPr>
        <w:rFonts w:hint="default"/>
        <w:b/>
        <w:i w:val="0"/>
        <w:u w:val="none"/>
      </w:rPr>
    </w:lvl>
    <w:lvl w:ilvl="7">
      <w:start w:val="1"/>
      <w:numFmt w:val="decimal"/>
      <w:lvlText w:val="%1.%2.%3.%4.%5.%6.%7.%8."/>
      <w:lvlJc w:val="left"/>
      <w:pPr>
        <w:ind w:left="1440" w:hanging="1440"/>
      </w:pPr>
      <w:rPr>
        <w:rFonts w:hint="default"/>
        <w:b/>
        <w:i w:val="0"/>
        <w:u w:val="none"/>
      </w:rPr>
    </w:lvl>
    <w:lvl w:ilvl="8">
      <w:start w:val="1"/>
      <w:numFmt w:val="decimal"/>
      <w:lvlText w:val="%1.%2.%3.%4.%5.%6.%7.%8.%9."/>
      <w:lvlJc w:val="left"/>
      <w:pPr>
        <w:ind w:left="1800" w:hanging="1800"/>
      </w:pPr>
      <w:rPr>
        <w:rFonts w:hint="default"/>
        <w:b/>
        <w:i w:val="0"/>
        <w:u w:val="none"/>
      </w:rPr>
    </w:lvl>
  </w:abstractNum>
  <w:abstractNum w:abstractNumId="35" w15:restartNumberingAfterBreak="0">
    <w:nsid w:val="6E7D126D"/>
    <w:multiLevelType w:val="multilevel"/>
    <w:tmpl w:val="21202AD8"/>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6" w15:restartNumberingAfterBreak="0">
    <w:nsid w:val="714D6055"/>
    <w:multiLevelType w:val="multilevel"/>
    <w:tmpl w:val="AA80694E"/>
    <w:lvl w:ilvl="0">
      <w:start w:val="23"/>
      <w:numFmt w:val="bullet"/>
      <w:lvlText w:val="-"/>
      <w:lvlJc w:val="left"/>
      <w:pPr>
        <w:tabs>
          <w:tab w:val="num" w:pos="720"/>
        </w:tabs>
        <w:ind w:left="720" w:hanging="360"/>
      </w:pPr>
      <w:rPr>
        <w:rFonts w:ascii="Times New Roman" w:eastAsiaTheme="minorHAnsi" w:hAnsi="Times New Roman" w:cs="Times New Roman"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 w15:restartNumberingAfterBreak="0">
    <w:nsid w:val="71E9569B"/>
    <w:multiLevelType w:val="hybridMultilevel"/>
    <w:tmpl w:val="29AC2342"/>
    <w:lvl w:ilvl="0" w:tplc="43E065C0">
      <w:start w:val="23"/>
      <w:numFmt w:val="bullet"/>
      <w:lvlText w:val="-"/>
      <w:lvlJc w:val="left"/>
      <w:pPr>
        <w:ind w:left="1260" w:hanging="360"/>
      </w:pPr>
      <w:rPr>
        <w:rFonts w:ascii="Times New Roman" w:eastAsiaTheme="minorHAnsi" w:hAnsi="Times New Roman" w:cs="Times New Roman" w:hint="default"/>
      </w:rPr>
    </w:lvl>
    <w:lvl w:ilvl="1" w:tplc="04090003" w:tentative="1">
      <w:start w:val="1"/>
      <w:numFmt w:val="bullet"/>
      <w:lvlText w:val="o"/>
      <w:lvlJc w:val="left"/>
      <w:pPr>
        <w:ind w:left="1980" w:hanging="360"/>
      </w:pPr>
      <w:rPr>
        <w:rFonts w:ascii="Courier New" w:hAnsi="Courier New" w:cs="Courier New" w:hint="default"/>
      </w:rPr>
    </w:lvl>
    <w:lvl w:ilvl="2" w:tplc="04090005" w:tentative="1">
      <w:start w:val="1"/>
      <w:numFmt w:val="bullet"/>
      <w:lvlText w:val=""/>
      <w:lvlJc w:val="left"/>
      <w:pPr>
        <w:ind w:left="2700" w:hanging="360"/>
      </w:pPr>
      <w:rPr>
        <w:rFonts w:ascii="Wingdings" w:hAnsi="Wingdings" w:hint="default"/>
      </w:rPr>
    </w:lvl>
    <w:lvl w:ilvl="3" w:tplc="04090001" w:tentative="1">
      <w:start w:val="1"/>
      <w:numFmt w:val="bullet"/>
      <w:lvlText w:val=""/>
      <w:lvlJc w:val="left"/>
      <w:pPr>
        <w:ind w:left="3420" w:hanging="360"/>
      </w:pPr>
      <w:rPr>
        <w:rFonts w:ascii="Symbol" w:hAnsi="Symbol" w:hint="default"/>
      </w:rPr>
    </w:lvl>
    <w:lvl w:ilvl="4" w:tplc="04090003" w:tentative="1">
      <w:start w:val="1"/>
      <w:numFmt w:val="bullet"/>
      <w:lvlText w:val="o"/>
      <w:lvlJc w:val="left"/>
      <w:pPr>
        <w:ind w:left="4140" w:hanging="360"/>
      </w:pPr>
      <w:rPr>
        <w:rFonts w:ascii="Courier New" w:hAnsi="Courier New" w:cs="Courier New" w:hint="default"/>
      </w:rPr>
    </w:lvl>
    <w:lvl w:ilvl="5" w:tplc="04090005" w:tentative="1">
      <w:start w:val="1"/>
      <w:numFmt w:val="bullet"/>
      <w:lvlText w:val=""/>
      <w:lvlJc w:val="left"/>
      <w:pPr>
        <w:ind w:left="4860" w:hanging="360"/>
      </w:pPr>
      <w:rPr>
        <w:rFonts w:ascii="Wingdings" w:hAnsi="Wingdings" w:hint="default"/>
      </w:rPr>
    </w:lvl>
    <w:lvl w:ilvl="6" w:tplc="04090001" w:tentative="1">
      <w:start w:val="1"/>
      <w:numFmt w:val="bullet"/>
      <w:lvlText w:val=""/>
      <w:lvlJc w:val="left"/>
      <w:pPr>
        <w:ind w:left="5580" w:hanging="360"/>
      </w:pPr>
      <w:rPr>
        <w:rFonts w:ascii="Symbol" w:hAnsi="Symbol" w:hint="default"/>
      </w:rPr>
    </w:lvl>
    <w:lvl w:ilvl="7" w:tplc="04090003" w:tentative="1">
      <w:start w:val="1"/>
      <w:numFmt w:val="bullet"/>
      <w:lvlText w:val="o"/>
      <w:lvlJc w:val="left"/>
      <w:pPr>
        <w:ind w:left="6300" w:hanging="360"/>
      </w:pPr>
      <w:rPr>
        <w:rFonts w:ascii="Courier New" w:hAnsi="Courier New" w:cs="Courier New" w:hint="default"/>
      </w:rPr>
    </w:lvl>
    <w:lvl w:ilvl="8" w:tplc="04090005" w:tentative="1">
      <w:start w:val="1"/>
      <w:numFmt w:val="bullet"/>
      <w:lvlText w:val=""/>
      <w:lvlJc w:val="left"/>
      <w:pPr>
        <w:ind w:left="7020" w:hanging="360"/>
      </w:pPr>
      <w:rPr>
        <w:rFonts w:ascii="Wingdings" w:hAnsi="Wingdings" w:hint="default"/>
      </w:rPr>
    </w:lvl>
  </w:abstractNum>
  <w:abstractNum w:abstractNumId="38" w15:restartNumberingAfterBreak="0">
    <w:nsid w:val="721720D9"/>
    <w:multiLevelType w:val="multilevel"/>
    <w:tmpl w:val="A0789826"/>
    <w:lvl w:ilvl="0">
      <w:start w:val="3"/>
      <w:numFmt w:val="decimal"/>
      <w:lvlText w:val="%1."/>
      <w:lvlJc w:val="left"/>
      <w:pPr>
        <w:ind w:left="360" w:hanging="360"/>
      </w:pPr>
      <w:rPr>
        <w:rFonts w:hint="default"/>
        <w:b/>
        <w:i w:val="0"/>
      </w:rPr>
    </w:lvl>
    <w:lvl w:ilvl="1">
      <w:start w:val="1"/>
      <w:numFmt w:val="decimal"/>
      <w:lvlText w:val="%1.%2."/>
      <w:lvlJc w:val="left"/>
      <w:pPr>
        <w:ind w:left="360" w:hanging="360"/>
      </w:pPr>
      <w:rPr>
        <w:rFonts w:hint="default"/>
        <w:b/>
        <w:i w:val="0"/>
      </w:rPr>
    </w:lvl>
    <w:lvl w:ilvl="2">
      <w:start w:val="1"/>
      <w:numFmt w:val="decimal"/>
      <w:lvlText w:val="%1.%2.%3."/>
      <w:lvlJc w:val="left"/>
      <w:pPr>
        <w:ind w:left="720" w:hanging="720"/>
      </w:pPr>
      <w:rPr>
        <w:rFonts w:hint="default"/>
        <w:b/>
        <w:i w:val="0"/>
      </w:rPr>
    </w:lvl>
    <w:lvl w:ilvl="3">
      <w:start w:val="1"/>
      <w:numFmt w:val="decimal"/>
      <w:lvlText w:val="%1.%2.%3.%4."/>
      <w:lvlJc w:val="left"/>
      <w:pPr>
        <w:ind w:left="720" w:hanging="720"/>
      </w:pPr>
      <w:rPr>
        <w:rFonts w:hint="default"/>
        <w:b/>
        <w:i w:val="0"/>
      </w:rPr>
    </w:lvl>
    <w:lvl w:ilvl="4">
      <w:start w:val="1"/>
      <w:numFmt w:val="decimal"/>
      <w:lvlText w:val="%1.%2.%3.%4.%5."/>
      <w:lvlJc w:val="left"/>
      <w:pPr>
        <w:ind w:left="1080" w:hanging="1080"/>
      </w:pPr>
      <w:rPr>
        <w:rFonts w:hint="default"/>
        <w:b/>
        <w:i w:val="0"/>
      </w:rPr>
    </w:lvl>
    <w:lvl w:ilvl="5">
      <w:start w:val="1"/>
      <w:numFmt w:val="decimal"/>
      <w:lvlText w:val="%1.%2.%3.%4.%5.%6."/>
      <w:lvlJc w:val="left"/>
      <w:pPr>
        <w:ind w:left="1080" w:hanging="1080"/>
      </w:pPr>
      <w:rPr>
        <w:rFonts w:hint="default"/>
        <w:b/>
        <w:i w:val="0"/>
      </w:rPr>
    </w:lvl>
    <w:lvl w:ilvl="6">
      <w:start w:val="1"/>
      <w:numFmt w:val="decimal"/>
      <w:lvlText w:val="%1.%2.%3.%4.%5.%6.%7."/>
      <w:lvlJc w:val="left"/>
      <w:pPr>
        <w:ind w:left="1440" w:hanging="1440"/>
      </w:pPr>
      <w:rPr>
        <w:rFonts w:hint="default"/>
        <w:b/>
        <w:i w:val="0"/>
      </w:rPr>
    </w:lvl>
    <w:lvl w:ilvl="7">
      <w:start w:val="1"/>
      <w:numFmt w:val="decimal"/>
      <w:lvlText w:val="%1.%2.%3.%4.%5.%6.%7.%8."/>
      <w:lvlJc w:val="left"/>
      <w:pPr>
        <w:ind w:left="1440" w:hanging="1440"/>
      </w:pPr>
      <w:rPr>
        <w:rFonts w:hint="default"/>
        <w:b/>
        <w:i w:val="0"/>
      </w:rPr>
    </w:lvl>
    <w:lvl w:ilvl="8">
      <w:start w:val="1"/>
      <w:numFmt w:val="decimal"/>
      <w:lvlText w:val="%1.%2.%3.%4.%5.%6.%7.%8.%9."/>
      <w:lvlJc w:val="left"/>
      <w:pPr>
        <w:ind w:left="1800" w:hanging="1800"/>
      </w:pPr>
      <w:rPr>
        <w:rFonts w:hint="default"/>
        <w:b/>
        <w:i w:val="0"/>
      </w:rPr>
    </w:lvl>
  </w:abstractNum>
  <w:abstractNum w:abstractNumId="39" w15:restartNumberingAfterBreak="0">
    <w:nsid w:val="75F8013C"/>
    <w:multiLevelType w:val="hybridMultilevel"/>
    <w:tmpl w:val="301E5D14"/>
    <w:lvl w:ilvl="0" w:tplc="378E9396">
      <w:start w:val="1"/>
      <w:numFmt w:val="bullet"/>
      <w:lvlText w:val="-"/>
      <w:lvlJc w:val="left"/>
      <w:pPr>
        <w:ind w:left="900" w:hanging="360"/>
      </w:pPr>
      <w:rPr>
        <w:rFonts w:ascii="Verdana" w:hAnsi="Verdana" w:hint="default"/>
      </w:rPr>
    </w:lvl>
    <w:lvl w:ilvl="1" w:tplc="041C0003" w:tentative="1">
      <w:start w:val="1"/>
      <w:numFmt w:val="bullet"/>
      <w:lvlText w:val="o"/>
      <w:lvlJc w:val="left"/>
      <w:pPr>
        <w:ind w:left="1620" w:hanging="360"/>
      </w:pPr>
      <w:rPr>
        <w:rFonts w:ascii="Courier New" w:hAnsi="Courier New" w:cs="Courier New" w:hint="default"/>
      </w:rPr>
    </w:lvl>
    <w:lvl w:ilvl="2" w:tplc="041C0005" w:tentative="1">
      <w:start w:val="1"/>
      <w:numFmt w:val="bullet"/>
      <w:lvlText w:val=""/>
      <w:lvlJc w:val="left"/>
      <w:pPr>
        <w:ind w:left="2340" w:hanging="360"/>
      </w:pPr>
      <w:rPr>
        <w:rFonts w:ascii="Wingdings" w:hAnsi="Wingdings" w:hint="default"/>
      </w:rPr>
    </w:lvl>
    <w:lvl w:ilvl="3" w:tplc="041C0001" w:tentative="1">
      <w:start w:val="1"/>
      <w:numFmt w:val="bullet"/>
      <w:lvlText w:val=""/>
      <w:lvlJc w:val="left"/>
      <w:pPr>
        <w:ind w:left="3060" w:hanging="360"/>
      </w:pPr>
      <w:rPr>
        <w:rFonts w:ascii="Symbol" w:hAnsi="Symbol" w:hint="default"/>
      </w:rPr>
    </w:lvl>
    <w:lvl w:ilvl="4" w:tplc="041C0003" w:tentative="1">
      <w:start w:val="1"/>
      <w:numFmt w:val="bullet"/>
      <w:lvlText w:val="o"/>
      <w:lvlJc w:val="left"/>
      <w:pPr>
        <w:ind w:left="3780" w:hanging="360"/>
      </w:pPr>
      <w:rPr>
        <w:rFonts w:ascii="Courier New" w:hAnsi="Courier New" w:cs="Courier New" w:hint="default"/>
      </w:rPr>
    </w:lvl>
    <w:lvl w:ilvl="5" w:tplc="041C0005" w:tentative="1">
      <w:start w:val="1"/>
      <w:numFmt w:val="bullet"/>
      <w:lvlText w:val=""/>
      <w:lvlJc w:val="left"/>
      <w:pPr>
        <w:ind w:left="4500" w:hanging="360"/>
      </w:pPr>
      <w:rPr>
        <w:rFonts w:ascii="Wingdings" w:hAnsi="Wingdings" w:hint="default"/>
      </w:rPr>
    </w:lvl>
    <w:lvl w:ilvl="6" w:tplc="041C0001" w:tentative="1">
      <w:start w:val="1"/>
      <w:numFmt w:val="bullet"/>
      <w:lvlText w:val=""/>
      <w:lvlJc w:val="left"/>
      <w:pPr>
        <w:ind w:left="5220" w:hanging="360"/>
      </w:pPr>
      <w:rPr>
        <w:rFonts w:ascii="Symbol" w:hAnsi="Symbol" w:hint="default"/>
      </w:rPr>
    </w:lvl>
    <w:lvl w:ilvl="7" w:tplc="041C0003" w:tentative="1">
      <w:start w:val="1"/>
      <w:numFmt w:val="bullet"/>
      <w:lvlText w:val="o"/>
      <w:lvlJc w:val="left"/>
      <w:pPr>
        <w:ind w:left="5940" w:hanging="360"/>
      </w:pPr>
      <w:rPr>
        <w:rFonts w:ascii="Courier New" w:hAnsi="Courier New" w:cs="Courier New" w:hint="default"/>
      </w:rPr>
    </w:lvl>
    <w:lvl w:ilvl="8" w:tplc="041C0005" w:tentative="1">
      <w:start w:val="1"/>
      <w:numFmt w:val="bullet"/>
      <w:lvlText w:val=""/>
      <w:lvlJc w:val="left"/>
      <w:pPr>
        <w:ind w:left="6660" w:hanging="360"/>
      </w:pPr>
      <w:rPr>
        <w:rFonts w:ascii="Wingdings" w:hAnsi="Wingdings" w:hint="default"/>
      </w:rPr>
    </w:lvl>
  </w:abstractNum>
  <w:abstractNum w:abstractNumId="40" w15:restartNumberingAfterBreak="0">
    <w:nsid w:val="78BB5F16"/>
    <w:multiLevelType w:val="hybridMultilevel"/>
    <w:tmpl w:val="3AF40DBC"/>
    <w:lvl w:ilvl="0" w:tplc="378E9396">
      <w:start w:val="1"/>
      <w:numFmt w:val="bullet"/>
      <w:lvlText w:val="-"/>
      <w:lvlJc w:val="left"/>
      <w:pPr>
        <w:ind w:left="720" w:hanging="360"/>
      </w:pPr>
      <w:rPr>
        <w:rFonts w:ascii="Verdana" w:hAnsi="Verdana" w:hint="default"/>
      </w:rPr>
    </w:lvl>
    <w:lvl w:ilvl="1" w:tplc="041C0003" w:tentative="1">
      <w:start w:val="1"/>
      <w:numFmt w:val="bullet"/>
      <w:lvlText w:val="o"/>
      <w:lvlJc w:val="left"/>
      <w:pPr>
        <w:ind w:left="1440" w:hanging="360"/>
      </w:pPr>
      <w:rPr>
        <w:rFonts w:ascii="Courier New" w:hAnsi="Courier New" w:cs="Courier New" w:hint="default"/>
      </w:rPr>
    </w:lvl>
    <w:lvl w:ilvl="2" w:tplc="041C0005" w:tentative="1">
      <w:start w:val="1"/>
      <w:numFmt w:val="bullet"/>
      <w:lvlText w:val=""/>
      <w:lvlJc w:val="left"/>
      <w:pPr>
        <w:ind w:left="2160" w:hanging="360"/>
      </w:pPr>
      <w:rPr>
        <w:rFonts w:ascii="Wingdings" w:hAnsi="Wingdings" w:hint="default"/>
      </w:rPr>
    </w:lvl>
    <w:lvl w:ilvl="3" w:tplc="041C0001" w:tentative="1">
      <w:start w:val="1"/>
      <w:numFmt w:val="bullet"/>
      <w:lvlText w:val=""/>
      <w:lvlJc w:val="left"/>
      <w:pPr>
        <w:ind w:left="2880" w:hanging="360"/>
      </w:pPr>
      <w:rPr>
        <w:rFonts w:ascii="Symbol" w:hAnsi="Symbol" w:hint="default"/>
      </w:rPr>
    </w:lvl>
    <w:lvl w:ilvl="4" w:tplc="041C0003" w:tentative="1">
      <w:start w:val="1"/>
      <w:numFmt w:val="bullet"/>
      <w:lvlText w:val="o"/>
      <w:lvlJc w:val="left"/>
      <w:pPr>
        <w:ind w:left="3600" w:hanging="360"/>
      </w:pPr>
      <w:rPr>
        <w:rFonts w:ascii="Courier New" w:hAnsi="Courier New" w:cs="Courier New" w:hint="default"/>
      </w:rPr>
    </w:lvl>
    <w:lvl w:ilvl="5" w:tplc="041C0005" w:tentative="1">
      <w:start w:val="1"/>
      <w:numFmt w:val="bullet"/>
      <w:lvlText w:val=""/>
      <w:lvlJc w:val="left"/>
      <w:pPr>
        <w:ind w:left="4320" w:hanging="360"/>
      </w:pPr>
      <w:rPr>
        <w:rFonts w:ascii="Wingdings" w:hAnsi="Wingdings" w:hint="default"/>
      </w:rPr>
    </w:lvl>
    <w:lvl w:ilvl="6" w:tplc="041C0001" w:tentative="1">
      <w:start w:val="1"/>
      <w:numFmt w:val="bullet"/>
      <w:lvlText w:val=""/>
      <w:lvlJc w:val="left"/>
      <w:pPr>
        <w:ind w:left="5040" w:hanging="360"/>
      </w:pPr>
      <w:rPr>
        <w:rFonts w:ascii="Symbol" w:hAnsi="Symbol" w:hint="default"/>
      </w:rPr>
    </w:lvl>
    <w:lvl w:ilvl="7" w:tplc="041C0003" w:tentative="1">
      <w:start w:val="1"/>
      <w:numFmt w:val="bullet"/>
      <w:lvlText w:val="o"/>
      <w:lvlJc w:val="left"/>
      <w:pPr>
        <w:ind w:left="5760" w:hanging="360"/>
      </w:pPr>
      <w:rPr>
        <w:rFonts w:ascii="Courier New" w:hAnsi="Courier New" w:cs="Courier New" w:hint="default"/>
      </w:rPr>
    </w:lvl>
    <w:lvl w:ilvl="8" w:tplc="041C0005" w:tentative="1">
      <w:start w:val="1"/>
      <w:numFmt w:val="bullet"/>
      <w:lvlText w:val=""/>
      <w:lvlJc w:val="left"/>
      <w:pPr>
        <w:ind w:left="6480" w:hanging="360"/>
      </w:pPr>
      <w:rPr>
        <w:rFonts w:ascii="Wingdings" w:hAnsi="Wingdings" w:hint="default"/>
      </w:rPr>
    </w:lvl>
  </w:abstractNum>
  <w:abstractNum w:abstractNumId="41" w15:restartNumberingAfterBreak="0">
    <w:nsid w:val="798E1ACA"/>
    <w:multiLevelType w:val="hybridMultilevel"/>
    <w:tmpl w:val="3318905A"/>
    <w:lvl w:ilvl="0" w:tplc="37A073DC">
      <w:start w:val="4"/>
      <w:numFmt w:val="bullet"/>
      <w:lvlText w:val="-"/>
      <w:lvlJc w:val="left"/>
      <w:pPr>
        <w:ind w:left="900" w:hanging="360"/>
      </w:pPr>
      <w:rPr>
        <w:rFonts w:ascii="Times New Roman" w:eastAsiaTheme="minorHAnsi" w:hAnsi="Times New Roman" w:cs="Times New Roman" w:hint="default"/>
      </w:rPr>
    </w:lvl>
    <w:lvl w:ilvl="1" w:tplc="04090003" w:tentative="1">
      <w:start w:val="1"/>
      <w:numFmt w:val="bullet"/>
      <w:lvlText w:val="o"/>
      <w:lvlJc w:val="left"/>
      <w:pPr>
        <w:ind w:left="1620" w:hanging="360"/>
      </w:pPr>
      <w:rPr>
        <w:rFonts w:ascii="Courier New" w:hAnsi="Courier New" w:cs="Courier New" w:hint="default"/>
      </w:rPr>
    </w:lvl>
    <w:lvl w:ilvl="2" w:tplc="04090005" w:tentative="1">
      <w:start w:val="1"/>
      <w:numFmt w:val="bullet"/>
      <w:lvlText w:val=""/>
      <w:lvlJc w:val="left"/>
      <w:pPr>
        <w:ind w:left="2340" w:hanging="360"/>
      </w:pPr>
      <w:rPr>
        <w:rFonts w:ascii="Wingdings" w:hAnsi="Wingdings" w:hint="default"/>
      </w:rPr>
    </w:lvl>
    <w:lvl w:ilvl="3" w:tplc="04090001" w:tentative="1">
      <w:start w:val="1"/>
      <w:numFmt w:val="bullet"/>
      <w:lvlText w:val=""/>
      <w:lvlJc w:val="left"/>
      <w:pPr>
        <w:ind w:left="3060" w:hanging="360"/>
      </w:pPr>
      <w:rPr>
        <w:rFonts w:ascii="Symbol" w:hAnsi="Symbol" w:hint="default"/>
      </w:rPr>
    </w:lvl>
    <w:lvl w:ilvl="4" w:tplc="04090003" w:tentative="1">
      <w:start w:val="1"/>
      <w:numFmt w:val="bullet"/>
      <w:lvlText w:val="o"/>
      <w:lvlJc w:val="left"/>
      <w:pPr>
        <w:ind w:left="3780" w:hanging="360"/>
      </w:pPr>
      <w:rPr>
        <w:rFonts w:ascii="Courier New" w:hAnsi="Courier New" w:cs="Courier New" w:hint="default"/>
      </w:rPr>
    </w:lvl>
    <w:lvl w:ilvl="5" w:tplc="04090005" w:tentative="1">
      <w:start w:val="1"/>
      <w:numFmt w:val="bullet"/>
      <w:lvlText w:val=""/>
      <w:lvlJc w:val="left"/>
      <w:pPr>
        <w:ind w:left="4500" w:hanging="360"/>
      </w:pPr>
      <w:rPr>
        <w:rFonts w:ascii="Wingdings" w:hAnsi="Wingdings" w:hint="default"/>
      </w:rPr>
    </w:lvl>
    <w:lvl w:ilvl="6" w:tplc="04090001" w:tentative="1">
      <w:start w:val="1"/>
      <w:numFmt w:val="bullet"/>
      <w:lvlText w:val=""/>
      <w:lvlJc w:val="left"/>
      <w:pPr>
        <w:ind w:left="5220" w:hanging="360"/>
      </w:pPr>
      <w:rPr>
        <w:rFonts w:ascii="Symbol" w:hAnsi="Symbol" w:hint="default"/>
      </w:rPr>
    </w:lvl>
    <w:lvl w:ilvl="7" w:tplc="04090003" w:tentative="1">
      <w:start w:val="1"/>
      <w:numFmt w:val="bullet"/>
      <w:lvlText w:val="o"/>
      <w:lvlJc w:val="left"/>
      <w:pPr>
        <w:ind w:left="5940" w:hanging="360"/>
      </w:pPr>
      <w:rPr>
        <w:rFonts w:ascii="Courier New" w:hAnsi="Courier New" w:cs="Courier New" w:hint="default"/>
      </w:rPr>
    </w:lvl>
    <w:lvl w:ilvl="8" w:tplc="04090005" w:tentative="1">
      <w:start w:val="1"/>
      <w:numFmt w:val="bullet"/>
      <w:lvlText w:val=""/>
      <w:lvlJc w:val="left"/>
      <w:pPr>
        <w:ind w:left="6660" w:hanging="360"/>
      </w:pPr>
      <w:rPr>
        <w:rFonts w:ascii="Wingdings" w:hAnsi="Wingdings" w:hint="default"/>
      </w:rPr>
    </w:lvl>
  </w:abstractNum>
  <w:abstractNum w:abstractNumId="42" w15:restartNumberingAfterBreak="0">
    <w:nsid w:val="7AF305B9"/>
    <w:multiLevelType w:val="multilevel"/>
    <w:tmpl w:val="D856DE44"/>
    <w:lvl w:ilvl="0">
      <w:start w:val="1"/>
      <w:numFmt w:val="decimal"/>
      <w:lvlText w:val="%1."/>
      <w:lvlJc w:val="left"/>
      <w:pPr>
        <w:ind w:left="720" w:hanging="360"/>
      </w:pPr>
      <w:rPr>
        <w:rFonts w:hint="default"/>
        <w:color w:val="auto"/>
      </w:rPr>
    </w:lvl>
    <w:lvl w:ilvl="1">
      <w:start w:val="1"/>
      <w:numFmt w:val="decimal"/>
      <w:isLgl/>
      <w:lvlText w:val="%1.%2."/>
      <w:lvlJc w:val="left"/>
      <w:pPr>
        <w:ind w:left="900" w:hanging="36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620" w:hanging="720"/>
      </w:pPr>
      <w:rPr>
        <w:rFonts w:hint="default"/>
      </w:rPr>
    </w:lvl>
    <w:lvl w:ilvl="4">
      <w:start w:val="1"/>
      <w:numFmt w:val="decimal"/>
      <w:isLgl/>
      <w:lvlText w:val="%1.%2.%3.%4.%5."/>
      <w:lvlJc w:val="left"/>
      <w:pPr>
        <w:ind w:left="2160" w:hanging="1080"/>
      </w:pPr>
      <w:rPr>
        <w:rFonts w:hint="default"/>
      </w:rPr>
    </w:lvl>
    <w:lvl w:ilvl="5">
      <w:start w:val="1"/>
      <w:numFmt w:val="decimal"/>
      <w:isLgl/>
      <w:lvlText w:val="%1.%2.%3.%4.%5.%6."/>
      <w:lvlJc w:val="left"/>
      <w:pPr>
        <w:ind w:left="2340" w:hanging="1080"/>
      </w:pPr>
      <w:rPr>
        <w:rFonts w:hint="default"/>
      </w:rPr>
    </w:lvl>
    <w:lvl w:ilvl="6">
      <w:start w:val="1"/>
      <w:numFmt w:val="decimal"/>
      <w:isLgl/>
      <w:lvlText w:val="%1.%2.%3.%4.%5.%6.%7."/>
      <w:lvlJc w:val="left"/>
      <w:pPr>
        <w:ind w:left="2880" w:hanging="1440"/>
      </w:pPr>
      <w:rPr>
        <w:rFonts w:hint="default"/>
      </w:rPr>
    </w:lvl>
    <w:lvl w:ilvl="7">
      <w:start w:val="1"/>
      <w:numFmt w:val="decimal"/>
      <w:isLgl/>
      <w:lvlText w:val="%1.%2.%3.%4.%5.%6.%7.%8."/>
      <w:lvlJc w:val="left"/>
      <w:pPr>
        <w:ind w:left="3060" w:hanging="1440"/>
      </w:pPr>
      <w:rPr>
        <w:rFonts w:hint="default"/>
      </w:rPr>
    </w:lvl>
    <w:lvl w:ilvl="8">
      <w:start w:val="1"/>
      <w:numFmt w:val="decimal"/>
      <w:isLgl/>
      <w:lvlText w:val="%1.%2.%3.%4.%5.%6.%7.%8.%9."/>
      <w:lvlJc w:val="left"/>
      <w:pPr>
        <w:ind w:left="3600" w:hanging="1800"/>
      </w:pPr>
      <w:rPr>
        <w:rFonts w:hint="default"/>
      </w:rPr>
    </w:lvl>
  </w:abstractNum>
  <w:abstractNum w:abstractNumId="43" w15:restartNumberingAfterBreak="0">
    <w:nsid w:val="7D9045BD"/>
    <w:multiLevelType w:val="hybridMultilevel"/>
    <w:tmpl w:val="6F80DEC4"/>
    <w:lvl w:ilvl="0" w:tplc="43E065C0">
      <w:start w:val="23"/>
      <w:numFmt w:val="bullet"/>
      <w:lvlText w:val="-"/>
      <w:lvlJc w:val="left"/>
      <w:pPr>
        <w:ind w:left="720" w:hanging="360"/>
      </w:pPr>
      <w:rPr>
        <w:rFonts w:ascii="Times New Roman" w:eastAsiaTheme="minorHAnsi" w:hAnsi="Times New Roman" w:cs="Times New Roman" w:hint="default"/>
      </w:rPr>
    </w:lvl>
    <w:lvl w:ilvl="1" w:tplc="041C0003" w:tentative="1">
      <w:start w:val="1"/>
      <w:numFmt w:val="bullet"/>
      <w:lvlText w:val="o"/>
      <w:lvlJc w:val="left"/>
      <w:pPr>
        <w:ind w:left="1440" w:hanging="360"/>
      </w:pPr>
      <w:rPr>
        <w:rFonts w:ascii="Courier New" w:hAnsi="Courier New" w:cs="Courier New" w:hint="default"/>
      </w:rPr>
    </w:lvl>
    <w:lvl w:ilvl="2" w:tplc="041C0005" w:tentative="1">
      <w:start w:val="1"/>
      <w:numFmt w:val="bullet"/>
      <w:lvlText w:val=""/>
      <w:lvlJc w:val="left"/>
      <w:pPr>
        <w:ind w:left="2160" w:hanging="360"/>
      </w:pPr>
      <w:rPr>
        <w:rFonts w:ascii="Wingdings" w:hAnsi="Wingdings" w:hint="default"/>
      </w:rPr>
    </w:lvl>
    <w:lvl w:ilvl="3" w:tplc="041C0001" w:tentative="1">
      <w:start w:val="1"/>
      <w:numFmt w:val="bullet"/>
      <w:lvlText w:val=""/>
      <w:lvlJc w:val="left"/>
      <w:pPr>
        <w:ind w:left="2880" w:hanging="360"/>
      </w:pPr>
      <w:rPr>
        <w:rFonts w:ascii="Symbol" w:hAnsi="Symbol" w:hint="default"/>
      </w:rPr>
    </w:lvl>
    <w:lvl w:ilvl="4" w:tplc="041C0003" w:tentative="1">
      <w:start w:val="1"/>
      <w:numFmt w:val="bullet"/>
      <w:lvlText w:val="o"/>
      <w:lvlJc w:val="left"/>
      <w:pPr>
        <w:ind w:left="3600" w:hanging="360"/>
      </w:pPr>
      <w:rPr>
        <w:rFonts w:ascii="Courier New" w:hAnsi="Courier New" w:cs="Courier New" w:hint="default"/>
      </w:rPr>
    </w:lvl>
    <w:lvl w:ilvl="5" w:tplc="041C0005" w:tentative="1">
      <w:start w:val="1"/>
      <w:numFmt w:val="bullet"/>
      <w:lvlText w:val=""/>
      <w:lvlJc w:val="left"/>
      <w:pPr>
        <w:ind w:left="4320" w:hanging="360"/>
      </w:pPr>
      <w:rPr>
        <w:rFonts w:ascii="Wingdings" w:hAnsi="Wingdings" w:hint="default"/>
      </w:rPr>
    </w:lvl>
    <w:lvl w:ilvl="6" w:tplc="041C0001" w:tentative="1">
      <w:start w:val="1"/>
      <w:numFmt w:val="bullet"/>
      <w:lvlText w:val=""/>
      <w:lvlJc w:val="left"/>
      <w:pPr>
        <w:ind w:left="5040" w:hanging="360"/>
      </w:pPr>
      <w:rPr>
        <w:rFonts w:ascii="Symbol" w:hAnsi="Symbol" w:hint="default"/>
      </w:rPr>
    </w:lvl>
    <w:lvl w:ilvl="7" w:tplc="041C0003" w:tentative="1">
      <w:start w:val="1"/>
      <w:numFmt w:val="bullet"/>
      <w:lvlText w:val="o"/>
      <w:lvlJc w:val="left"/>
      <w:pPr>
        <w:ind w:left="5760" w:hanging="360"/>
      </w:pPr>
      <w:rPr>
        <w:rFonts w:ascii="Courier New" w:hAnsi="Courier New" w:cs="Courier New" w:hint="default"/>
      </w:rPr>
    </w:lvl>
    <w:lvl w:ilvl="8" w:tplc="041C0005" w:tentative="1">
      <w:start w:val="1"/>
      <w:numFmt w:val="bullet"/>
      <w:lvlText w:val=""/>
      <w:lvlJc w:val="left"/>
      <w:pPr>
        <w:ind w:left="6480" w:hanging="360"/>
      </w:pPr>
      <w:rPr>
        <w:rFonts w:ascii="Wingdings" w:hAnsi="Wingdings" w:hint="default"/>
      </w:rPr>
    </w:lvl>
  </w:abstractNum>
  <w:abstractNum w:abstractNumId="44" w15:restartNumberingAfterBreak="0">
    <w:nsid w:val="7FA816D2"/>
    <w:multiLevelType w:val="multilevel"/>
    <w:tmpl w:val="0DDC3706"/>
    <w:lvl w:ilvl="0">
      <w:start w:val="1"/>
      <w:numFmt w:val="decimal"/>
      <w:lvlText w:val="%1."/>
      <w:lvlJc w:val="left"/>
      <w:pPr>
        <w:ind w:left="4230" w:hanging="360"/>
      </w:pPr>
      <w:rPr>
        <w:rFonts w:hint="default"/>
        <w:i w:val="0"/>
        <w:iCs w:val="0"/>
      </w:rPr>
    </w:lvl>
    <w:lvl w:ilvl="1">
      <w:start w:val="1"/>
      <w:numFmt w:val="decimal"/>
      <w:isLgl/>
      <w:lvlText w:val="%1.%2."/>
      <w:lvlJc w:val="left"/>
      <w:pPr>
        <w:ind w:left="9270" w:hanging="360"/>
      </w:pPr>
      <w:rPr>
        <w:rFonts w:hint="default"/>
        <w:i w:val="0"/>
        <w:iCs w:val="0"/>
      </w:rPr>
    </w:lvl>
    <w:lvl w:ilvl="2">
      <w:start w:val="1"/>
      <w:numFmt w:val="decimal"/>
      <w:isLgl/>
      <w:lvlText w:val="%1.%2.%3."/>
      <w:lvlJc w:val="left"/>
      <w:pPr>
        <w:ind w:left="1440" w:hanging="720"/>
      </w:pPr>
      <w:rPr>
        <w:rFonts w:hint="default"/>
      </w:rPr>
    </w:lvl>
    <w:lvl w:ilvl="3">
      <w:start w:val="1"/>
      <w:numFmt w:val="decimal"/>
      <w:isLgl/>
      <w:lvlText w:val="%1.%2.%3.%4."/>
      <w:lvlJc w:val="left"/>
      <w:pPr>
        <w:ind w:left="1440" w:hanging="72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1800" w:hanging="108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160" w:hanging="1440"/>
      </w:pPr>
      <w:rPr>
        <w:rFonts w:hint="default"/>
      </w:rPr>
    </w:lvl>
    <w:lvl w:ilvl="8">
      <w:start w:val="1"/>
      <w:numFmt w:val="decimal"/>
      <w:isLgl/>
      <w:lvlText w:val="%1.%2.%3.%4.%5.%6.%7.%8.%9."/>
      <w:lvlJc w:val="left"/>
      <w:pPr>
        <w:ind w:left="2520" w:hanging="1800"/>
      </w:pPr>
      <w:rPr>
        <w:rFonts w:hint="default"/>
      </w:rPr>
    </w:lvl>
  </w:abstractNum>
  <w:num w:numId="1" w16cid:durableId="1683244466">
    <w:abstractNumId w:val="26"/>
  </w:num>
  <w:num w:numId="2" w16cid:durableId="592130193">
    <w:abstractNumId w:val="6"/>
  </w:num>
  <w:num w:numId="3" w16cid:durableId="906498963">
    <w:abstractNumId w:val="37"/>
  </w:num>
  <w:num w:numId="4" w16cid:durableId="1806049514">
    <w:abstractNumId w:val="42"/>
  </w:num>
  <w:num w:numId="5" w16cid:durableId="1424569031">
    <w:abstractNumId w:val="28"/>
  </w:num>
  <w:num w:numId="6" w16cid:durableId="1597326988">
    <w:abstractNumId w:val="18"/>
  </w:num>
  <w:num w:numId="7" w16cid:durableId="198472947">
    <w:abstractNumId w:val="29"/>
  </w:num>
  <w:num w:numId="8" w16cid:durableId="1351954792">
    <w:abstractNumId w:val="2"/>
  </w:num>
  <w:num w:numId="9" w16cid:durableId="1414352185">
    <w:abstractNumId w:val="21"/>
  </w:num>
  <w:num w:numId="10" w16cid:durableId="1365057829">
    <w:abstractNumId w:val="43"/>
  </w:num>
  <w:num w:numId="11" w16cid:durableId="604382492">
    <w:abstractNumId w:val="27"/>
  </w:num>
  <w:num w:numId="12" w16cid:durableId="432408636">
    <w:abstractNumId w:val="10"/>
  </w:num>
  <w:num w:numId="13" w16cid:durableId="1157503417">
    <w:abstractNumId w:val="15"/>
  </w:num>
  <w:num w:numId="14" w16cid:durableId="570502204">
    <w:abstractNumId w:val="9"/>
  </w:num>
  <w:num w:numId="15" w16cid:durableId="92628461">
    <w:abstractNumId w:val="0"/>
  </w:num>
  <w:num w:numId="16" w16cid:durableId="527914504">
    <w:abstractNumId w:val="30"/>
  </w:num>
  <w:num w:numId="17" w16cid:durableId="1803379204">
    <w:abstractNumId w:val="19"/>
  </w:num>
  <w:num w:numId="18" w16cid:durableId="1810395887">
    <w:abstractNumId w:val="7"/>
  </w:num>
  <w:num w:numId="19" w16cid:durableId="299305238">
    <w:abstractNumId w:val="33"/>
  </w:num>
  <w:num w:numId="20" w16cid:durableId="761796846">
    <w:abstractNumId w:val="23"/>
  </w:num>
  <w:num w:numId="21" w16cid:durableId="739791555">
    <w:abstractNumId w:val="4"/>
  </w:num>
  <w:num w:numId="22" w16cid:durableId="163591477">
    <w:abstractNumId w:val="16"/>
  </w:num>
  <w:num w:numId="23" w16cid:durableId="1758092444">
    <w:abstractNumId w:val="1"/>
  </w:num>
  <w:num w:numId="24" w16cid:durableId="1986010200">
    <w:abstractNumId w:val="14"/>
  </w:num>
  <w:num w:numId="25" w16cid:durableId="1516920114">
    <w:abstractNumId w:val="25"/>
  </w:num>
  <w:num w:numId="26" w16cid:durableId="925577717">
    <w:abstractNumId w:val="36"/>
  </w:num>
  <w:num w:numId="27" w16cid:durableId="1999112851">
    <w:abstractNumId w:val="44"/>
  </w:num>
  <w:num w:numId="28" w16cid:durableId="1100836122">
    <w:abstractNumId w:val="17"/>
  </w:num>
  <w:num w:numId="29" w16cid:durableId="1451704717">
    <w:abstractNumId w:val="24"/>
  </w:num>
  <w:num w:numId="30" w16cid:durableId="845094942">
    <w:abstractNumId w:val="41"/>
  </w:num>
  <w:num w:numId="31" w16cid:durableId="1654992087">
    <w:abstractNumId w:val="31"/>
  </w:num>
  <w:num w:numId="32" w16cid:durableId="1690528403">
    <w:abstractNumId w:val="12"/>
  </w:num>
  <w:num w:numId="33" w16cid:durableId="753472683">
    <w:abstractNumId w:val="3"/>
  </w:num>
  <w:num w:numId="34" w16cid:durableId="1927375293">
    <w:abstractNumId w:val="22"/>
  </w:num>
  <w:num w:numId="35" w16cid:durableId="63071309">
    <w:abstractNumId w:val="32"/>
  </w:num>
  <w:num w:numId="36" w16cid:durableId="240800603">
    <w:abstractNumId w:val="11"/>
  </w:num>
  <w:num w:numId="37" w16cid:durableId="1196427310">
    <w:abstractNumId w:val="40"/>
  </w:num>
  <w:num w:numId="38" w16cid:durableId="1918055993">
    <w:abstractNumId w:val="13"/>
  </w:num>
  <w:num w:numId="39" w16cid:durableId="2095390378">
    <w:abstractNumId w:val="5"/>
  </w:num>
  <w:num w:numId="40" w16cid:durableId="1403794963">
    <w:abstractNumId w:val="35"/>
  </w:num>
  <w:num w:numId="41" w16cid:durableId="1867020471">
    <w:abstractNumId w:val="38"/>
  </w:num>
  <w:num w:numId="42" w16cid:durableId="796067069">
    <w:abstractNumId w:val="20"/>
  </w:num>
  <w:num w:numId="43" w16cid:durableId="716976890">
    <w:abstractNumId w:val="39"/>
  </w:num>
  <w:num w:numId="44" w16cid:durableId="1911497795">
    <w:abstractNumId w:val="8"/>
  </w:num>
  <w:num w:numId="45" w16cid:durableId="885675671">
    <w:abstractNumId w:val="34"/>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displayBackgroundShape/>
  <w:hideSpellingErrors/>
  <w:proofState w:spelling="clean" w:grammar="clean"/>
  <w:defaultTabStop w:val="720"/>
  <w:drawingGridHorizontalSpacing w:val="12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8537F"/>
    <w:rsid w:val="00000C94"/>
    <w:rsid w:val="00000DAB"/>
    <w:rsid w:val="00001ED9"/>
    <w:rsid w:val="0000262C"/>
    <w:rsid w:val="00007167"/>
    <w:rsid w:val="000124F6"/>
    <w:rsid w:val="00012AB3"/>
    <w:rsid w:val="00015854"/>
    <w:rsid w:val="00015F2C"/>
    <w:rsid w:val="000161B3"/>
    <w:rsid w:val="000208D0"/>
    <w:rsid w:val="0002269F"/>
    <w:rsid w:val="00022E10"/>
    <w:rsid w:val="00023316"/>
    <w:rsid w:val="00025255"/>
    <w:rsid w:val="0002733B"/>
    <w:rsid w:val="00027F38"/>
    <w:rsid w:val="00031F8F"/>
    <w:rsid w:val="00032AB6"/>
    <w:rsid w:val="000336D2"/>
    <w:rsid w:val="000345DD"/>
    <w:rsid w:val="00034D23"/>
    <w:rsid w:val="00036204"/>
    <w:rsid w:val="0003750F"/>
    <w:rsid w:val="0004076C"/>
    <w:rsid w:val="00042BED"/>
    <w:rsid w:val="00043284"/>
    <w:rsid w:val="000470C7"/>
    <w:rsid w:val="00047302"/>
    <w:rsid w:val="0004734E"/>
    <w:rsid w:val="00051598"/>
    <w:rsid w:val="00051D42"/>
    <w:rsid w:val="000537DD"/>
    <w:rsid w:val="0005390E"/>
    <w:rsid w:val="00053D13"/>
    <w:rsid w:val="00054CBA"/>
    <w:rsid w:val="00054FD4"/>
    <w:rsid w:val="00055D5B"/>
    <w:rsid w:val="000576E2"/>
    <w:rsid w:val="0005785C"/>
    <w:rsid w:val="000608BA"/>
    <w:rsid w:val="00060F7C"/>
    <w:rsid w:val="00061586"/>
    <w:rsid w:val="000616CF"/>
    <w:rsid w:val="0006283D"/>
    <w:rsid w:val="00066260"/>
    <w:rsid w:val="000706A9"/>
    <w:rsid w:val="00071E57"/>
    <w:rsid w:val="000731CD"/>
    <w:rsid w:val="0007324A"/>
    <w:rsid w:val="000737FE"/>
    <w:rsid w:val="0007441F"/>
    <w:rsid w:val="0007494B"/>
    <w:rsid w:val="000752F8"/>
    <w:rsid w:val="00076887"/>
    <w:rsid w:val="00080445"/>
    <w:rsid w:val="00081D34"/>
    <w:rsid w:val="000821CF"/>
    <w:rsid w:val="000822A6"/>
    <w:rsid w:val="00082BA2"/>
    <w:rsid w:val="00083ED2"/>
    <w:rsid w:val="00084FC0"/>
    <w:rsid w:val="00085935"/>
    <w:rsid w:val="00085968"/>
    <w:rsid w:val="0008757A"/>
    <w:rsid w:val="00087AE6"/>
    <w:rsid w:val="00090323"/>
    <w:rsid w:val="00090D5F"/>
    <w:rsid w:val="00091EC2"/>
    <w:rsid w:val="00094AF7"/>
    <w:rsid w:val="00094B28"/>
    <w:rsid w:val="0009545B"/>
    <w:rsid w:val="000957AB"/>
    <w:rsid w:val="000968A9"/>
    <w:rsid w:val="000A0476"/>
    <w:rsid w:val="000A0662"/>
    <w:rsid w:val="000A5243"/>
    <w:rsid w:val="000A568F"/>
    <w:rsid w:val="000A59C8"/>
    <w:rsid w:val="000A693A"/>
    <w:rsid w:val="000A6C23"/>
    <w:rsid w:val="000A6CF3"/>
    <w:rsid w:val="000A7937"/>
    <w:rsid w:val="000A7EB7"/>
    <w:rsid w:val="000B02AF"/>
    <w:rsid w:val="000B2D76"/>
    <w:rsid w:val="000B5237"/>
    <w:rsid w:val="000B71A3"/>
    <w:rsid w:val="000B77C6"/>
    <w:rsid w:val="000C1E52"/>
    <w:rsid w:val="000C28B3"/>
    <w:rsid w:val="000C5404"/>
    <w:rsid w:val="000C5C13"/>
    <w:rsid w:val="000C7715"/>
    <w:rsid w:val="000D2AE1"/>
    <w:rsid w:val="000D52CA"/>
    <w:rsid w:val="000D581D"/>
    <w:rsid w:val="000D5979"/>
    <w:rsid w:val="000D6B94"/>
    <w:rsid w:val="000D729E"/>
    <w:rsid w:val="000D7A54"/>
    <w:rsid w:val="000E09C7"/>
    <w:rsid w:val="000E16AA"/>
    <w:rsid w:val="000E1744"/>
    <w:rsid w:val="000E1CAF"/>
    <w:rsid w:val="000E62BC"/>
    <w:rsid w:val="000F1264"/>
    <w:rsid w:val="000F25C4"/>
    <w:rsid w:val="000F377C"/>
    <w:rsid w:val="000F3AC8"/>
    <w:rsid w:val="000F434D"/>
    <w:rsid w:val="000F45A3"/>
    <w:rsid w:val="000F4C4B"/>
    <w:rsid w:val="000F5B8A"/>
    <w:rsid w:val="000F5C63"/>
    <w:rsid w:val="000F69E6"/>
    <w:rsid w:val="0010284A"/>
    <w:rsid w:val="001028D5"/>
    <w:rsid w:val="00102919"/>
    <w:rsid w:val="00104A51"/>
    <w:rsid w:val="001050C1"/>
    <w:rsid w:val="00105448"/>
    <w:rsid w:val="0010738C"/>
    <w:rsid w:val="001101EB"/>
    <w:rsid w:val="00110C5A"/>
    <w:rsid w:val="00110DED"/>
    <w:rsid w:val="00113678"/>
    <w:rsid w:val="00113786"/>
    <w:rsid w:val="00114CFA"/>
    <w:rsid w:val="00116289"/>
    <w:rsid w:val="0011647F"/>
    <w:rsid w:val="00116F8C"/>
    <w:rsid w:val="0012027B"/>
    <w:rsid w:val="00120B1B"/>
    <w:rsid w:val="00120D97"/>
    <w:rsid w:val="0012107D"/>
    <w:rsid w:val="001228DD"/>
    <w:rsid w:val="00122B4E"/>
    <w:rsid w:val="00124078"/>
    <w:rsid w:val="00125A6F"/>
    <w:rsid w:val="001263D8"/>
    <w:rsid w:val="00130AD1"/>
    <w:rsid w:val="00134015"/>
    <w:rsid w:val="001346CE"/>
    <w:rsid w:val="00135A17"/>
    <w:rsid w:val="00137C78"/>
    <w:rsid w:val="00140072"/>
    <w:rsid w:val="0014019B"/>
    <w:rsid w:val="00141FF1"/>
    <w:rsid w:val="0014262B"/>
    <w:rsid w:val="00142C6F"/>
    <w:rsid w:val="00142E99"/>
    <w:rsid w:val="00145307"/>
    <w:rsid w:val="0014625B"/>
    <w:rsid w:val="00146791"/>
    <w:rsid w:val="001467C5"/>
    <w:rsid w:val="00147224"/>
    <w:rsid w:val="00147C04"/>
    <w:rsid w:val="00147DB8"/>
    <w:rsid w:val="00147DBB"/>
    <w:rsid w:val="001501D0"/>
    <w:rsid w:val="0015059E"/>
    <w:rsid w:val="00155894"/>
    <w:rsid w:val="00156195"/>
    <w:rsid w:val="00156B09"/>
    <w:rsid w:val="00157974"/>
    <w:rsid w:val="001579A6"/>
    <w:rsid w:val="001611AF"/>
    <w:rsid w:val="00161764"/>
    <w:rsid w:val="001619FF"/>
    <w:rsid w:val="00161BE7"/>
    <w:rsid w:val="001624D6"/>
    <w:rsid w:val="00162C07"/>
    <w:rsid w:val="001631C4"/>
    <w:rsid w:val="00163D72"/>
    <w:rsid w:val="00165C80"/>
    <w:rsid w:val="001666D6"/>
    <w:rsid w:val="00167306"/>
    <w:rsid w:val="00171639"/>
    <w:rsid w:val="0017392A"/>
    <w:rsid w:val="00173CD1"/>
    <w:rsid w:val="00174B7C"/>
    <w:rsid w:val="0017521C"/>
    <w:rsid w:val="00176641"/>
    <w:rsid w:val="001767D9"/>
    <w:rsid w:val="001768A6"/>
    <w:rsid w:val="001777A3"/>
    <w:rsid w:val="00182050"/>
    <w:rsid w:val="0018264C"/>
    <w:rsid w:val="0018365A"/>
    <w:rsid w:val="00183E1E"/>
    <w:rsid w:val="00184EFD"/>
    <w:rsid w:val="001916BD"/>
    <w:rsid w:val="00192A8C"/>
    <w:rsid w:val="00192CFB"/>
    <w:rsid w:val="0019463D"/>
    <w:rsid w:val="001956D0"/>
    <w:rsid w:val="0019586E"/>
    <w:rsid w:val="00195ADB"/>
    <w:rsid w:val="00195DAC"/>
    <w:rsid w:val="00197703"/>
    <w:rsid w:val="001A0A80"/>
    <w:rsid w:val="001A128A"/>
    <w:rsid w:val="001A1401"/>
    <w:rsid w:val="001A1551"/>
    <w:rsid w:val="001A159A"/>
    <w:rsid w:val="001A27EF"/>
    <w:rsid w:val="001A2913"/>
    <w:rsid w:val="001A3AD1"/>
    <w:rsid w:val="001A53F3"/>
    <w:rsid w:val="001A5D95"/>
    <w:rsid w:val="001A7E28"/>
    <w:rsid w:val="001B00FD"/>
    <w:rsid w:val="001B0473"/>
    <w:rsid w:val="001B2561"/>
    <w:rsid w:val="001B7EF8"/>
    <w:rsid w:val="001C41BB"/>
    <w:rsid w:val="001C4D2F"/>
    <w:rsid w:val="001C4D4F"/>
    <w:rsid w:val="001C4DA6"/>
    <w:rsid w:val="001C5F7B"/>
    <w:rsid w:val="001C7FF4"/>
    <w:rsid w:val="001D2FF2"/>
    <w:rsid w:val="001D3D6B"/>
    <w:rsid w:val="001D5B57"/>
    <w:rsid w:val="001D6F45"/>
    <w:rsid w:val="001E0CA1"/>
    <w:rsid w:val="001E1AFA"/>
    <w:rsid w:val="001E2EC4"/>
    <w:rsid w:val="001E333B"/>
    <w:rsid w:val="001E3EF9"/>
    <w:rsid w:val="001E43C5"/>
    <w:rsid w:val="001E4691"/>
    <w:rsid w:val="001E4BA6"/>
    <w:rsid w:val="001E4D62"/>
    <w:rsid w:val="001E7A22"/>
    <w:rsid w:val="001F09E8"/>
    <w:rsid w:val="001F1702"/>
    <w:rsid w:val="001F1989"/>
    <w:rsid w:val="001F389D"/>
    <w:rsid w:val="001F4EEA"/>
    <w:rsid w:val="001F590A"/>
    <w:rsid w:val="001F5C7A"/>
    <w:rsid w:val="001F5ED4"/>
    <w:rsid w:val="001F6DC0"/>
    <w:rsid w:val="001F6E55"/>
    <w:rsid w:val="001F7CDC"/>
    <w:rsid w:val="0020083B"/>
    <w:rsid w:val="0020193A"/>
    <w:rsid w:val="00201E86"/>
    <w:rsid w:val="00202244"/>
    <w:rsid w:val="00202F89"/>
    <w:rsid w:val="00203610"/>
    <w:rsid w:val="0020455A"/>
    <w:rsid w:val="002064BB"/>
    <w:rsid w:val="002107C7"/>
    <w:rsid w:val="00210EA7"/>
    <w:rsid w:val="00210EB9"/>
    <w:rsid w:val="00212322"/>
    <w:rsid w:val="00212B03"/>
    <w:rsid w:val="00212B75"/>
    <w:rsid w:val="00214ACF"/>
    <w:rsid w:val="00214E09"/>
    <w:rsid w:val="0021580D"/>
    <w:rsid w:val="00216E83"/>
    <w:rsid w:val="0022191A"/>
    <w:rsid w:val="00221CC6"/>
    <w:rsid w:val="00223272"/>
    <w:rsid w:val="002237E8"/>
    <w:rsid w:val="00224B15"/>
    <w:rsid w:val="002250EF"/>
    <w:rsid w:val="002266D8"/>
    <w:rsid w:val="00227BC0"/>
    <w:rsid w:val="00230D9A"/>
    <w:rsid w:val="00232B57"/>
    <w:rsid w:val="002341A6"/>
    <w:rsid w:val="00235078"/>
    <w:rsid w:val="002360C3"/>
    <w:rsid w:val="002360EC"/>
    <w:rsid w:val="002374F4"/>
    <w:rsid w:val="0024101A"/>
    <w:rsid w:val="00244C99"/>
    <w:rsid w:val="00245A6F"/>
    <w:rsid w:val="00246022"/>
    <w:rsid w:val="00247662"/>
    <w:rsid w:val="002524F7"/>
    <w:rsid w:val="00253BA0"/>
    <w:rsid w:val="002546B3"/>
    <w:rsid w:val="002549A5"/>
    <w:rsid w:val="0025669B"/>
    <w:rsid w:val="0025726E"/>
    <w:rsid w:val="0026067C"/>
    <w:rsid w:val="002609FE"/>
    <w:rsid w:val="00262542"/>
    <w:rsid w:val="002652C8"/>
    <w:rsid w:val="00265FC9"/>
    <w:rsid w:val="00266C39"/>
    <w:rsid w:val="00270E9D"/>
    <w:rsid w:val="00272796"/>
    <w:rsid w:val="002729B6"/>
    <w:rsid w:val="0027303E"/>
    <w:rsid w:val="00273A2A"/>
    <w:rsid w:val="00274B03"/>
    <w:rsid w:val="00275529"/>
    <w:rsid w:val="00276895"/>
    <w:rsid w:val="00277054"/>
    <w:rsid w:val="00277781"/>
    <w:rsid w:val="00277AB7"/>
    <w:rsid w:val="00277C09"/>
    <w:rsid w:val="00280AA8"/>
    <w:rsid w:val="00280D79"/>
    <w:rsid w:val="0028135D"/>
    <w:rsid w:val="0028272E"/>
    <w:rsid w:val="00286852"/>
    <w:rsid w:val="00287C88"/>
    <w:rsid w:val="00287EA6"/>
    <w:rsid w:val="00291F51"/>
    <w:rsid w:val="00293008"/>
    <w:rsid w:val="00294429"/>
    <w:rsid w:val="002944E5"/>
    <w:rsid w:val="00294B99"/>
    <w:rsid w:val="00294CBF"/>
    <w:rsid w:val="00294DD6"/>
    <w:rsid w:val="00295A60"/>
    <w:rsid w:val="00297C79"/>
    <w:rsid w:val="00297D7A"/>
    <w:rsid w:val="002A086B"/>
    <w:rsid w:val="002A0B82"/>
    <w:rsid w:val="002A0D9D"/>
    <w:rsid w:val="002A1F07"/>
    <w:rsid w:val="002A25E3"/>
    <w:rsid w:val="002A3AC0"/>
    <w:rsid w:val="002A4A72"/>
    <w:rsid w:val="002A767F"/>
    <w:rsid w:val="002B09C0"/>
    <w:rsid w:val="002B0F89"/>
    <w:rsid w:val="002B18B7"/>
    <w:rsid w:val="002B1901"/>
    <w:rsid w:val="002B29AD"/>
    <w:rsid w:val="002B2C49"/>
    <w:rsid w:val="002B3FD0"/>
    <w:rsid w:val="002B46AA"/>
    <w:rsid w:val="002B5473"/>
    <w:rsid w:val="002B5CB6"/>
    <w:rsid w:val="002C2DB5"/>
    <w:rsid w:val="002C3338"/>
    <w:rsid w:val="002C4870"/>
    <w:rsid w:val="002C4D13"/>
    <w:rsid w:val="002C6FD5"/>
    <w:rsid w:val="002C74BB"/>
    <w:rsid w:val="002D01A4"/>
    <w:rsid w:val="002D0DA8"/>
    <w:rsid w:val="002D10AC"/>
    <w:rsid w:val="002D1A58"/>
    <w:rsid w:val="002D295E"/>
    <w:rsid w:val="002D47BD"/>
    <w:rsid w:val="002D4CF2"/>
    <w:rsid w:val="002D4E53"/>
    <w:rsid w:val="002D4EE9"/>
    <w:rsid w:val="002D5646"/>
    <w:rsid w:val="002D56A8"/>
    <w:rsid w:val="002D6420"/>
    <w:rsid w:val="002D6E3A"/>
    <w:rsid w:val="002D6FA3"/>
    <w:rsid w:val="002D77D4"/>
    <w:rsid w:val="002E0D76"/>
    <w:rsid w:val="002E2127"/>
    <w:rsid w:val="002E29B4"/>
    <w:rsid w:val="002E2A78"/>
    <w:rsid w:val="002E7E91"/>
    <w:rsid w:val="002F2287"/>
    <w:rsid w:val="002F2648"/>
    <w:rsid w:val="002F2684"/>
    <w:rsid w:val="002F42DF"/>
    <w:rsid w:val="002F467A"/>
    <w:rsid w:val="002F588E"/>
    <w:rsid w:val="002F6731"/>
    <w:rsid w:val="00301514"/>
    <w:rsid w:val="00301D72"/>
    <w:rsid w:val="00301EA7"/>
    <w:rsid w:val="00302C47"/>
    <w:rsid w:val="00303563"/>
    <w:rsid w:val="00304245"/>
    <w:rsid w:val="00305087"/>
    <w:rsid w:val="00310180"/>
    <w:rsid w:val="00310822"/>
    <w:rsid w:val="003114C0"/>
    <w:rsid w:val="00312270"/>
    <w:rsid w:val="00312A71"/>
    <w:rsid w:val="00312B1A"/>
    <w:rsid w:val="00312C92"/>
    <w:rsid w:val="00312CE5"/>
    <w:rsid w:val="00312D5B"/>
    <w:rsid w:val="003145EF"/>
    <w:rsid w:val="00315ADC"/>
    <w:rsid w:val="00317675"/>
    <w:rsid w:val="0032145E"/>
    <w:rsid w:val="003225C1"/>
    <w:rsid w:val="00322825"/>
    <w:rsid w:val="00322CF6"/>
    <w:rsid w:val="00322DC3"/>
    <w:rsid w:val="00323D76"/>
    <w:rsid w:val="003254F3"/>
    <w:rsid w:val="00327619"/>
    <w:rsid w:val="00327BDD"/>
    <w:rsid w:val="0033077F"/>
    <w:rsid w:val="00330EB5"/>
    <w:rsid w:val="00331503"/>
    <w:rsid w:val="00334867"/>
    <w:rsid w:val="0033495C"/>
    <w:rsid w:val="00336FAA"/>
    <w:rsid w:val="003375B9"/>
    <w:rsid w:val="00340233"/>
    <w:rsid w:val="00340DCF"/>
    <w:rsid w:val="00341880"/>
    <w:rsid w:val="00342251"/>
    <w:rsid w:val="0034269E"/>
    <w:rsid w:val="00342B7D"/>
    <w:rsid w:val="00343EBC"/>
    <w:rsid w:val="0034495F"/>
    <w:rsid w:val="00350E13"/>
    <w:rsid w:val="00350E4B"/>
    <w:rsid w:val="00351BB7"/>
    <w:rsid w:val="00351C26"/>
    <w:rsid w:val="0035297E"/>
    <w:rsid w:val="003542DC"/>
    <w:rsid w:val="003554FC"/>
    <w:rsid w:val="003560C8"/>
    <w:rsid w:val="00360B9F"/>
    <w:rsid w:val="00361470"/>
    <w:rsid w:val="00361A03"/>
    <w:rsid w:val="00361A91"/>
    <w:rsid w:val="003620ED"/>
    <w:rsid w:val="003638E8"/>
    <w:rsid w:val="0036390D"/>
    <w:rsid w:val="00365F4C"/>
    <w:rsid w:val="00366ECD"/>
    <w:rsid w:val="00367BB7"/>
    <w:rsid w:val="00371797"/>
    <w:rsid w:val="003720E5"/>
    <w:rsid w:val="003733C7"/>
    <w:rsid w:val="00373E8A"/>
    <w:rsid w:val="00373F87"/>
    <w:rsid w:val="00374C42"/>
    <w:rsid w:val="00376D64"/>
    <w:rsid w:val="003777A8"/>
    <w:rsid w:val="0038052C"/>
    <w:rsid w:val="00380B0B"/>
    <w:rsid w:val="003824AD"/>
    <w:rsid w:val="00382D0C"/>
    <w:rsid w:val="00383199"/>
    <w:rsid w:val="00383734"/>
    <w:rsid w:val="003837ED"/>
    <w:rsid w:val="00384A9C"/>
    <w:rsid w:val="00384AE1"/>
    <w:rsid w:val="0038537F"/>
    <w:rsid w:val="003861E2"/>
    <w:rsid w:val="00386F7B"/>
    <w:rsid w:val="00394092"/>
    <w:rsid w:val="00395895"/>
    <w:rsid w:val="003969AF"/>
    <w:rsid w:val="003A028A"/>
    <w:rsid w:val="003A177B"/>
    <w:rsid w:val="003A5BE4"/>
    <w:rsid w:val="003A7CF6"/>
    <w:rsid w:val="003B1199"/>
    <w:rsid w:val="003B2F8A"/>
    <w:rsid w:val="003B34C0"/>
    <w:rsid w:val="003B3BE9"/>
    <w:rsid w:val="003B3C8D"/>
    <w:rsid w:val="003B415C"/>
    <w:rsid w:val="003B51A2"/>
    <w:rsid w:val="003B5D0E"/>
    <w:rsid w:val="003B6903"/>
    <w:rsid w:val="003B7F7B"/>
    <w:rsid w:val="003C0960"/>
    <w:rsid w:val="003C0971"/>
    <w:rsid w:val="003C1EBF"/>
    <w:rsid w:val="003C3105"/>
    <w:rsid w:val="003C51D3"/>
    <w:rsid w:val="003C5555"/>
    <w:rsid w:val="003C7947"/>
    <w:rsid w:val="003D0B1C"/>
    <w:rsid w:val="003D0BAB"/>
    <w:rsid w:val="003D1417"/>
    <w:rsid w:val="003D199D"/>
    <w:rsid w:val="003D3D21"/>
    <w:rsid w:val="003D4E1A"/>
    <w:rsid w:val="003D510D"/>
    <w:rsid w:val="003D6B12"/>
    <w:rsid w:val="003E09FB"/>
    <w:rsid w:val="003E1100"/>
    <w:rsid w:val="003E19B9"/>
    <w:rsid w:val="003E270F"/>
    <w:rsid w:val="003E28AE"/>
    <w:rsid w:val="003E298E"/>
    <w:rsid w:val="003E5F08"/>
    <w:rsid w:val="003E6049"/>
    <w:rsid w:val="003E659F"/>
    <w:rsid w:val="003E7467"/>
    <w:rsid w:val="003E7966"/>
    <w:rsid w:val="003F0A9D"/>
    <w:rsid w:val="003F0F45"/>
    <w:rsid w:val="003F1191"/>
    <w:rsid w:val="003F1836"/>
    <w:rsid w:val="003F1974"/>
    <w:rsid w:val="003F29A9"/>
    <w:rsid w:val="003F2F00"/>
    <w:rsid w:val="003F3012"/>
    <w:rsid w:val="003F3353"/>
    <w:rsid w:val="003F3D65"/>
    <w:rsid w:val="003F4863"/>
    <w:rsid w:val="003F4E59"/>
    <w:rsid w:val="003F6F7D"/>
    <w:rsid w:val="004011BC"/>
    <w:rsid w:val="00401873"/>
    <w:rsid w:val="00401DBF"/>
    <w:rsid w:val="004027DC"/>
    <w:rsid w:val="004030EB"/>
    <w:rsid w:val="0040312F"/>
    <w:rsid w:val="00403F29"/>
    <w:rsid w:val="00405FA0"/>
    <w:rsid w:val="00407C58"/>
    <w:rsid w:val="00410643"/>
    <w:rsid w:val="0041087E"/>
    <w:rsid w:val="00410B51"/>
    <w:rsid w:val="00410C40"/>
    <w:rsid w:val="00410E5E"/>
    <w:rsid w:val="00411C5D"/>
    <w:rsid w:val="00411EFD"/>
    <w:rsid w:val="0041254F"/>
    <w:rsid w:val="00414B54"/>
    <w:rsid w:val="00414C97"/>
    <w:rsid w:val="00415BE6"/>
    <w:rsid w:val="00415E48"/>
    <w:rsid w:val="004176E2"/>
    <w:rsid w:val="004207E0"/>
    <w:rsid w:val="00421B0A"/>
    <w:rsid w:val="00422AEE"/>
    <w:rsid w:val="00424679"/>
    <w:rsid w:val="00424B68"/>
    <w:rsid w:val="004274F1"/>
    <w:rsid w:val="00430124"/>
    <w:rsid w:val="00431A5F"/>
    <w:rsid w:val="0043375E"/>
    <w:rsid w:val="004338F0"/>
    <w:rsid w:val="004339CB"/>
    <w:rsid w:val="0043438D"/>
    <w:rsid w:val="0043604C"/>
    <w:rsid w:val="004363A7"/>
    <w:rsid w:val="0043747E"/>
    <w:rsid w:val="004374D2"/>
    <w:rsid w:val="00441FAC"/>
    <w:rsid w:val="004444E8"/>
    <w:rsid w:val="00447191"/>
    <w:rsid w:val="004472D9"/>
    <w:rsid w:val="00447D9F"/>
    <w:rsid w:val="00450036"/>
    <w:rsid w:val="00450CD9"/>
    <w:rsid w:val="00450F21"/>
    <w:rsid w:val="0045377C"/>
    <w:rsid w:val="00454AFC"/>
    <w:rsid w:val="004557EC"/>
    <w:rsid w:val="00456882"/>
    <w:rsid w:val="00460445"/>
    <w:rsid w:val="004615CC"/>
    <w:rsid w:val="00462F95"/>
    <w:rsid w:val="00465FD7"/>
    <w:rsid w:val="00467710"/>
    <w:rsid w:val="00470704"/>
    <w:rsid w:val="00470C48"/>
    <w:rsid w:val="00471097"/>
    <w:rsid w:val="0047350D"/>
    <w:rsid w:val="004736F6"/>
    <w:rsid w:val="004741BE"/>
    <w:rsid w:val="0047435A"/>
    <w:rsid w:val="0047471D"/>
    <w:rsid w:val="00474F5A"/>
    <w:rsid w:val="004750CE"/>
    <w:rsid w:val="00475E3A"/>
    <w:rsid w:val="0047671F"/>
    <w:rsid w:val="004777A3"/>
    <w:rsid w:val="004805F0"/>
    <w:rsid w:val="004809A1"/>
    <w:rsid w:val="00480E7B"/>
    <w:rsid w:val="00481469"/>
    <w:rsid w:val="00483E8E"/>
    <w:rsid w:val="00487847"/>
    <w:rsid w:val="004915FD"/>
    <w:rsid w:val="00493ED0"/>
    <w:rsid w:val="00494237"/>
    <w:rsid w:val="00494F08"/>
    <w:rsid w:val="004955FF"/>
    <w:rsid w:val="00495AA3"/>
    <w:rsid w:val="00496A97"/>
    <w:rsid w:val="004976DA"/>
    <w:rsid w:val="004A09CA"/>
    <w:rsid w:val="004A348D"/>
    <w:rsid w:val="004A3EA4"/>
    <w:rsid w:val="004A4E4D"/>
    <w:rsid w:val="004A540D"/>
    <w:rsid w:val="004A561D"/>
    <w:rsid w:val="004B0FD1"/>
    <w:rsid w:val="004B21F4"/>
    <w:rsid w:val="004B3DC7"/>
    <w:rsid w:val="004B56E0"/>
    <w:rsid w:val="004B6EE2"/>
    <w:rsid w:val="004B781C"/>
    <w:rsid w:val="004C05F7"/>
    <w:rsid w:val="004C22DC"/>
    <w:rsid w:val="004C2A74"/>
    <w:rsid w:val="004C2AA9"/>
    <w:rsid w:val="004C31EB"/>
    <w:rsid w:val="004C5B7E"/>
    <w:rsid w:val="004D0665"/>
    <w:rsid w:val="004D15A9"/>
    <w:rsid w:val="004D3D74"/>
    <w:rsid w:val="004D495B"/>
    <w:rsid w:val="004D5FC2"/>
    <w:rsid w:val="004E1579"/>
    <w:rsid w:val="004E16C1"/>
    <w:rsid w:val="004E1C66"/>
    <w:rsid w:val="004E20F8"/>
    <w:rsid w:val="004E228E"/>
    <w:rsid w:val="004E2717"/>
    <w:rsid w:val="004E2FDC"/>
    <w:rsid w:val="004E42A9"/>
    <w:rsid w:val="004E4469"/>
    <w:rsid w:val="004E633C"/>
    <w:rsid w:val="004E6507"/>
    <w:rsid w:val="004E7F5E"/>
    <w:rsid w:val="004F1656"/>
    <w:rsid w:val="004F1A8E"/>
    <w:rsid w:val="004F438D"/>
    <w:rsid w:val="004F5701"/>
    <w:rsid w:val="005029E8"/>
    <w:rsid w:val="00503807"/>
    <w:rsid w:val="00503DBC"/>
    <w:rsid w:val="00505058"/>
    <w:rsid w:val="00506CA5"/>
    <w:rsid w:val="0050720A"/>
    <w:rsid w:val="00507B2F"/>
    <w:rsid w:val="00507D8B"/>
    <w:rsid w:val="00507DBA"/>
    <w:rsid w:val="00510023"/>
    <w:rsid w:val="00510102"/>
    <w:rsid w:val="00510DF4"/>
    <w:rsid w:val="00511159"/>
    <w:rsid w:val="0051362C"/>
    <w:rsid w:val="00514B3D"/>
    <w:rsid w:val="00514D72"/>
    <w:rsid w:val="00515E10"/>
    <w:rsid w:val="005167BA"/>
    <w:rsid w:val="00516854"/>
    <w:rsid w:val="00516B17"/>
    <w:rsid w:val="005200AF"/>
    <w:rsid w:val="0052033C"/>
    <w:rsid w:val="00520CD9"/>
    <w:rsid w:val="00521800"/>
    <w:rsid w:val="00522909"/>
    <w:rsid w:val="00523CD8"/>
    <w:rsid w:val="00524002"/>
    <w:rsid w:val="005249AC"/>
    <w:rsid w:val="00525850"/>
    <w:rsid w:val="005269A3"/>
    <w:rsid w:val="0052732F"/>
    <w:rsid w:val="005276D2"/>
    <w:rsid w:val="005300E7"/>
    <w:rsid w:val="005308CA"/>
    <w:rsid w:val="00531B3A"/>
    <w:rsid w:val="00531C99"/>
    <w:rsid w:val="0053355D"/>
    <w:rsid w:val="005355EC"/>
    <w:rsid w:val="00535AFE"/>
    <w:rsid w:val="00535D4A"/>
    <w:rsid w:val="005372F8"/>
    <w:rsid w:val="0053767A"/>
    <w:rsid w:val="00537CBF"/>
    <w:rsid w:val="0054096D"/>
    <w:rsid w:val="0054117B"/>
    <w:rsid w:val="005421F5"/>
    <w:rsid w:val="00542224"/>
    <w:rsid w:val="005444D5"/>
    <w:rsid w:val="00544F32"/>
    <w:rsid w:val="00545190"/>
    <w:rsid w:val="005459AB"/>
    <w:rsid w:val="005461C4"/>
    <w:rsid w:val="00546AFB"/>
    <w:rsid w:val="00546B6C"/>
    <w:rsid w:val="00550544"/>
    <w:rsid w:val="0055164B"/>
    <w:rsid w:val="00552B3B"/>
    <w:rsid w:val="005535B0"/>
    <w:rsid w:val="005548F0"/>
    <w:rsid w:val="00554BFB"/>
    <w:rsid w:val="00560DFB"/>
    <w:rsid w:val="00560E08"/>
    <w:rsid w:val="00560EF4"/>
    <w:rsid w:val="00561A2D"/>
    <w:rsid w:val="00563720"/>
    <w:rsid w:val="00564752"/>
    <w:rsid w:val="0056609F"/>
    <w:rsid w:val="00566635"/>
    <w:rsid w:val="0056676C"/>
    <w:rsid w:val="00567A1E"/>
    <w:rsid w:val="005711E2"/>
    <w:rsid w:val="00571B98"/>
    <w:rsid w:val="00573F2F"/>
    <w:rsid w:val="005757A9"/>
    <w:rsid w:val="00576D38"/>
    <w:rsid w:val="00577AB8"/>
    <w:rsid w:val="0058109D"/>
    <w:rsid w:val="0058118D"/>
    <w:rsid w:val="00582640"/>
    <w:rsid w:val="00583899"/>
    <w:rsid w:val="00584371"/>
    <w:rsid w:val="005847B9"/>
    <w:rsid w:val="00586060"/>
    <w:rsid w:val="00586DC4"/>
    <w:rsid w:val="005872F9"/>
    <w:rsid w:val="00587A1D"/>
    <w:rsid w:val="00590021"/>
    <w:rsid w:val="00590D6E"/>
    <w:rsid w:val="00591439"/>
    <w:rsid w:val="00591FB1"/>
    <w:rsid w:val="00594E2C"/>
    <w:rsid w:val="0059534B"/>
    <w:rsid w:val="005963D0"/>
    <w:rsid w:val="005A0597"/>
    <w:rsid w:val="005A0FED"/>
    <w:rsid w:val="005A15A0"/>
    <w:rsid w:val="005A2175"/>
    <w:rsid w:val="005A4FB6"/>
    <w:rsid w:val="005A535C"/>
    <w:rsid w:val="005A70B2"/>
    <w:rsid w:val="005A7439"/>
    <w:rsid w:val="005B05B2"/>
    <w:rsid w:val="005B37BB"/>
    <w:rsid w:val="005B5AD5"/>
    <w:rsid w:val="005C005E"/>
    <w:rsid w:val="005C0942"/>
    <w:rsid w:val="005C2211"/>
    <w:rsid w:val="005C391E"/>
    <w:rsid w:val="005C4386"/>
    <w:rsid w:val="005C5315"/>
    <w:rsid w:val="005C6C3B"/>
    <w:rsid w:val="005C7621"/>
    <w:rsid w:val="005D18E9"/>
    <w:rsid w:val="005D5004"/>
    <w:rsid w:val="005D53EF"/>
    <w:rsid w:val="005D6538"/>
    <w:rsid w:val="005D6DE3"/>
    <w:rsid w:val="005E01D6"/>
    <w:rsid w:val="005E0DC4"/>
    <w:rsid w:val="005E1DE3"/>
    <w:rsid w:val="005E563D"/>
    <w:rsid w:val="005E5D56"/>
    <w:rsid w:val="005E6E5B"/>
    <w:rsid w:val="005E71A7"/>
    <w:rsid w:val="005F0640"/>
    <w:rsid w:val="005F1429"/>
    <w:rsid w:val="005F209F"/>
    <w:rsid w:val="005F227D"/>
    <w:rsid w:val="005F2472"/>
    <w:rsid w:val="005F3C3A"/>
    <w:rsid w:val="005F49C5"/>
    <w:rsid w:val="005F52C9"/>
    <w:rsid w:val="005F5550"/>
    <w:rsid w:val="005F5935"/>
    <w:rsid w:val="005F5E30"/>
    <w:rsid w:val="005F7617"/>
    <w:rsid w:val="006000A9"/>
    <w:rsid w:val="00602285"/>
    <w:rsid w:val="0060274F"/>
    <w:rsid w:val="00602E69"/>
    <w:rsid w:val="00602F16"/>
    <w:rsid w:val="00603041"/>
    <w:rsid w:val="00603E79"/>
    <w:rsid w:val="00606674"/>
    <w:rsid w:val="00606FFF"/>
    <w:rsid w:val="006076DB"/>
    <w:rsid w:val="00607C43"/>
    <w:rsid w:val="006105A4"/>
    <w:rsid w:val="0061089B"/>
    <w:rsid w:val="00611644"/>
    <w:rsid w:val="00611C45"/>
    <w:rsid w:val="00611E50"/>
    <w:rsid w:val="00611E55"/>
    <w:rsid w:val="006133CA"/>
    <w:rsid w:val="00613739"/>
    <w:rsid w:val="00614A46"/>
    <w:rsid w:val="00614A94"/>
    <w:rsid w:val="006171CA"/>
    <w:rsid w:val="00617F21"/>
    <w:rsid w:val="00620D75"/>
    <w:rsid w:val="00620F36"/>
    <w:rsid w:val="00621A85"/>
    <w:rsid w:val="00621B86"/>
    <w:rsid w:val="006222BC"/>
    <w:rsid w:val="00622C17"/>
    <w:rsid w:val="00622EA3"/>
    <w:rsid w:val="0062304B"/>
    <w:rsid w:val="00623533"/>
    <w:rsid w:val="00623F03"/>
    <w:rsid w:val="00624777"/>
    <w:rsid w:val="006248B4"/>
    <w:rsid w:val="006265CC"/>
    <w:rsid w:val="006266A9"/>
    <w:rsid w:val="00627112"/>
    <w:rsid w:val="00627151"/>
    <w:rsid w:val="006279E5"/>
    <w:rsid w:val="00630597"/>
    <w:rsid w:val="00630A26"/>
    <w:rsid w:val="00630BD9"/>
    <w:rsid w:val="006315F7"/>
    <w:rsid w:val="006316D8"/>
    <w:rsid w:val="00631D04"/>
    <w:rsid w:val="006328F6"/>
    <w:rsid w:val="00632E99"/>
    <w:rsid w:val="00633B7F"/>
    <w:rsid w:val="00635967"/>
    <w:rsid w:val="006363C4"/>
    <w:rsid w:val="006364CF"/>
    <w:rsid w:val="00636A28"/>
    <w:rsid w:val="00640186"/>
    <w:rsid w:val="00640FCE"/>
    <w:rsid w:val="0064121A"/>
    <w:rsid w:val="00642978"/>
    <w:rsid w:val="00643166"/>
    <w:rsid w:val="00643CC8"/>
    <w:rsid w:val="0064452D"/>
    <w:rsid w:val="006460FA"/>
    <w:rsid w:val="00646444"/>
    <w:rsid w:val="00647F28"/>
    <w:rsid w:val="00652C32"/>
    <w:rsid w:val="0065478A"/>
    <w:rsid w:val="006561BD"/>
    <w:rsid w:val="00660068"/>
    <w:rsid w:val="00662B4B"/>
    <w:rsid w:val="00662DFD"/>
    <w:rsid w:val="00663121"/>
    <w:rsid w:val="00663714"/>
    <w:rsid w:val="0066408C"/>
    <w:rsid w:val="0066423C"/>
    <w:rsid w:val="00664674"/>
    <w:rsid w:val="00665435"/>
    <w:rsid w:val="006671C0"/>
    <w:rsid w:val="00670291"/>
    <w:rsid w:val="0067030D"/>
    <w:rsid w:val="00671046"/>
    <w:rsid w:val="006719DB"/>
    <w:rsid w:val="006720DF"/>
    <w:rsid w:val="00672F70"/>
    <w:rsid w:val="0067474D"/>
    <w:rsid w:val="006750FB"/>
    <w:rsid w:val="006774DF"/>
    <w:rsid w:val="00680669"/>
    <w:rsid w:val="00680B98"/>
    <w:rsid w:val="00680F78"/>
    <w:rsid w:val="00681894"/>
    <w:rsid w:val="00682F7A"/>
    <w:rsid w:val="0068327D"/>
    <w:rsid w:val="0068568D"/>
    <w:rsid w:val="00685F63"/>
    <w:rsid w:val="00686167"/>
    <w:rsid w:val="006874EB"/>
    <w:rsid w:val="00687B4A"/>
    <w:rsid w:val="006906B3"/>
    <w:rsid w:val="00690F9E"/>
    <w:rsid w:val="006915CB"/>
    <w:rsid w:val="00692954"/>
    <w:rsid w:val="006953EB"/>
    <w:rsid w:val="00696B0B"/>
    <w:rsid w:val="0069767B"/>
    <w:rsid w:val="00697DF3"/>
    <w:rsid w:val="006A05BB"/>
    <w:rsid w:val="006A067C"/>
    <w:rsid w:val="006A09BF"/>
    <w:rsid w:val="006A194B"/>
    <w:rsid w:val="006A1CEB"/>
    <w:rsid w:val="006A3C03"/>
    <w:rsid w:val="006A4538"/>
    <w:rsid w:val="006A488B"/>
    <w:rsid w:val="006A4F3D"/>
    <w:rsid w:val="006A5ECB"/>
    <w:rsid w:val="006B0148"/>
    <w:rsid w:val="006B3E5B"/>
    <w:rsid w:val="006B3F73"/>
    <w:rsid w:val="006B418A"/>
    <w:rsid w:val="006B52F9"/>
    <w:rsid w:val="006B546A"/>
    <w:rsid w:val="006B744A"/>
    <w:rsid w:val="006B758F"/>
    <w:rsid w:val="006B774F"/>
    <w:rsid w:val="006B7F95"/>
    <w:rsid w:val="006C0360"/>
    <w:rsid w:val="006C0F40"/>
    <w:rsid w:val="006C2B74"/>
    <w:rsid w:val="006C366F"/>
    <w:rsid w:val="006C6BDF"/>
    <w:rsid w:val="006C6CB2"/>
    <w:rsid w:val="006C795B"/>
    <w:rsid w:val="006C7DA0"/>
    <w:rsid w:val="006D072A"/>
    <w:rsid w:val="006D1F4F"/>
    <w:rsid w:val="006D2558"/>
    <w:rsid w:val="006D36FE"/>
    <w:rsid w:val="006D4D9B"/>
    <w:rsid w:val="006D51EB"/>
    <w:rsid w:val="006D63C3"/>
    <w:rsid w:val="006D6417"/>
    <w:rsid w:val="006D7255"/>
    <w:rsid w:val="006D7981"/>
    <w:rsid w:val="006E06BF"/>
    <w:rsid w:val="006E090A"/>
    <w:rsid w:val="006E0E05"/>
    <w:rsid w:val="006E1159"/>
    <w:rsid w:val="006E439F"/>
    <w:rsid w:val="006E5027"/>
    <w:rsid w:val="006E5CD1"/>
    <w:rsid w:val="006E66FD"/>
    <w:rsid w:val="006E6B57"/>
    <w:rsid w:val="006F0BC4"/>
    <w:rsid w:val="006F0D14"/>
    <w:rsid w:val="006F1996"/>
    <w:rsid w:val="006F31B4"/>
    <w:rsid w:val="006F3C7F"/>
    <w:rsid w:val="006F42BB"/>
    <w:rsid w:val="006F42E4"/>
    <w:rsid w:val="006F4783"/>
    <w:rsid w:val="006F6006"/>
    <w:rsid w:val="00702493"/>
    <w:rsid w:val="00705995"/>
    <w:rsid w:val="00705AFB"/>
    <w:rsid w:val="00705B84"/>
    <w:rsid w:val="00705F09"/>
    <w:rsid w:val="0070753B"/>
    <w:rsid w:val="00711E4D"/>
    <w:rsid w:val="00712462"/>
    <w:rsid w:val="0071280F"/>
    <w:rsid w:val="00713D4A"/>
    <w:rsid w:val="00714606"/>
    <w:rsid w:val="0071544E"/>
    <w:rsid w:val="0071620A"/>
    <w:rsid w:val="007228DB"/>
    <w:rsid w:val="007231B8"/>
    <w:rsid w:val="0072406B"/>
    <w:rsid w:val="0072429C"/>
    <w:rsid w:val="007253BB"/>
    <w:rsid w:val="00725C7E"/>
    <w:rsid w:val="007260D9"/>
    <w:rsid w:val="00727F3F"/>
    <w:rsid w:val="00730D22"/>
    <w:rsid w:val="007333AA"/>
    <w:rsid w:val="00733F0A"/>
    <w:rsid w:val="0073429A"/>
    <w:rsid w:val="007349EF"/>
    <w:rsid w:val="00736555"/>
    <w:rsid w:val="00736C26"/>
    <w:rsid w:val="00737F3A"/>
    <w:rsid w:val="007408CA"/>
    <w:rsid w:val="00743076"/>
    <w:rsid w:val="007434D3"/>
    <w:rsid w:val="00743864"/>
    <w:rsid w:val="00743966"/>
    <w:rsid w:val="007442EB"/>
    <w:rsid w:val="00744A3C"/>
    <w:rsid w:val="00744D0D"/>
    <w:rsid w:val="00745A2D"/>
    <w:rsid w:val="0074611C"/>
    <w:rsid w:val="00746F64"/>
    <w:rsid w:val="00751269"/>
    <w:rsid w:val="00752F78"/>
    <w:rsid w:val="0075346C"/>
    <w:rsid w:val="00757A27"/>
    <w:rsid w:val="00757D1C"/>
    <w:rsid w:val="0076025D"/>
    <w:rsid w:val="00761109"/>
    <w:rsid w:val="00762521"/>
    <w:rsid w:val="00764A84"/>
    <w:rsid w:val="0076534A"/>
    <w:rsid w:val="007654C6"/>
    <w:rsid w:val="0076566C"/>
    <w:rsid w:val="00767562"/>
    <w:rsid w:val="007706BF"/>
    <w:rsid w:val="0077182E"/>
    <w:rsid w:val="00772516"/>
    <w:rsid w:val="00773BA5"/>
    <w:rsid w:val="00774449"/>
    <w:rsid w:val="00775299"/>
    <w:rsid w:val="007753E1"/>
    <w:rsid w:val="0077541B"/>
    <w:rsid w:val="00775848"/>
    <w:rsid w:val="0077777A"/>
    <w:rsid w:val="00780884"/>
    <w:rsid w:val="00780F24"/>
    <w:rsid w:val="00782060"/>
    <w:rsid w:val="00782951"/>
    <w:rsid w:val="007849CC"/>
    <w:rsid w:val="00784A8E"/>
    <w:rsid w:val="00785447"/>
    <w:rsid w:val="00785729"/>
    <w:rsid w:val="00785D45"/>
    <w:rsid w:val="0078637F"/>
    <w:rsid w:val="00787BF8"/>
    <w:rsid w:val="007902E5"/>
    <w:rsid w:val="00790695"/>
    <w:rsid w:val="00792257"/>
    <w:rsid w:val="00792E2D"/>
    <w:rsid w:val="00793D32"/>
    <w:rsid w:val="00793D53"/>
    <w:rsid w:val="00796D83"/>
    <w:rsid w:val="007A0914"/>
    <w:rsid w:val="007A1CCF"/>
    <w:rsid w:val="007A1F23"/>
    <w:rsid w:val="007A3207"/>
    <w:rsid w:val="007A3424"/>
    <w:rsid w:val="007A4079"/>
    <w:rsid w:val="007A40B6"/>
    <w:rsid w:val="007A5E48"/>
    <w:rsid w:val="007A6813"/>
    <w:rsid w:val="007A69EF"/>
    <w:rsid w:val="007A7E9D"/>
    <w:rsid w:val="007B0862"/>
    <w:rsid w:val="007B0971"/>
    <w:rsid w:val="007B1089"/>
    <w:rsid w:val="007B13AE"/>
    <w:rsid w:val="007B4605"/>
    <w:rsid w:val="007B482E"/>
    <w:rsid w:val="007B4CF2"/>
    <w:rsid w:val="007B4D4E"/>
    <w:rsid w:val="007B4D6E"/>
    <w:rsid w:val="007B5040"/>
    <w:rsid w:val="007B531B"/>
    <w:rsid w:val="007B56C5"/>
    <w:rsid w:val="007B60FD"/>
    <w:rsid w:val="007B7891"/>
    <w:rsid w:val="007C19EB"/>
    <w:rsid w:val="007C2AE5"/>
    <w:rsid w:val="007C3BA4"/>
    <w:rsid w:val="007C4739"/>
    <w:rsid w:val="007C55EA"/>
    <w:rsid w:val="007C6784"/>
    <w:rsid w:val="007C6C9A"/>
    <w:rsid w:val="007C6F6B"/>
    <w:rsid w:val="007C76C2"/>
    <w:rsid w:val="007D25A5"/>
    <w:rsid w:val="007D283C"/>
    <w:rsid w:val="007D2B15"/>
    <w:rsid w:val="007D48BD"/>
    <w:rsid w:val="007D5627"/>
    <w:rsid w:val="007D5841"/>
    <w:rsid w:val="007D5D4E"/>
    <w:rsid w:val="007D6C78"/>
    <w:rsid w:val="007E10B9"/>
    <w:rsid w:val="007E2775"/>
    <w:rsid w:val="007E2DFD"/>
    <w:rsid w:val="007E36BF"/>
    <w:rsid w:val="007E4390"/>
    <w:rsid w:val="007E4C03"/>
    <w:rsid w:val="007E6F40"/>
    <w:rsid w:val="007F013D"/>
    <w:rsid w:val="007F0822"/>
    <w:rsid w:val="007F0EE1"/>
    <w:rsid w:val="007F17DC"/>
    <w:rsid w:val="007F432C"/>
    <w:rsid w:val="007F4352"/>
    <w:rsid w:val="007F64FB"/>
    <w:rsid w:val="007F7264"/>
    <w:rsid w:val="007F78BB"/>
    <w:rsid w:val="008002E3"/>
    <w:rsid w:val="00800FF5"/>
    <w:rsid w:val="00802E12"/>
    <w:rsid w:val="0080499E"/>
    <w:rsid w:val="0080555A"/>
    <w:rsid w:val="0080611D"/>
    <w:rsid w:val="00806E36"/>
    <w:rsid w:val="00806E5A"/>
    <w:rsid w:val="008079FB"/>
    <w:rsid w:val="008105F8"/>
    <w:rsid w:val="00810688"/>
    <w:rsid w:val="00812520"/>
    <w:rsid w:val="008126BF"/>
    <w:rsid w:val="008135C6"/>
    <w:rsid w:val="00813DE9"/>
    <w:rsid w:val="00814256"/>
    <w:rsid w:val="00814489"/>
    <w:rsid w:val="00814744"/>
    <w:rsid w:val="00814C27"/>
    <w:rsid w:val="008156CF"/>
    <w:rsid w:val="008157BC"/>
    <w:rsid w:val="00815C53"/>
    <w:rsid w:val="00820A8D"/>
    <w:rsid w:val="00821D12"/>
    <w:rsid w:val="008223A0"/>
    <w:rsid w:val="0082259D"/>
    <w:rsid w:val="00822E82"/>
    <w:rsid w:val="00823731"/>
    <w:rsid w:val="00824B38"/>
    <w:rsid w:val="00824BD3"/>
    <w:rsid w:val="00825492"/>
    <w:rsid w:val="0082576A"/>
    <w:rsid w:val="00826E0C"/>
    <w:rsid w:val="00827998"/>
    <w:rsid w:val="008279F5"/>
    <w:rsid w:val="00830142"/>
    <w:rsid w:val="008309C0"/>
    <w:rsid w:val="00831B6F"/>
    <w:rsid w:val="00832469"/>
    <w:rsid w:val="008346C1"/>
    <w:rsid w:val="00834B23"/>
    <w:rsid w:val="008356E5"/>
    <w:rsid w:val="00836654"/>
    <w:rsid w:val="00836AB7"/>
    <w:rsid w:val="00836ECE"/>
    <w:rsid w:val="008378B8"/>
    <w:rsid w:val="00842A19"/>
    <w:rsid w:val="00842D0F"/>
    <w:rsid w:val="008456A3"/>
    <w:rsid w:val="00846F2B"/>
    <w:rsid w:val="00847884"/>
    <w:rsid w:val="0084795B"/>
    <w:rsid w:val="00847BBB"/>
    <w:rsid w:val="0085079B"/>
    <w:rsid w:val="008519D9"/>
    <w:rsid w:val="00852DA6"/>
    <w:rsid w:val="00852EF8"/>
    <w:rsid w:val="00854D6D"/>
    <w:rsid w:val="00855CF8"/>
    <w:rsid w:val="008564DD"/>
    <w:rsid w:val="00857A25"/>
    <w:rsid w:val="0086078D"/>
    <w:rsid w:val="00861610"/>
    <w:rsid w:val="00861AB5"/>
    <w:rsid w:val="008621A1"/>
    <w:rsid w:val="00862B89"/>
    <w:rsid w:val="0086655F"/>
    <w:rsid w:val="008667E3"/>
    <w:rsid w:val="00866A55"/>
    <w:rsid w:val="008676B0"/>
    <w:rsid w:val="0087003A"/>
    <w:rsid w:val="00870138"/>
    <w:rsid w:val="0087150C"/>
    <w:rsid w:val="00871B95"/>
    <w:rsid w:val="00871C6F"/>
    <w:rsid w:val="0087200E"/>
    <w:rsid w:val="008726CE"/>
    <w:rsid w:val="008731D4"/>
    <w:rsid w:val="00874781"/>
    <w:rsid w:val="00874B4B"/>
    <w:rsid w:val="00875944"/>
    <w:rsid w:val="00877A60"/>
    <w:rsid w:val="00877B8E"/>
    <w:rsid w:val="00877CE7"/>
    <w:rsid w:val="00877E21"/>
    <w:rsid w:val="00880A5A"/>
    <w:rsid w:val="00882644"/>
    <w:rsid w:val="0088395F"/>
    <w:rsid w:val="00883CA0"/>
    <w:rsid w:val="00883ED2"/>
    <w:rsid w:val="00884097"/>
    <w:rsid w:val="008849D1"/>
    <w:rsid w:val="00884CA6"/>
    <w:rsid w:val="00885B76"/>
    <w:rsid w:val="00886DCC"/>
    <w:rsid w:val="008872AB"/>
    <w:rsid w:val="00887727"/>
    <w:rsid w:val="00890974"/>
    <w:rsid w:val="008917DA"/>
    <w:rsid w:val="00892F58"/>
    <w:rsid w:val="00893367"/>
    <w:rsid w:val="00893918"/>
    <w:rsid w:val="00894938"/>
    <w:rsid w:val="0089557B"/>
    <w:rsid w:val="0089586C"/>
    <w:rsid w:val="008959A8"/>
    <w:rsid w:val="00895FDA"/>
    <w:rsid w:val="008969E0"/>
    <w:rsid w:val="008A0FC8"/>
    <w:rsid w:val="008A1AE5"/>
    <w:rsid w:val="008A2246"/>
    <w:rsid w:val="008A2922"/>
    <w:rsid w:val="008A2C55"/>
    <w:rsid w:val="008A401C"/>
    <w:rsid w:val="008A564A"/>
    <w:rsid w:val="008A7977"/>
    <w:rsid w:val="008A79F2"/>
    <w:rsid w:val="008B14BF"/>
    <w:rsid w:val="008B198F"/>
    <w:rsid w:val="008B1E63"/>
    <w:rsid w:val="008B276C"/>
    <w:rsid w:val="008B3557"/>
    <w:rsid w:val="008B499D"/>
    <w:rsid w:val="008B49B7"/>
    <w:rsid w:val="008B4A7E"/>
    <w:rsid w:val="008B4A9D"/>
    <w:rsid w:val="008B4C11"/>
    <w:rsid w:val="008B5C8A"/>
    <w:rsid w:val="008B6194"/>
    <w:rsid w:val="008B690B"/>
    <w:rsid w:val="008B6A81"/>
    <w:rsid w:val="008C07E7"/>
    <w:rsid w:val="008C081A"/>
    <w:rsid w:val="008C0F2E"/>
    <w:rsid w:val="008C2272"/>
    <w:rsid w:val="008C2E8D"/>
    <w:rsid w:val="008C3C79"/>
    <w:rsid w:val="008C3D08"/>
    <w:rsid w:val="008C5242"/>
    <w:rsid w:val="008C6458"/>
    <w:rsid w:val="008C69E1"/>
    <w:rsid w:val="008C6D96"/>
    <w:rsid w:val="008C6FD1"/>
    <w:rsid w:val="008C7DE7"/>
    <w:rsid w:val="008D0D7C"/>
    <w:rsid w:val="008D170F"/>
    <w:rsid w:val="008D1CF4"/>
    <w:rsid w:val="008D3BD7"/>
    <w:rsid w:val="008D405A"/>
    <w:rsid w:val="008D53D8"/>
    <w:rsid w:val="008D7E62"/>
    <w:rsid w:val="008E0D60"/>
    <w:rsid w:val="008E18A2"/>
    <w:rsid w:val="008E216B"/>
    <w:rsid w:val="008E2B9A"/>
    <w:rsid w:val="008E321D"/>
    <w:rsid w:val="008E7D9E"/>
    <w:rsid w:val="008E7EC4"/>
    <w:rsid w:val="008F04D9"/>
    <w:rsid w:val="008F3364"/>
    <w:rsid w:val="008F37F7"/>
    <w:rsid w:val="008F4602"/>
    <w:rsid w:val="008F5098"/>
    <w:rsid w:val="008F7692"/>
    <w:rsid w:val="0090033D"/>
    <w:rsid w:val="009008CC"/>
    <w:rsid w:val="009028C1"/>
    <w:rsid w:val="009029D1"/>
    <w:rsid w:val="00903A48"/>
    <w:rsid w:val="00904632"/>
    <w:rsid w:val="00904E74"/>
    <w:rsid w:val="009065B9"/>
    <w:rsid w:val="009068B2"/>
    <w:rsid w:val="00906EEA"/>
    <w:rsid w:val="009108CD"/>
    <w:rsid w:val="00911A25"/>
    <w:rsid w:val="009122B7"/>
    <w:rsid w:val="00915CAD"/>
    <w:rsid w:val="00917C30"/>
    <w:rsid w:val="00920C62"/>
    <w:rsid w:val="0092139E"/>
    <w:rsid w:val="009214A1"/>
    <w:rsid w:val="00922A54"/>
    <w:rsid w:val="0092398C"/>
    <w:rsid w:val="009252A6"/>
    <w:rsid w:val="00925B6A"/>
    <w:rsid w:val="00926FB9"/>
    <w:rsid w:val="00927F32"/>
    <w:rsid w:val="00930A08"/>
    <w:rsid w:val="00930CB2"/>
    <w:rsid w:val="00931CEA"/>
    <w:rsid w:val="0093229F"/>
    <w:rsid w:val="00932C62"/>
    <w:rsid w:val="00932E84"/>
    <w:rsid w:val="0093431D"/>
    <w:rsid w:val="009350DB"/>
    <w:rsid w:val="009408F3"/>
    <w:rsid w:val="009411E4"/>
    <w:rsid w:val="0094179D"/>
    <w:rsid w:val="00942B4A"/>
    <w:rsid w:val="009430C1"/>
    <w:rsid w:val="00944EB8"/>
    <w:rsid w:val="00945DD7"/>
    <w:rsid w:val="0095029B"/>
    <w:rsid w:val="00950816"/>
    <w:rsid w:val="009513D6"/>
    <w:rsid w:val="009514A7"/>
    <w:rsid w:val="009527BF"/>
    <w:rsid w:val="00952C04"/>
    <w:rsid w:val="0095645C"/>
    <w:rsid w:val="00956A12"/>
    <w:rsid w:val="00956B74"/>
    <w:rsid w:val="00960CCF"/>
    <w:rsid w:val="00962A25"/>
    <w:rsid w:val="00962E38"/>
    <w:rsid w:val="0096307A"/>
    <w:rsid w:val="00964788"/>
    <w:rsid w:val="00965A40"/>
    <w:rsid w:val="009678C8"/>
    <w:rsid w:val="00967B52"/>
    <w:rsid w:val="00967D7D"/>
    <w:rsid w:val="00970A0E"/>
    <w:rsid w:val="009711FC"/>
    <w:rsid w:val="00971607"/>
    <w:rsid w:val="00972E7D"/>
    <w:rsid w:val="009739F9"/>
    <w:rsid w:val="0097529A"/>
    <w:rsid w:val="0097611A"/>
    <w:rsid w:val="0097637E"/>
    <w:rsid w:val="00977925"/>
    <w:rsid w:val="00977A7E"/>
    <w:rsid w:val="0098121F"/>
    <w:rsid w:val="00984743"/>
    <w:rsid w:val="00985344"/>
    <w:rsid w:val="00985A71"/>
    <w:rsid w:val="0098726C"/>
    <w:rsid w:val="00987B4B"/>
    <w:rsid w:val="00991B9C"/>
    <w:rsid w:val="00991FB6"/>
    <w:rsid w:val="009923B6"/>
    <w:rsid w:val="00993E56"/>
    <w:rsid w:val="00994DF1"/>
    <w:rsid w:val="00995A5D"/>
    <w:rsid w:val="009A061B"/>
    <w:rsid w:val="009A07C7"/>
    <w:rsid w:val="009A0D08"/>
    <w:rsid w:val="009A287C"/>
    <w:rsid w:val="009A3403"/>
    <w:rsid w:val="009A38B8"/>
    <w:rsid w:val="009A4490"/>
    <w:rsid w:val="009A7CDB"/>
    <w:rsid w:val="009B0115"/>
    <w:rsid w:val="009B1A79"/>
    <w:rsid w:val="009B3251"/>
    <w:rsid w:val="009B409D"/>
    <w:rsid w:val="009B50C7"/>
    <w:rsid w:val="009B5693"/>
    <w:rsid w:val="009B6E6A"/>
    <w:rsid w:val="009B7602"/>
    <w:rsid w:val="009C01E8"/>
    <w:rsid w:val="009C1E0C"/>
    <w:rsid w:val="009C2885"/>
    <w:rsid w:val="009C3FB9"/>
    <w:rsid w:val="009C5236"/>
    <w:rsid w:val="009C68F3"/>
    <w:rsid w:val="009C6F81"/>
    <w:rsid w:val="009D07E6"/>
    <w:rsid w:val="009D07F4"/>
    <w:rsid w:val="009D1357"/>
    <w:rsid w:val="009D4874"/>
    <w:rsid w:val="009D57CC"/>
    <w:rsid w:val="009D67EE"/>
    <w:rsid w:val="009D734B"/>
    <w:rsid w:val="009D7F76"/>
    <w:rsid w:val="009E2EBE"/>
    <w:rsid w:val="009E33D4"/>
    <w:rsid w:val="009E3CCA"/>
    <w:rsid w:val="009E5957"/>
    <w:rsid w:val="009E672F"/>
    <w:rsid w:val="009E7E83"/>
    <w:rsid w:val="009F0184"/>
    <w:rsid w:val="009F1824"/>
    <w:rsid w:val="009F1C39"/>
    <w:rsid w:val="009F262A"/>
    <w:rsid w:val="009F2E6E"/>
    <w:rsid w:val="009F30C1"/>
    <w:rsid w:val="009F3566"/>
    <w:rsid w:val="009F44DE"/>
    <w:rsid w:val="009F45D3"/>
    <w:rsid w:val="009F565B"/>
    <w:rsid w:val="009F56AD"/>
    <w:rsid w:val="009F56BF"/>
    <w:rsid w:val="009F61E4"/>
    <w:rsid w:val="009F64C8"/>
    <w:rsid w:val="009F6830"/>
    <w:rsid w:val="009F6884"/>
    <w:rsid w:val="00A00119"/>
    <w:rsid w:val="00A00AF1"/>
    <w:rsid w:val="00A00B7E"/>
    <w:rsid w:val="00A0169A"/>
    <w:rsid w:val="00A01928"/>
    <w:rsid w:val="00A02265"/>
    <w:rsid w:val="00A03B5D"/>
    <w:rsid w:val="00A03B7C"/>
    <w:rsid w:val="00A043ED"/>
    <w:rsid w:val="00A04B44"/>
    <w:rsid w:val="00A06F19"/>
    <w:rsid w:val="00A07846"/>
    <w:rsid w:val="00A129D5"/>
    <w:rsid w:val="00A13F31"/>
    <w:rsid w:val="00A14656"/>
    <w:rsid w:val="00A1499D"/>
    <w:rsid w:val="00A16240"/>
    <w:rsid w:val="00A20016"/>
    <w:rsid w:val="00A20230"/>
    <w:rsid w:val="00A21AE6"/>
    <w:rsid w:val="00A235FF"/>
    <w:rsid w:val="00A24268"/>
    <w:rsid w:val="00A24AF0"/>
    <w:rsid w:val="00A31051"/>
    <w:rsid w:val="00A34547"/>
    <w:rsid w:val="00A35E8B"/>
    <w:rsid w:val="00A35FCA"/>
    <w:rsid w:val="00A3675F"/>
    <w:rsid w:val="00A36F1A"/>
    <w:rsid w:val="00A40352"/>
    <w:rsid w:val="00A422AC"/>
    <w:rsid w:val="00A426FD"/>
    <w:rsid w:val="00A43CC6"/>
    <w:rsid w:val="00A44187"/>
    <w:rsid w:val="00A44464"/>
    <w:rsid w:val="00A45444"/>
    <w:rsid w:val="00A455B8"/>
    <w:rsid w:val="00A46203"/>
    <w:rsid w:val="00A50FB4"/>
    <w:rsid w:val="00A5102C"/>
    <w:rsid w:val="00A5112B"/>
    <w:rsid w:val="00A5235A"/>
    <w:rsid w:val="00A5521E"/>
    <w:rsid w:val="00A552B6"/>
    <w:rsid w:val="00A55D2D"/>
    <w:rsid w:val="00A579EA"/>
    <w:rsid w:val="00A60776"/>
    <w:rsid w:val="00A60BD4"/>
    <w:rsid w:val="00A622BC"/>
    <w:rsid w:val="00A6393E"/>
    <w:rsid w:val="00A65650"/>
    <w:rsid w:val="00A663FB"/>
    <w:rsid w:val="00A67476"/>
    <w:rsid w:val="00A70512"/>
    <w:rsid w:val="00A707AC"/>
    <w:rsid w:val="00A74074"/>
    <w:rsid w:val="00A740A3"/>
    <w:rsid w:val="00A769B2"/>
    <w:rsid w:val="00A76A86"/>
    <w:rsid w:val="00A76CF8"/>
    <w:rsid w:val="00A76E50"/>
    <w:rsid w:val="00A76F1A"/>
    <w:rsid w:val="00A80C25"/>
    <w:rsid w:val="00A84BF5"/>
    <w:rsid w:val="00A8549B"/>
    <w:rsid w:val="00A856FF"/>
    <w:rsid w:val="00A85CE8"/>
    <w:rsid w:val="00A87316"/>
    <w:rsid w:val="00A8783A"/>
    <w:rsid w:val="00A87CB8"/>
    <w:rsid w:val="00A90D8E"/>
    <w:rsid w:val="00A9139F"/>
    <w:rsid w:val="00A92363"/>
    <w:rsid w:val="00A92C10"/>
    <w:rsid w:val="00A93147"/>
    <w:rsid w:val="00A938C3"/>
    <w:rsid w:val="00A94CE6"/>
    <w:rsid w:val="00A95139"/>
    <w:rsid w:val="00A95992"/>
    <w:rsid w:val="00A95E7A"/>
    <w:rsid w:val="00A973E2"/>
    <w:rsid w:val="00A97BEF"/>
    <w:rsid w:val="00AA0959"/>
    <w:rsid w:val="00AA15A2"/>
    <w:rsid w:val="00AA1E4A"/>
    <w:rsid w:val="00AA3B59"/>
    <w:rsid w:val="00AA3C0B"/>
    <w:rsid w:val="00AA4844"/>
    <w:rsid w:val="00AA5A46"/>
    <w:rsid w:val="00AA5B3A"/>
    <w:rsid w:val="00AA5DF8"/>
    <w:rsid w:val="00AA6718"/>
    <w:rsid w:val="00AA769D"/>
    <w:rsid w:val="00AA795D"/>
    <w:rsid w:val="00AB211D"/>
    <w:rsid w:val="00AB2A26"/>
    <w:rsid w:val="00AB3C12"/>
    <w:rsid w:val="00AB40E9"/>
    <w:rsid w:val="00AB410F"/>
    <w:rsid w:val="00AB4B24"/>
    <w:rsid w:val="00AB6FB4"/>
    <w:rsid w:val="00AC0263"/>
    <w:rsid w:val="00AC0A3A"/>
    <w:rsid w:val="00AC1B1E"/>
    <w:rsid w:val="00AC3A37"/>
    <w:rsid w:val="00AC5146"/>
    <w:rsid w:val="00AC58C2"/>
    <w:rsid w:val="00AC603B"/>
    <w:rsid w:val="00AC6B72"/>
    <w:rsid w:val="00AC7809"/>
    <w:rsid w:val="00AC7BC2"/>
    <w:rsid w:val="00AD1887"/>
    <w:rsid w:val="00AD1A10"/>
    <w:rsid w:val="00AD1DC9"/>
    <w:rsid w:val="00AD209F"/>
    <w:rsid w:val="00AD25A8"/>
    <w:rsid w:val="00AD3932"/>
    <w:rsid w:val="00AD4108"/>
    <w:rsid w:val="00AD4D3F"/>
    <w:rsid w:val="00AD54D7"/>
    <w:rsid w:val="00AD6A0C"/>
    <w:rsid w:val="00AD6B8D"/>
    <w:rsid w:val="00AD7170"/>
    <w:rsid w:val="00AD7781"/>
    <w:rsid w:val="00AD7DC3"/>
    <w:rsid w:val="00AD7E26"/>
    <w:rsid w:val="00AD7ED8"/>
    <w:rsid w:val="00AD7F84"/>
    <w:rsid w:val="00AE07C5"/>
    <w:rsid w:val="00AE10B8"/>
    <w:rsid w:val="00AE28BB"/>
    <w:rsid w:val="00AE3164"/>
    <w:rsid w:val="00AE355D"/>
    <w:rsid w:val="00AE469E"/>
    <w:rsid w:val="00AE654D"/>
    <w:rsid w:val="00AE7065"/>
    <w:rsid w:val="00AE727D"/>
    <w:rsid w:val="00AF0318"/>
    <w:rsid w:val="00AF11D7"/>
    <w:rsid w:val="00AF194A"/>
    <w:rsid w:val="00AF39FC"/>
    <w:rsid w:val="00AF3E28"/>
    <w:rsid w:val="00AF4530"/>
    <w:rsid w:val="00AF5662"/>
    <w:rsid w:val="00AF7461"/>
    <w:rsid w:val="00AF7E61"/>
    <w:rsid w:val="00B0107D"/>
    <w:rsid w:val="00B010F3"/>
    <w:rsid w:val="00B010F5"/>
    <w:rsid w:val="00B02296"/>
    <w:rsid w:val="00B03581"/>
    <w:rsid w:val="00B048E3"/>
    <w:rsid w:val="00B04991"/>
    <w:rsid w:val="00B04BE8"/>
    <w:rsid w:val="00B06700"/>
    <w:rsid w:val="00B067BB"/>
    <w:rsid w:val="00B0687A"/>
    <w:rsid w:val="00B068CD"/>
    <w:rsid w:val="00B06F0D"/>
    <w:rsid w:val="00B0716D"/>
    <w:rsid w:val="00B1172B"/>
    <w:rsid w:val="00B120BB"/>
    <w:rsid w:val="00B146C4"/>
    <w:rsid w:val="00B16C70"/>
    <w:rsid w:val="00B16E00"/>
    <w:rsid w:val="00B20960"/>
    <w:rsid w:val="00B212A1"/>
    <w:rsid w:val="00B21FD3"/>
    <w:rsid w:val="00B24F5E"/>
    <w:rsid w:val="00B257AB"/>
    <w:rsid w:val="00B26EB8"/>
    <w:rsid w:val="00B305BA"/>
    <w:rsid w:val="00B31206"/>
    <w:rsid w:val="00B318AF"/>
    <w:rsid w:val="00B32313"/>
    <w:rsid w:val="00B32589"/>
    <w:rsid w:val="00B33D53"/>
    <w:rsid w:val="00B34FE4"/>
    <w:rsid w:val="00B3570B"/>
    <w:rsid w:val="00B35718"/>
    <w:rsid w:val="00B371D4"/>
    <w:rsid w:val="00B376EA"/>
    <w:rsid w:val="00B4009B"/>
    <w:rsid w:val="00B40A35"/>
    <w:rsid w:val="00B43AAE"/>
    <w:rsid w:val="00B44A96"/>
    <w:rsid w:val="00B44B3A"/>
    <w:rsid w:val="00B45018"/>
    <w:rsid w:val="00B46B3B"/>
    <w:rsid w:val="00B46B67"/>
    <w:rsid w:val="00B50B47"/>
    <w:rsid w:val="00B50C21"/>
    <w:rsid w:val="00B518E7"/>
    <w:rsid w:val="00B51C92"/>
    <w:rsid w:val="00B55C67"/>
    <w:rsid w:val="00B56D59"/>
    <w:rsid w:val="00B610BE"/>
    <w:rsid w:val="00B61EC7"/>
    <w:rsid w:val="00B627C8"/>
    <w:rsid w:val="00B65D54"/>
    <w:rsid w:val="00B7185C"/>
    <w:rsid w:val="00B72C49"/>
    <w:rsid w:val="00B73A5C"/>
    <w:rsid w:val="00B73B99"/>
    <w:rsid w:val="00B73D60"/>
    <w:rsid w:val="00B779D4"/>
    <w:rsid w:val="00B82322"/>
    <w:rsid w:val="00B83C67"/>
    <w:rsid w:val="00B84301"/>
    <w:rsid w:val="00B85660"/>
    <w:rsid w:val="00B902E3"/>
    <w:rsid w:val="00B90C32"/>
    <w:rsid w:val="00B9113A"/>
    <w:rsid w:val="00B91AB6"/>
    <w:rsid w:val="00B92B31"/>
    <w:rsid w:val="00B93A89"/>
    <w:rsid w:val="00B943D0"/>
    <w:rsid w:val="00B94563"/>
    <w:rsid w:val="00B94887"/>
    <w:rsid w:val="00B9518E"/>
    <w:rsid w:val="00B957E2"/>
    <w:rsid w:val="00B95A4D"/>
    <w:rsid w:val="00B95CCF"/>
    <w:rsid w:val="00B964B5"/>
    <w:rsid w:val="00BA0479"/>
    <w:rsid w:val="00BA067A"/>
    <w:rsid w:val="00BA09D4"/>
    <w:rsid w:val="00BA11E2"/>
    <w:rsid w:val="00BA1ABA"/>
    <w:rsid w:val="00BA1B0A"/>
    <w:rsid w:val="00BA2C95"/>
    <w:rsid w:val="00BA35CF"/>
    <w:rsid w:val="00BA5EEB"/>
    <w:rsid w:val="00BA6712"/>
    <w:rsid w:val="00BA7D4D"/>
    <w:rsid w:val="00BB11A1"/>
    <w:rsid w:val="00BB12AE"/>
    <w:rsid w:val="00BB3B8C"/>
    <w:rsid w:val="00BB433C"/>
    <w:rsid w:val="00BC1E27"/>
    <w:rsid w:val="00BC54C3"/>
    <w:rsid w:val="00BC54E4"/>
    <w:rsid w:val="00BC561F"/>
    <w:rsid w:val="00BC770F"/>
    <w:rsid w:val="00BC7CD2"/>
    <w:rsid w:val="00BD1AF1"/>
    <w:rsid w:val="00BD2370"/>
    <w:rsid w:val="00BD23D9"/>
    <w:rsid w:val="00BD3075"/>
    <w:rsid w:val="00BD6AC8"/>
    <w:rsid w:val="00BD776F"/>
    <w:rsid w:val="00BE1C21"/>
    <w:rsid w:val="00BE2835"/>
    <w:rsid w:val="00BE7B4A"/>
    <w:rsid w:val="00BF08CA"/>
    <w:rsid w:val="00BF0A58"/>
    <w:rsid w:val="00BF2527"/>
    <w:rsid w:val="00BF25E6"/>
    <w:rsid w:val="00BF3540"/>
    <w:rsid w:val="00BF415E"/>
    <w:rsid w:val="00BF55FC"/>
    <w:rsid w:val="00C02404"/>
    <w:rsid w:val="00C026AF"/>
    <w:rsid w:val="00C02A75"/>
    <w:rsid w:val="00C04334"/>
    <w:rsid w:val="00C05AFD"/>
    <w:rsid w:val="00C06B7B"/>
    <w:rsid w:val="00C06EE9"/>
    <w:rsid w:val="00C10677"/>
    <w:rsid w:val="00C107C5"/>
    <w:rsid w:val="00C10C2F"/>
    <w:rsid w:val="00C10ED6"/>
    <w:rsid w:val="00C1100F"/>
    <w:rsid w:val="00C11C66"/>
    <w:rsid w:val="00C12166"/>
    <w:rsid w:val="00C13843"/>
    <w:rsid w:val="00C13CFD"/>
    <w:rsid w:val="00C1415B"/>
    <w:rsid w:val="00C143A5"/>
    <w:rsid w:val="00C14F51"/>
    <w:rsid w:val="00C15CEC"/>
    <w:rsid w:val="00C16935"/>
    <w:rsid w:val="00C1717A"/>
    <w:rsid w:val="00C17609"/>
    <w:rsid w:val="00C1786E"/>
    <w:rsid w:val="00C22239"/>
    <w:rsid w:val="00C22A16"/>
    <w:rsid w:val="00C2355D"/>
    <w:rsid w:val="00C23FD6"/>
    <w:rsid w:val="00C243E4"/>
    <w:rsid w:val="00C24D0F"/>
    <w:rsid w:val="00C250CF"/>
    <w:rsid w:val="00C25B52"/>
    <w:rsid w:val="00C260B9"/>
    <w:rsid w:val="00C26112"/>
    <w:rsid w:val="00C2748E"/>
    <w:rsid w:val="00C304F3"/>
    <w:rsid w:val="00C319FC"/>
    <w:rsid w:val="00C33B64"/>
    <w:rsid w:val="00C33B69"/>
    <w:rsid w:val="00C33C9F"/>
    <w:rsid w:val="00C34072"/>
    <w:rsid w:val="00C3449A"/>
    <w:rsid w:val="00C34F15"/>
    <w:rsid w:val="00C35A0B"/>
    <w:rsid w:val="00C36666"/>
    <w:rsid w:val="00C3713A"/>
    <w:rsid w:val="00C428B1"/>
    <w:rsid w:val="00C429D6"/>
    <w:rsid w:val="00C44830"/>
    <w:rsid w:val="00C45E35"/>
    <w:rsid w:val="00C4720A"/>
    <w:rsid w:val="00C50430"/>
    <w:rsid w:val="00C517E5"/>
    <w:rsid w:val="00C51F0E"/>
    <w:rsid w:val="00C53810"/>
    <w:rsid w:val="00C53D18"/>
    <w:rsid w:val="00C54B41"/>
    <w:rsid w:val="00C56653"/>
    <w:rsid w:val="00C5725B"/>
    <w:rsid w:val="00C57F83"/>
    <w:rsid w:val="00C603C0"/>
    <w:rsid w:val="00C6047F"/>
    <w:rsid w:val="00C621AF"/>
    <w:rsid w:val="00C630BF"/>
    <w:rsid w:val="00C63689"/>
    <w:rsid w:val="00C64202"/>
    <w:rsid w:val="00C64BC2"/>
    <w:rsid w:val="00C66F49"/>
    <w:rsid w:val="00C673AC"/>
    <w:rsid w:val="00C67B8F"/>
    <w:rsid w:val="00C70EC0"/>
    <w:rsid w:val="00C75DAE"/>
    <w:rsid w:val="00C76AC5"/>
    <w:rsid w:val="00C77557"/>
    <w:rsid w:val="00C81459"/>
    <w:rsid w:val="00C82683"/>
    <w:rsid w:val="00C8385B"/>
    <w:rsid w:val="00C84B0F"/>
    <w:rsid w:val="00C851C0"/>
    <w:rsid w:val="00C864A5"/>
    <w:rsid w:val="00C872D2"/>
    <w:rsid w:val="00C877B5"/>
    <w:rsid w:val="00C87B19"/>
    <w:rsid w:val="00C91C8A"/>
    <w:rsid w:val="00C91E1E"/>
    <w:rsid w:val="00C92AEB"/>
    <w:rsid w:val="00C937A0"/>
    <w:rsid w:val="00C93AA9"/>
    <w:rsid w:val="00C94ACF"/>
    <w:rsid w:val="00C95D4C"/>
    <w:rsid w:val="00C95F2F"/>
    <w:rsid w:val="00C9656A"/>
    <w:rsid w:val="00C9729C"/>
    <w:rsid w:val="00C976AB"/>
    <w:rsid w:val="00C979EC"/>
    <w:rsid w:val="00C97BF9"/>
    <w:rsid w:val="00C97D1B"/>
    <w:rsid w:val="00CA1584"/>
    <w:rsid w:val="00CA27E1"/>
    <w:rsid w:val="00CA2AB8"/>
    <w:rsid w:val="00CA3D1A"/>
    <w:rsid w:val="00CA41C8"/>
    <w:rsid w:val="00CA52D4"/>
    <w:rsid w:val="00CA52E8"/>
    <w:rsid w:val="00CA6027"/>
    <w:rsid w:val="00CA6682"/>
    <w:rsid w:val="00CA6BE3"/>
    <w:rsid w:val="00CA6C71"/>
    <w:rsid w:val="00CB1117"/>
    <w:rsid w:val="00CB3807"/>
    <w:rsid w:val="00CB4C12"/>
    <w:rsid w:val="00CB4D71"/>
    <w:rsid w:val="00CB6663"/>
    <w:rsid w:val="00CB68C7"/>
    <w:rsid w:val="00CB722A"/>
    <w:rsid w:val="00CB7D95"/>
    <w:rsid w:val="00CC18D3"/>
    <w:rsid w:val="00CC1947"/>
    <w:rsid w:val="00CC35B1"/>
    <w:rsid w:val="00CC3895"/>
    <w:rsid w:val="00CC3A7D"/>
    <w:rsid w:val="00CC4FB2"/>
    <w:rsid w:val="00CC5F6A"/>
    <w:rsid w:val="00CC6781"/>
    <w:rsid w:val="00CC6DC1"/>
    <w:rsid w:val="00CC7B1A"/>
    <w:rsid w:val="00CD0BEA"/>
    <w:rsid w:val="00CD0C86"/>
    <w:rsid w:val="00CD0EDC"/>
    <w:rsid w:val="00CD2574"/>
    <w:rsid w:val="00CD32F6"/>
    <w:rsid w:val="00CD3622"/>
    <w:rsid w:val="00CD388E"/>
    <w:rsid w:val="00CD483C"/>
    <w:rsid w:val="00CD4F0B"/>
    <w:rsid w:val="00CD5244"/>
    <w:rsid w:val="00CD592E"/>
    <w:rsid w:val="00CD64EB"/>
    <w:rsid w:val="00CD79B5"/>
    <w:rsid w:val="00CE0550"/>
    <w:rsid w:val="00CE088A"/>
    <w:rsid w:val="00CE20EB"/>
    <w:rsid w:val="00CE22B1"/>
    <w:rsid w:val="00CE4E16"/>
    <w:rsid w:val="00CE5DC0"/>
    <w:rsid w:val="00CE77A7"/>
    <w:rsid w:val="00CF0440"/>
    <w:rsid w:val="00CF09E3"/>
    <w:rsid w:val="00CF1FBF"/>
    <w:rsid w:val="00CF33B4"/>
    <w:rsid w:val="00CF3D04"/>
    <w:rsid w:val="00CF446E"/>
    <w:rsid w:val="00CF7E68"/>
    <w:rsid w:val="00D023AB"/>
    <w:rsid w:val="00D02D5B"/>
    <w:rsid w:val="00D034E2"/>
    <w:rsid w:val="00D0432C"/>
    <w:rsid w:val="00D04938"/>
    <w:rsid w:val="00D04A52"/>
    <w:rsid w:val="00D05753"/>
    <w:rsid w:val="00D05FFE"/>
    <w:rsid w:val="00D063C5"/>
    <w:rsid w:val="00D071CC"/>
    <w:rsid w:val="00D10659"/>
    <w:rsid w:val="00D10817"/>
    <w:rsid w:val="00D11A78"/>
    <w:rsid w:val="00D11BF8"/>
    <w:rsid w:val="00D12131"/>
    <w:rsid w:val="00D1232A"/>
    <w:rsid w:val="00D140FE"/>
    <w:rsid w:val="00D14DB1"/>
    <w:rsid w:val="00D15040"/>
    <w:rsid w:val="00D15553"/>
    <w:rsid w:val="00D202ED"/>
    <w:rsid w:val="00D20D44"/>
    <w:rsid w:val="00D20EF8"/>
    <w:rsid w:val="00D2162F"/>
    <w:rsid w:val="00D21F3E"/>
    <w:rsid w:val="00D224D0"/>
    <w:rsid w:val="00D230EB"/>
    <w:rsid w:val="00D23E8F"/>
    <w:rsid w:val="00D249C3"/>
    <w:rsid w:val="00D25089"/>
    <w:rsid w:val="00D257B1"/>
    <w:rsid w:val="00D26165"/>
    <w:rsid w:val="00D2633D"/>
    <w:rsid w:val="00D2650E"/>
    <w:rsid w:val="00D3032A"/>
    <w:rsid w:val="00D3349F"/>
    <w:rsid w:val="00D35349"/>
    <w:rsid w:val="00D358E9"/>
    <w:rsid w:val="00D35E60"/>
    <w:rsid w:val="00D362D1"/>
    <w:rsid w:val="00D40F88"/>
    <w:rsid w:val="00D440D1"/>
    <w:rsid w:val="00D45A71"/>
    <w:rsid w:val="00D46151"/>
    <w:rsid w:val="00D46C12"/>
    <w:rsid w:val="00D4765C"/>
    <w:rsid w:val="00D477A7"/>
    <w:rsid w:val="00D50D74"/>
    <w:rsid w:val="00D525E6"/>
    <w:rsid w:val="00D53B6E"/>
    <w:rsid w:val="00D54B67"/>
    <w:rsid w:val="00D55BCD"/>
    <w:rsid w:val="00D5627C"/>
    <w:rsid w:val="00D56DE9"/>
    <w:rsid w:val="00D575A7"/>
    <w:rsid w:val="00D60020"/>
    <w:rsid w:val="00D62631"/>
    <w:rsid w:val="00D63C52"/>
    <w:rsid w:val="00D6450C"/>
    <w:rsid w:val="00D65042"/>
    <w:rsid w:val="00D66E7F"/>
    <w:rsid w:val="00D701EB"/>
    <w:rsid w:val="00D70D23"/>
    <w:rsid w:val="00D717D0"/>
    <w:rsid w:val="00D74A13"/>
    <w:rsid w:val="00D77F49"/>
    <w:rsid w:val="00D833B9"/>
    <w:rsid w:val="00D83A95"/>
    <w:rsid w:val="00D83D05"/>
    <w:rsid w:val="00D8414B"/>
    <w:rsid w:val="00D8449C"/>
    <w:rsid w:val="00D848D7"/>
    <w:rsid w:val="00D856E1"/>
    <w:rsid w:val="00D860B4"/>
    <w:rsid w:val="00D86E5F"/>
    <w:rsid w:val="00D872AC"/>
    <w:rsid w:val="00D92C43"/>
    <w:rsid w:val="00D93331"/>
    <w:rsid w:val="00D94C43"/>
    <w:rsid w:val="00D975D9"/>
    <w:rsid w:val="00D975F2"/>
    <w:rsid w:val="00D976E6"/>
    <w:rsid w:val="00DA1168"/>
    <w:rsid w:val="00DA17C4"/>
    <w:rsid w:val="00DA1E71"/>
    <w:rsid w:val="00DA3663"/>
    <w:rsid w:val="00DA39D9"/>
    <w:rsid w:val="00DA3BB6"/>
    <w:rsid w:val="00DA403A"/>
    <w:rsid w:val="00DA53F8"/>
    <w:rsid w:val="00DA5890"/>
    <w:rsid w:val="00DA5CCD"/>
    <w:rsid w:val="00DA63CE"/>
    <w:rsid w:val="00DA69BB"/>
    <w:rsid w:val="00DA6C8B"/>
    <w:rsid w:val="00DA70E6"/>
    <w:rsid w:val="00DA782B"/>
    <w:rsid w:val="00DB0616"/>
    <w:rsid w:val="00DB0F7F"/>
    <w:rsid w:val="00DB0FED"/>
    <w:rsid w:val="00DB126B"/>
    <w:rsid w:val="00DB19BB"/>
    <w:rsid w:val="00DB2AC7"/>
    <w:rsid w:val="00DB33EE"/>
    <w:rsid w:val="00DB579B"/>
    <w:rsid w:val="00DB6729"/>
    <w:rsid w:val="00DB73F8"/>
    <w:rsid w:val="00DB797A"/>
    <w:rsid w:val="00DC0A47"/>
    <w:rsid w:val="00DC1134"/>
    <w:rsid w:val="00DC1299"/>
    <w:rsid w:val="00DC15D8"/>
    <w:rsid w:val="00DC3881"/>
    <w:rsid w:val="00DC40E0"/>
    <w:rsid w:val="00DC4C1A"/>
    <w:rsid w:val="00DC4D2D"/>
    <w:rsid w:val="00DD00AE"/>
    <w:rsid w:val="00DD0DBB"/>
    <w:rsid w:val="00DD12D5"/>
    <w:rsid w:val="00DD1FF0"/>
    <w:rsid w:val="00DD234B"/>
    <w:rsid w:val="00DD2621"/>
    <w:rsid w:val="00DD2935"/>
    <w:rsid w:val="00DD31FC"/>
    <w:rsid w:val="00DD3F55"/>
    <w:rsid w:val="00DD5510"/>
    <w:rsid w:val="00DD606F"/>
    <w:rsid w:val="00DD6F90"/>
    <w:rsid w:val="00DD7599"/>
    <w:rsid w:val="00DD79FB"/>
    <w:rsid w:val="00DD7EF3"/>
    <w:rsid w:val="00DE0372"/>
    <w:rsid w:val="00DE0E67"/>
    <w:rsid w:val="00DE1117"/>
    <w:rsid w:val="00DE1D92"/>
    <w:rsid w:val="00DE3DB1"/>
    <w:rsid w:val="00DE450A"/>
    <w:rsid w:val="00DE4526"/>
    <w:rsid w:val="00DE485D"/>
    <w:rsid w:val="00DE4F33"/>
    <w:rsid w:val="00DE59B9"/>
    <w:rsid w:val="00DE5BC7"/>
    <w:rsid w:val="00DE6686"/>
    <w:rsid w:val="00DE6D18"/>
    <w:rsid w:val="00DE7E1C"/>
    <w:rsid w:val="00DF0282"/>
    <w:rsid w:val="00DF26C0"/>
    <w:rsid w:val="00DF2CB8"/>
    <w:rsid w:val="00DF4065"/>
    <w:rsid w:val="00DF5061"/>
    <w:rsid w:val="00DF586F"/>
    <w:rsid w:val="00E02124"/>
    <w:rsid w:val="00E06562"/>
    <w:rsid w:val="00E068A2"/>
    <w:rsid w:val="00E06FDE"/>
    <w:rsid w:val="00E111F4"/>
    <w:rsid w:val="00E11C4C"/>
    <w:rsid w:val="00E12A32"/>
    <w:rsid w:val="00E1365B"/>
    <w:rsid w:val="00E140C1"/>
    <w:rsid w:val="00E14D1A"/>
    <w:rsid w:val="00E15082"/>
    <w:rsid w:val="00E16B36"/>
    <w:rsid w:val="00E172FF"/>
    <w:rsid w:val="00E2037A"/>
    <w:rsid w:val="00E207D9"/>
    <w:rsid w:val="00E21C13"/>
    <w:rsid w:val="00E2205A"/>
    <w:rsid w:val="00E23CB4"/>
    <w:rsid w:val="00E242B6"/>
    <w:rsid w:val="00E249C1"/>
    <w:rsid w:val="00E2537F"/>
    <w:rsid w:val="00E25843"/>
    <w:rsid w:val="00E270F0"/>
    <w:rsid w:val="00E33621"/>
    <w:rsid w:val="00E339AB"/>
    <w:rsid w:val="00E33A40"/>
    <w:rsid w:val="00E34258"/>
    <w:rsid w:val="00E34290"/>
    <w:rsid w:val="00E369CF"/>
    <w:rsid w:val="00E36BF4"/>
    <w:rsid w:val="00E37A69"/>
    <w:rsid w:val="00E37FDD"/>
    <w:rsid w:val="00E41504"/>
    <w:rsid w:val="00E41D60"/>
    <w:rsid w:val="00E436A6"/>
    <w:rsid w:val="00E43EE3"/>
    <w:rsid w:val="00E44D5B"/>
    <w:rsid w:val="00E45CB5"/>
    <w:rsid w:val="00E45F3E"/>
    <w:rsid w:val="00E462B3"/>
    <w:rsid w:val="00E473BF"/>
    <w:rsid w:val="00E47C3A"/>
    <w:rsid w:val="00E5025C"/>
    <w:rsid w:val="00E5245E"/>
    <w:rsid w:val="00E5279A"/>
    <w:rsid w:val="00E54BF2"/>
    <w:rsid w:val="00E5706A"/>
    <w:rsid w:val="00E57699"/>
    <w:rsid w:val="00E6017F"/>
    <w:rsid w:val="00E6074A"/>
    <w:rsid w:val="00E620BB"/>
    <w:rsid w:val="00E6309E"/>
    <w:rsid w:val="00E63E8B"/>
    <w:rsid w:val="00E64105"/>
    <w:rsid w:val="00E64DE2"/>
    <w:rsid w:val="00E65F3D"/>
    <w:rsid w:val="00E6718A"/>
    <w:rsid w:val="00E67ABE"/>
    <w:rsid w:val="00E703B0"/>
    <w:rsid w:val="00E71BDE"/>
    <w:rsid w:val="00E71D0D"/>
    <w:rsid w:val="00E73AD5"/>
    <w:rsid w:val="00E75BD4"/>
    <w:rsid w:val="00E7727A"/>
    <w:rsid w:val="00E779EC"/>
    <w:rsid w:val="00E81A01"/>
    <w:rsid w:val="00E8207B"/>
    <w:rsid w:val="00E835DE"/>
    <w:rsid w:val="00E84041"/>
    <w:rsid w:val="00E84539"/>
    <w:rsid w:val="00E847F6"/>
    <w:rsid w:val="00E84CB9"/>
    <w:rsid w:val="00E90B28"/>
    <w:rsid w:val="00E910D4"/>
    <w:rsid w:val="00E92070"/>
    <w:rsid w:val="00E93BBE"/>
    <w:rsid w:val="00EA30D7"/>
    <w:rsid w:val="00EA53C7"/>
    <w:rsid w:val="00EA6CD0"/>
    <w:rsid w:val="00EA6ED8"/>
    <w:rsid w:val="00EA748A"/>
    <w:rsid w:val="00EA7FB8"/>
    <w:rsid w:val="00EB0E61"/>
    <w:rsid w:val="00EB24F7"/>
    <w:rsid w:val="00EB3B81"/>
    <w:rsid w:val="00EB419C"/>
    <w:rsid w:val="00EB4F83"/>
    <w:rsid w:val="00EB589F"/>
    <w:rsid w:val="00EB5A02"/>
    <w:rsid w:val="00EB7B48"/>
    <w:rsid w:val="00EC0CF4"/>
    <w:rsid w:val="00EC2526"/>
    <w:rsid w:val="00EC39AA"/>
    <w:rsid w:val="00EC3EDE"/>
    <w:rsid w:val="00EC4998"/>
    <w:rsid w:val="00EC4B61"/>
    <w:rsid w:val="00EC7F38"/>
    <w:rsid w:val="00ED093F"/>
    <w:rsid w:val="00ED161B"/>
    <w:rsid w:val="00ED45D1"/>
    <w:rsid w:val="00ED476D"/>
    <w:rsid w:val="00ED6F93"/>
    <w:rsid w:val="00ED7476"/>
    <w:rsid w:val="00EE0FF7"/>
    <w:rsid w:val="00EE19A3"/>
    <w:rsid w:val="00EE2340"/>
    <w:rsid w:val="00EE2F6A"/>
    <w:rsid w:val="00EE3199"/>
    <w:rsid w:val="00EE3851"/>
    <w:rsid w:val="00EE3C17"/>
    <w:rsid w:val="00EE4301"/>
    <w:rsid w:val="00EE5D14"/>
    <w:rsid w:val="00EF1923"/>
    <w:rsid w:val="00EF42D7"/>
    <w:rsid w:val="00EF449B"/>
    <w:rsid w:val="00EF4B0D"/>
    <w:rsid w:val="00EF53A8"/>
    <w:rsid w:val="00EF6357"/>
    <w:rsid w:val="00EF6C58"/>
    <w:rsid w:val="00F022B1"/>
    <w:rsid w:val="00F04F9E"/>
    <w:rsid w:val="00F05D89"/>
    <w:rsid w:val="00F05E48"/>
    <w:rsid w:val="00F0648E"/>
    <w:rsid w:val="00F1103B"/>
    <w:rsid w:val="00F121E7"/>
    <w:rsid w:val="00F13397"/>
    <w:rsid w:val="00F1390A"/>
    <w:rsid w:val="00F14835"/>
    <w:rsid w:val="00F150D8"/>
    <w:rsid w:val="00F15C81"/>
    <w:rsid w:val="00F16213"/>
    <w:rsid w:val="00F20033"/>
    <w:rsid w:val="00F2154E"/>
    <w:rsid w:val="00F23364"/>
    <w:rsid w:val="00F2371F"/>
    <w:rsid w:val="00F23C64"/>
    <w:rsid w:val="00F24AB6"/>
    <w:rsid w:val="00F255B3"/>
    <w:rsid w:val="00F3000B"/>
    <w:rsid w:val="00F3078A"/>
    <w:rsid w:val="00F31DA6"/>
    <w:rsid w:val="00F32F4E"/>
    <w:rsid w:val="00F36D55"/>
    <w:rsid w:val="00F37034"/>
    <w:rsid w:val="00F37B71"/>
    <w:rsid w:val="00F413A2"/>
    <w:rsid w:val="00F42505"/>
    <w:rsid w:val="00F42A5A"/>
    <w:rsid w:val="00F447C5"/>
    <w:rsid w:val="00F44F9A"/>
    <w:rsid w:val="00F45053"/>
    <w:rsid w:val="00F47AF7"/>
    <w:rsid w:val="00F502CF"/>
    <w:rsid w:val="00F51A9F"/>
    <w:rsid w:val="00F5223A"/>
    <w:rsid w:val="00F5317E"/>
    <w:rsid w:val="00F53B12"/>
    <w:rsid w:val="00F542B4"/>
    <w:rsid w:val="00F5439C"/>
    <w:rsid w:val="00F558CE"/>
    <w:rsid w:val="00F55A72"/>
    <w:rsid w:val="00F55E60"/>
    <w:rsid w:val="00F6144E"/>
    <w:rsid w:val="00F62339"/>
    <w:rsid w:val="00F62746"/>
    <w:rsid w:val="00F631D8"/>
    <w:rsid w:val="00F64BC1"/>
    <w:rsid w:val="00F656E3"/>
    <w:rsid w:val="00F67530"/>
    <w:rsid w:val="00F67ACB"/>
    <w:rsid w:val="00F67E34"/>
    <w:rsid w:val="00F7279F"/>
    <w:rsid w:val="00F72B84"/>
    <w:rsid w:val="00F73779"/>
    <w:rsid w:val="00F7411E"/>
    <w:rsid w:val="00F7487C"/>
    <w:rsid w:val="00F74CCD"/>
    <w:rsid w:val="00F755A5"/>
    <w:rsid w:val="00F75E85"/>
    <w:rsid w:val="00F764F6"/>
    <w:rsid w:val="00F77083"/>
    <w:rsid w:val="00F7712E"/>
    <w:rsid w:val="00F81450"/>
    <w:rsid w:val="00F82249"/>
    <w:rsid w:val="00F829B5"/>
    <w:rsid w:val="00F849BA"/>
    <w:rsid w:val="00F85086"/>
    <w:rsid w:val="00F86C29"/>
    <w:rsid w:val="00F873E0"/>
    <w:rsid w:val="00F91ECB"/>
    <w:rsid w:val="00F92569"/>
    <w:rsid w:val="00F934CB"/>
    <w:rsid w:val="00F93CDC"/>
    <w:rsid w:val="00F947F6"/>
    <w:rsid w:val="00F94E4F"/>
    <w:rsid w:val="00F962B8"/>
    <w:rsid w:val="00F965AA"/>
    <w:rsid w:val="00F97BE6"/>
    <w:rsid w:val="00FA1C60"/>
    <w:rsid w:val="00FA1EB3"/>
    <w:rsid w:val="00FA2571"/>
    <w:rsid w:val="00FA2E38"/>
    <w:rsid w:val="00FA5584"/>
    <w:rsid w:val="00FA5A93"/>
    <w:rsid w:val="00FA76FC"/>
    <w:rsid w:val="00FA7ED5"/>
    <w:rsid w:val="00FB0224"/>
    <w:rsid w:val="00FB0700"/>
    <w:rsid w:val="00FB12B5"/>
    <w:rsid w:val="00FB581B"/>
    <w:rsid w:val="00FB67B5"/>
    <w:rsid w:val="00FC0D90"/>
    <w:rsid w:val="00FC1094"/>
    <w:rsid w:val="00FC360A"/>
    <w:rsid w:val="00FC3F4D"/>
    <w:rsid w:val="00FC4143"/>
    <w:rsid w:val="00FC4249"/>
    <w:rsid w:val="00FC4544"/>
    <w:rsid w:val="00FC4949"/>
    <w:rsid w:val="00FD07F1"/>
    <w:rsid w:val="00FD0B76"/>
    <w:rsid w:val="00FD165D"/>
    <w:rsid w:val="00FD166D"/>
    <w:rsid w:val="00FD181F"/>
    <w:rsid w:val="00FD1D08"/>
    <w:rsid w:val="00FD204D"/>
    <w:rsid w:val="00FD400C"/>
    <w:rsid w:val="00FD6104"/>
    <w:rsid w:val="00FD635A"/>
    <w:rsid w:val="00FD7521"/>
    <w:rsid w:val="00FD75A8"/>
    <w:rsid w:val="00FD7C9F"/>
    <w:rsid w:val="00FE0AC5"/>
    <w:rsid w:val="00FE13A4"/>
    <w:rsid w:val="00FE148D"/>
    <w:rsid w:val="00FE33BD"/>
    <w:rsid w:val="00FE37AE"/>
    <w:rsid w:val="00FE42E3"/>
    <w:rsid w:val="00FE47CB"/>
    <w:rsid w:val="00FE5A65"/>
    <w:rsid w:val="00FE614C"/>
    <w:rsid w:val="00FE634E"/>
    <w:rsid w:val="00FE68B3"/>
    <w:rsid w:val="00FF04B3"/>
    <w:rsid w:val="00FF106D"/>
    <w:rsid w:val="00FF30FA"/>
    <w:rsid w:val="00FF3EE4"/>
    <w:rsid w:val="00FF456F"/>
    <w:rsid w:val="00FF4A04"/>
    <w:rsid w:val="00FF4E45"/>
    <w:rsid w:val="00FF5222"/>
    <w:rsid w:val="00FF5549"/>
    <w:rsid w:val="00FF5796"/>
    <w:rsid w:val="00FF5D95"/>
    <w:rsid w:val="00FF63D3"/>
    <w:rsid w:val="00FF747B"/>
    <w:rsid w:val="00FF776F"/>
    <w:rsid w:val="00FF7ABF"/>
    <w:rsid w:val="00FF7EF1"/>
    <w:rsid w:val="24BC3B7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7EFFF64"/>
  <w15:docId w15:val="{CBF70127-D856-4078-997B-B7394D09315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heme="minorHAnsi" w:hAnsi="Times New Roman" w:cs="Times New Roman"/>
        <w:lang w:val="sq-AL" w:eastAsia="sq-AL"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unhideWhenUsed="1" w:qFormat="1"/>
    <w:lsdException w:name="heading 3" w:uiPriority="9" w:unhideWhenUsed="1" w:qFormat="1"/>
    <w:lsdException w:name="heading 4" w:uiPriority="9" w:unhideWhenUsed="1" w:qFormat="1"/>
    <w:lsdException w:name="heading 5" w:uiPriority="9" w:unhideWhenUsed="1" w:qFormat="1"/>
    <w:lsdException w:name="heading 6" w:uiPriority="9" w:unhideWhenUsed="1" w:qFormat="1"/>
    <w:lsdException w:name="heading 7" w:uiPriority="0"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unhideWhenUsed="1" w:qFormat="1"/>
    <w:lsdException w:name="annotation text" w:semiHidden="1" w:unhideWhenUsed="1" w:qFormat="1"/>
    <w:lsdException w:name="header" w:unhideWhenUsed="1" w:qFormat="1"/>
    <w:lsdException w:name="footer"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unhideWhenUsed="1" w:qFormat="1"/>
    <w:lsdException w:name="annotation reference" w:semiHidden="1"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unhideWhenUsed="1" w:qFormat="1"/>
    <w:lsdException w:name="Body Text Indent" w:semiHidden="1" w:unhideWhenUsed="1"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unhideWhenUsed="1" w:qFormat="1"/>
    <w:lsdException w:name="Body Text 3" w:unhideWhenUsed="1" w:qFormat="1"/>
    <w:lsdException w:name="Body Text Indent 2" w:semiHidden="1" w:unhideWhenUsed="1" w:qFormat="1"/>
    <w:lsdException w:name="Body Text Indent 3" w:semiHidden="1" w:unhideWhenUsed="1"/>
    <w:lsdException w:name="Block Text" w:semiHidden="1" w:unhideWhenUsed="1"/>
    <w:lsdException w:name="Hyperlink"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qFormat="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uiPriority="39" w:qFormat="1"/>
    <w:lsdException w:name="Table Theme" w:semiHidden="1" w:unhideWhenUsed="1"/>
    <w:lsdException w:name="Placeholder Text" w:semiHidden="1" w:unhideWhenUsed="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nhideWhenUsed="1"/>
    <w:lsdException w:name="List Paragraph" w:uiPriority="34" w:qFormat="1"/>
    <w:lsdException w:name="Quote" w:semiHidden="1" w:unhideWhenUsed="1"/>
    <w:lsdException w:name="Intense Quote" w:semiHidden="1"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Calibri" w:eastAsia="Times New Roman" w:hAnsi="Calibri"/>
      <w:sz w:val="24"/>
      <w:szCs w:val="24"/>
      <w:lang w:eastAsia="en-US" w:bidi="en-US"/>
    </w:rPr>
  </w:style>
  <w:style w:type="paragraph" w:styleId="Heading1">
    <w:name w:val="heading 1"/>
    <w:basedOn w:val="Normal"/>
    <w:next w:val="Normal"/>
    <w:link w:val="Heading1Char"/>
    <w:uiPriority w:val="9"/>
    <w:qFormat/>
    <w:pPr>
      <w:keepNext/>
      <w:keepLines/>
      <w:spacing w:before="480"/>
      <w:outlineLvl w:val="0"/>
    </w:pPr>
    <w:rPr>
      <w:rFonts w:asciiTheme="majorHAnsi" w:eastAsiaTheme="majorEastAsia" w:hAnsiTheme="majorHAnsi" w:cstheme="majorBidi"/>
      <w:b/>
      <w:bCs/>
      <w:color w:val="365F91" w:themeColor="accent1" w:themeShade="BF"/>
      <w:sz w:val="28"/>
      <w:szCs w:val="28"/>
      <w:lang w:val="en-US" w:bidi="ar-SA"/>
    </w:rPr>
  </w:style>
  <w:style w:type="paragraph" w:styleId="Heading2">
    <w:name w:val="heading 2"/>
    <w:basedOn w:val="Normal"/>
    <w:next w:val="Normal"/>
    <w:link w:val="Heading2Char"/>
    <w:uiPriority w:val="9"/>
    <w:unhideWhenUsed/>
    <w:qFormat/>
    <w:pPr>
      <w:keepNext/>
      <w:spacing w:before="240" w:after="60"/>
      <w:outlineLvl w:val="1"/>
    </w:pPr>
    <w:rPr>
      <w:rFonts w:ascii="Cambria" w:hAnsi="Cambria"/>
      <w:b/>
      <w:bCs/>
      <w:i/>
      <w:iCs/>
      <w:sz w:val="28"/>
      <w:szCs w:val="28"/>
    </w:rPr>
  </w:style>
  <w:style w:type="paragraph" w:styleId="Heading3">
    <w:name w:val="heading 3"/>
    <w:basedOn w:val="Normal"/>
    <w:link w:val="Heading3Char"/>
    <w:uiPriority w:val="9"/>
    <w:unhideWhenUsed/>
    <w:qFormat/>
    <w:pPr>
      <w:spacing w:before="100" w:beforeAutospacing="1" w:after="100" w:afterAutospacing="1"/>
      <w:outlineLvl w:val="2"/>
    </w:pPr>
    <w:rPr>
      <w:rFonts w:ascii="Times New Roman" w:hAnsi="Times New Roman"/>
      <w:b/>
      <w:bCs/>
      <w:sz w:val="27"/>
      <w:szCs w:val="27"/>
    </w:rPr>
  </w:style>
  <w:style w:type="paragraph" w:styleId="Heading4">
    <w:name w:val="heading 4"/>
    <w:basedOn w:val="Normal"/>
    <w:next w:val="Normal"/>
    <w:link w:val="Heading4Char"/>
    <w:uiPriority w:val="9"/>
    <w:unhideWhenUsed/>
    <w:qFormat/>
    <w:pPr>
      <w:keepNext/>
      <w:keepLines/>
      <w:spacing w:before="40"/>
      <w:outlineLvl w:val="3"/>
    </w:pPr>
    <w:rPr>
      <w:rFonts w:asciiTheme="majorHAnsi" w:eastAsiaTheme="majorEastAsia" w:hAnsiTheme="majorHAnsi" w:cstheme="majorBidi"/>
      <w:i/>
      <w:iCs/>
      <w:color w:val="365F91" w:themeColor="accent1" w:themeShade="BF"/>
    </w:rPr>
  </w:style>
  <w:style w:type="paragraph" w:styleId="Heading5">
    <w:name w:val="heading 5"/>
    <w:basedOn w:val="Normal"/>
    <w:next w:val="Normal"/>
    <w:link w:val="Heading5Char"/>
    <w:uiPriority w:val="9"/>
    <w:unhideWhenUsed/>
    <w:qFormat/>
    <w:pPr>
      <w:keepNext/>
      <w:keepLines/>
      <w:spacing w:before="40"/>
      <w:outlineLvl w:val="4"/>
    </w:pPr>
    <w:rPr>
      <w:rFonts w:asciiTheme="majorHAnsi" w:eastAsiaTheme="majorEastAsia" w:hAnsiTheme="majorHAnsi" w:cstheme="majorBidi"/>
      <w:color w:val="365F91" w:themeColor="accent1" w:themeShade="BF"/>
    </w:rPr>
  </w:style>
  <w:style w:type="paragraph" w:styleId="Heading6">
    <w:name w:val="heading 6"/>
    <w:basedOn w:val="Normal"/>
    <w:next w:val="Normal"/>
    <w:link w:val="Heading6Char"/>
    <w:uiPriority w:val="9"/>
    <w:unhideWhenUsed/>
    <w:qFormat/>
    <w:pPr>
      <w:keepNext/>
      <w:keepLines/>
      <w:spacing w:before="40"/>
      <w:outlineLvl w:val="5"/>
    </w:pPr>
    <w:rPr>
      <w:rFonts w:asciiTheme="majorHAnsi" w:eastAsiaTheme="majorEastAsia" w:hAnsiTheme="majorHAnsi" w:cstheme="majorBidi"/>
      <w:color w:val="244061" w:themeColor="accent1" w:themeShade="80"/>
    </w:rPr>
  </w:style>
  <w:style w:type="paragraph" w:styleId="Heading7">
    <w:name w:val="heading 7"/>
    <w:basedOn w:val="Normal"/>
    <w:next w:val="Normal"/>
    <w:link w:val="Heading7Char"/>
    <w:qFormat/>
    <w:pPr>
      <w:spacing w:before="240" w:after="60"/>
      <w:outlineLvl w:val="6"/>
    </w:pPr>
    <w:rPr>
      <w:rFonts w:ascii="Times New Roman" w:hAnsi="Times New Roman"/>
      <w:lang w:val="en-GB" w:bidi="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qFormat/>
    <w:rPr>
      <w:rFonts w:ascii="Tahoma" w:hAnsi="Tahoma" w:cs="Tahoma"/>
      <w:sz w:val="16"/>
      <w:szCs w:val="16"/>
    </w:rPr>
  </w:style>
  <w:style w:type="paragraph" w:styleId="BodyText">
    <w:name w:val="Body Text"/>
    <w:basedOn w:val="Normal"/>
    <w:link w:val="BodyTextChar"/>
    <w:uiPriority w:val="99"/>
    <w:unhideWhenUsed/>
    <w:qFormat/>
    <w:pPr>
      <w:spacing w:after="120"/>
    </w:pPr>
  </w:style>
  <w:style w:type="paragraph" w:styleId="BodyText2">
    <w:name w:val="Body Text 2"/>
    <w:basedOn w:val="Normal"/>
    <w:link w:val="BodyText2Char"/>
    <w:uiPriority w:val="99"/>
    <w:unhideWhenUsed/>
    <w:qFormat/>
    <w:pPr>
      <w:spacing w:after="120" w:line="480" w:lineRule="auto"/>
    </w:pPr>
    <w:rPr>
      <w:rFonts w:asciiTheme="minorHAnsi" w:eastAsiaTheme="minorHAnsi" w:hAnsiTheme="minorHAnsi" w:cstheme="minorBidi"/>
      <w:sz w:val="22"/>
      <w:szCs w:val="22"/>
      <w:lang w:val="en-US" w:bidi="ar-SA"/>
    </w:rPr>
  </w:style>
  <w:style w:type="paragraph" w:styleId="BodyText3">
    <w:name w:val="Body Text 3"/>
    <w:basedOn w:val="Normal"/>
    <w:link w:val="BodyText3Char"/>
    <w:uiPriority w:val="99"/>
    <w:unhideWhenUsed/>
    <w:qFormat/>
    <w:pPr>
      <w:spacing w:after="120"/>
    </w:pPr>
    <w:rPr>
      <w:sz w:val="16"/>
      <w:szCs w:val="16"/>
    </w:rPr>
  </w:style>
  <w:style w:type="paragraph" w:styleId="BodyTextIndent">
    <w:name w:val="Body Text Indent"/>
    <w:basedOn w:val="Normal"/>
    <w:link w:val="BodyTextIndentChar"/>
    <w:uiPriority w:val="99"/>
    <w:semiHidden/>
    <w:unhideWhenUsed/>
    <w:qFormat/>
    <w:pPr>
      <w:spacing w:after="120"/>
      <w:ind w:left="360"/>
    </w:pPr>
  </w:style>
  <w:style w:type="paragraph" w:styleId="BodyTextIndent2">
    <w:name w:val="Body Text Indent 2"/>
    <w:basedOn w:val="Normal"/>
    <w:link w:val="BodyTextIndent2Char"/>
    <w:uiPriority w:val="99"/>
    <w:semiHidden/>
    <w:unhideWhenUsed/>
    <w:qFormat/>
    <w:pPr>
      <w:spacing w:after="120" w:line="480" w:lineRule="auto"/>
      <w:ind w:left="360"/>
    </w:pPr>
  </w:style>
  <w:style w:type="character" w:styleId="CommentReference">
    <w:name w:val="annotation reference"/>
    <w:basedOn w:val="DefaultParagraphFont"/>
    <w:uiPriority w:val="99"/>
    <w:semiHidden/>
    <w:unhideWhenUsed/>
    <w:qFormat/>
    <w:rPr>
      <w:sz w:val="16"/>
      <w:szCs w:val="16"/>
    </w:rPr>
  </w:style>
  <w:style w:type="paragraph" w:styleId="CommentText">
    <w:name w:val="annotation text"/>
    <w:basedOn w:val="Normal"/>
    <w:link w:val="CommentTextChar"/>
    <w:uiPriority w:val="99"/>
    <w:semiHidden/>
    <w:unhideWhenUsed/>
    <w:qFormat/>
    <w:pPr>
      <w:spacing w:after="160"/>
    </w:pPr>
    <w:rPr>
      <w:rFonts w:asciiTheme="minorHAnsi" w:eastAsiaTheme="minorHAnsi" w:hAnsiTheme="minorHAnsi" w:cstheme="minorBidi"/>
      <w:sz w:val="20"/>
      <w:szCs w:val="20"/>
      <w:lang w:val="en-US" w:bidi="ar-SA"/>
    </w:rPr>
  </w:style>
  <w:style w:type="paragraph" w:styleId="CommentSubject">
    <w:name w:val="annotation subject"/>
    <w:basedOn w:val="CommentText"/>
    <w:next w:val="CommentText"/>
    <w:link w:val="CommentSubjectChar"/>
    <w:uiPriority w:val="99"/>
    <w:semiHidden/>
    <w:unhideWhenUsed/>
    <w:qFormat/>
    <w:rPr>
      <w:b/>
      <w:bCs/>
    </w:rPr>
  </w:style>
  <w:style w:type="character" w:styleId="Emphasis">
    <w:name w:val="Emphasis"/>
    <w:basedOn w:val="DefaultParagraphFont"/>
    <w:uiPriority w:val="20"/>
    <w:qFormat/>
    <w:rPr>
      <w:i/>
      <w:iCs/>
    </w:rPr>
  </w:style>
  <w:style w:type="paragraph" w:styleId="Footer">
    <w:name w:val="footer"/>
    <w:basedOn w:val="Normal"/>
    <w:link w:val="FooterChar"/>
    <w:uiPriority w:val="99"/>
    <w:unhideWhenUsed/>
    <w:qFormat/>
    <w:pPr>
      <w:tabs>
        <w:tab w:val="center" w:pos="4680"/>
        <w:tab w:val="right" w:pos="9360"/>
      </w:tabs>
    </w:pPr>
  </w:style>
  <w:style w:type="character" w:styleId="FootnoteReference">
    <w:name w:val="footnote reference"/>
    <w:aliases w:val="Rimando nota a piè di pagina2,BVI fnr,Footnote symbol,Footnote Reference Arial,Car Char Car Char Car Char Char Char Char Char Char Char,Footnote Refernece Char Char,Footnote Refernece Char,ftref,callout,fr,BVI fnr Char"/>
    <w:basedOn w:val="DefaultParagraphFont"/>
    <w:link w:val="Char2"/>
    <w:uiPriority w:val="99"/>
    <w:unhideWhenUsed/>
    <w:qFormat/>
    <w:rPr>
      <w:vertAlign w:val="superscript"/>
    </w:rPr>
  </w:style>
  <w:style w:type="paragraph" w:styleId="FootnoteText">
    <w:name w:val="footnote text"/>
    <w:aliases w:val=" Char Char,Char,Footnote Text Char1 Char Char Char,Footnote Text Char Char Char Char Char,Car,Char Char,single space,footnote text,fn,FOOTNOTES,Footnote Text Char2 Char,Footnote Text Char1 Char Char,Footnote Text Char1,Ch"/>
    <w:basedOn w:val="Normal"/>
    <w:link w:val="FootnoteTextChar"/>
    <w:uiPriority w:val="99"/>
    <w:unhideWhenUsed/>
    <w:qFormat/>
    <w:pPr>
      <w:widowControl w:val="0"/>
      <w:autoSpaceDE w:val="0"/>
      <w:autoSpaceDN w:val="0"/>
      <w:adjustRightInd w:val="0"/>
    </w:pPr>
    <w:rPr>
      <w:rFonts w:ascii="Cambria" w:eastAsiaTheme="minorEastAsia" w:hAnsi="Cambria" w:cs="Cambria"/>
      <w:sz w:val="20"/>
      <w:szCs w:val="20"/>
      <w:lang w:val="en-US" w:bidi="ar-SA"/>
    </w:rPr>
  </w:style>
  <w:style w:type="paragraph" w:styleId="Header">
    <w:name w:val="header"/>
    <w:basedOn w:val="Normal"/>
    <w:link w:val="HeaderChar"/>
    <w:uiPriority w:val="99"/>
    <w:unhideWhenUsed/>
    <w:qFormat/>
    <w:pPr>
      <w:tabs>
        <w:tab w:val="center" w:pos="4513"/>
        <w:tab w:val="right" w:pos="9026"/>
      </w:tabs>
    </w:pPr>
  </w:style>
  <w:style w:type="character" w:styleId="Hyperlink">
    <w:name w:val="Hyperlink"/>
    <w:basedOn w:val="DefaultParagraphFont"/>
    <w:uiPriority w:val="99"/>
    <w:unhideWhenUsed/>
    <w:qFormat/>
    <w:rPr>
      <w:color w:val="0000FF" w:themeColor="hyperlink"/>
      <w:u w:val="single"/>
    </w:rPr>
  </w:style>
  <w:style w:type="paragraph" w:styleId="NormalWeb">
    <w:name w:val="Normal (Web)"/>
    <w:basedOn w:val="Normal"/>
    <w:uiPriority w:val="99"/>
    <w:unhideWhenUsed/>
    <w:qFormat/>
    <w:pPr>
      <w:spacing w:before="100" w:beforeAutospacing="1" w:after="100" w:afterAutospacing="1"/>
    </w:pPr>
    <w:rPr>
      <w:rFonts w:ascii="Times New Roman" w:hAnsi="Times New Roman"/>
      <w:lang w:val="en-US" w:bidi="ar-SA"/>
    </w:rPr>
  </w:style>
  <w:style w:type="character" w:styleId="Strong">
    <w:name w:val="Strong"/>
    <w:basedOn w:val="DefaultParagraphFont"/>
    <w:uiPriority w:val="22"/>
    <w:qFormat/>
    <w:rPr>
      <w:b/>
      <w:bCs/>
    </w:rPr>
  </w:style>
  <w:style w:type="table" w:styleId="TableGrid">
    <w:name w:val="Table Grid"/>
    <w:basedOn w:val="TableNormal"/>
    <w:uiPriority w:val="39"/>
    <w:qFormat/>
    <w:rPr>
      <w:rFonts w:asciiTheme="minorHAnsi" w:hAnsiTheme="minorHAnsi" w:cstheme="minorBidi"/>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itle">
    <w:name w:val="Title"/>
    <w:basedOn w:val="Normal"/>
    <w:link w:val="TitleChar"/>
    <w:qFormat/>
    <w:pPr>
      <w:jc w:val="center"/>
    </w:pPr>
    <w:rPr>
      <w:rFonts w:ascii="Times New Roman" w:hAnsi="Times New Roman"/>
      <w:sz w:val="28"/>
      <w:szCs w:val="28"/>
      <w:lang w:val="en-US" w:bidi="ar-SA"/>
    </w:rPr>
  </w:style>
  <w:style w:type="character" w:customStyle="1" w:styleId="Heading1Char">
    <w:name w:val="Heading 1 Char"/>
    <w:basedOn w:val="DefaultParagraphFont"/>
    <w:link w:val="Heading1"/>
    <w:uiPriority w:val="9"/>
    <w:qFormat/>
    <w:rPr>
      <w:rFonts w:asciiTheme="majorHAnsi" w:eastAsiaTheme="majorEastAsia" w:hAnsiTheme="majorHAnsi" w:cstheme="majorBidi"/>
      <w:b/>
      <w:bCs/>
      <w:color w:val="365F91" w:themeColor="accent1" w:themeShade="BF"/>
      <w:sz w:val="28"/>
      <w:szCs w:val="28"/>
      <w:lang w:val="en-US"/>
    </w:rPr>
  </w:style>
  <w:style w:type="character" w:customStyle="1" w:styleId="Heading2Char">
    <w:name w:val="Heading 2 Char"/>
    <w:basedOn w:val="DefaultParagraphFont"/>
    <w:link w:val="Heading2"/>
    <w:uiPriority w:val="9"/>
    <w:qFormat/>
    <w:rPr>
      <w:rFonts w:ascii="Cambria" w:eastAsia="Times New Roman" w:hAnsi="Cambria"/>
      <w:b/>
      <w:bCs/>
      <w:i/>
      <w:iCs/>
      <w:sz w:val="28"/>
      <w:szCs w:val="28"/>
      <w:lang w:bidi="en-US"/>
    </w:rPr>
  </w:style>
  <w:style w:type="character" w:customStyle="1" w:styleId="Heading3Char">
    <w:name w:val="Heading 3 Char"/>
    <w:basedOn w:val="DefaultParagraphFont"/>
    <w:link w:val="Heading3"/>
    <w:uiPriority w:val="9"/>
    <w:qFormat/>
    <w:rPr>
      <w:rFonts w:eastAsia="Times New Roman"/>
      <w:b/>
      <w:bCs/>
      <w:sz w:val="27"/>
      <w:szCs w:val="27"/>
      <w:lang w:bidi="en-US"/>
    </w:rPr>
  </w:style>
  <w:style w:type="character" w:customStyle="1" w:styleId="BodyTextChar">
    <w:name w:val="Body Text Char"/>
    <w:basedOn w:val="DefaultParagraphFont"/>
    <w:link w:val="BodyText"/>
    <w:uiPriority w:val="99"/>
    <w:qFormat/>
    <w:rPr>
      <w:rFonts w:ascii="Calibri" w:eastAsia="Times New Roman" w:hAnsi="Calibri"/>
      <w:sz w:val="24"/>
      <w:szCs w:val="24"/>
      <w:lang w:bidi="en-US"/>
    </w:rPr>
  </w:style>
  <w:style w:type="character" w:customStyle="1" w:styleId="ListParagraphChar">
    <w:name w:val="List Paragraph Char"/>
    <w:aliases w:val="List Paragraph2 Char,Normal 1 Char,Dot pt Char,List Paragraph1 Char,F5 List Paragraph Char,List Paragraph Char Char Char Char,Indicator Text Char,Colorful List - Accent 11 Char,Numbered Para 1 Char,Bullet 1 Char,Bullet Points Char"/>
    <w:link w:val="ListParagraph"/>
    <w:uiPriority w:val="34"/>
    <w:qFormat/>
    <w:locked/>
  </w:style>
  <w:style w:type="paragraph" w:styleId="ListParagraph">
    <w:name w:val="List Paragraph"/>
    <w:aliases w:val="List Paragraph2,Normal 1,Dot pt,List Paragraph1,F5 List Paragraph,List Paragraph Char Char Char,Indicator Text,Colorful List - Accent 11,Numbered Para 1,Bullet 1,Bullet Points,MAIN CONTENT,Párrafo de lista,Recommendation,Bullets,l,L"/>
    <w:basedOn w:val="Normal"/>
    <w:link w:val="ListParagraphChar"/>
    <w:uiPriority w:val="34"/>
    <w:qFormat/>
    <w:pPr>
      <w:ind w:left="720"/>
      <w:contextualSpacing/>
    </w:pPr>
    <w:rPr>
      <w:rFonts w:ascii="Times New Roman" w:eastAsiaTheme="minorHAnsi" w:hAnsi="Times New Roman"/>
      <w:sz w:val="22"/>
      <w:szCs w:val="22"/>
      <w:lang w:bidi="ar-SA"/>
    </w:rPr>
  </w:style>
  <w:style w:type="character" w:customStyle="1" w:styleId="BalloonTextChar">
    <w:name w:val="Balloon Text Char"/>
    <w:basedOn w:val="DefaultParagraphFont"/>
    <w:link w:val="BalloonText"/>
    <w:uiPriority w:val="99"/>
    <w:semiHidden/>
    <w:qFormat/>
    <w:rPr>
      <w:rFonts w:ascii="Tahoma" w:eastAsia="Times New Roman" w:hAnsi="Tahoma" w:cs="Tahoma"/>
      <w:sz w:val="16"/>
      <w:szCs w:val="16"/>
      <w:lang w:bidi="en-US"/>
    </w:rPr>
  </w:style>
  <w:style w:type="character" w:customStyle="1" w:styleId="FooterChar">
    <w:name w:val="Footer Char"/>
    <w:basedOn w:val="DefaultParagraphFont"/>
    <w:link w:val="Footer"/>
    <w:uiPriority w:val="99"/>
    <w:qFormat/>
    <w:rPr>
      <w:rFonts w:ascii="Calibri" w:eastAsia="Times New Roman" w:hAnsi="Calibri"/>
      <w:sz w:val="24"/>
      <w:szCs w:val="24"/>
      <w:lang w:bidi="en-US"/>
    </w:rPr>
  </w:style>
  <w:style w:type="paragraph" w:styleId="NoSpacing">
    <w:name w:val="No Spacing"/>
    <w:link w:val="NoSpacingChar"/>
    <w:uiPriority w:val="1"/>
    <w:qFormat/>
    <w:rPr>
      <w:rFonts w:eastAsia="MS Mincho"/>
      <w:sz w:val="24"/>
      <w:szCs w:val="24"/>
    </w:rPr>
  </w:style>
  <w:style w:type="character" w:customStyle="1" w:styleId="NoSpacingChar">
    <w:name w:val="No Spacing Char"/>
    <w:link w:val="NoSpacing"/>
    <w:uiPriority w:val="1"/>
    <w:qFormat/>
    <w:locked/>
    <w:rPr>
      <w:rFonts w:eastAsia="MS Mincho"/>
      <w:sz w:val="24"/>
      <w:szCs w:val="24"/>
      <w:lang w:eastAsia="sq-AL"/>
    </w:rPr>
  </w:style>
  <w:style w:type="character" w:customStyle="1" w:styleId="HeaderorfooterBold">
    <w:name w:val="Header or footer + Bold"/>
    <w:qFormat/>
    <w:rPr>
      <w:rFonts w:ascii="Times New Roman" w:eastAsia="Times New Roman" w:hAnsi="Times New Roman" w:cs="Times New Roman"/>
      <w:b/>
      <w:bCs/>
      <w:spacing w:val="0"/>
      <w:sz w:val="20"/>
      <w:szCs w:val="20"/>
    </w:rPr>
  </w:style>
  <w:style w:type="character" w:customStyle="1" w:styleId="HeaderChar">
    <w:name w:val="Header Char"/>
    <w:basedOn w:val="DefaultParagraphFont"/>
    <w:link w:val="Header"/>
    <w:uiPriority w:val="99"/>
    <w:qFormat/>
    <w:rPr>
      <w:rFonts w:ascii="Calibri" w:eastAsia="Times New Roman" w:hAnsi="Calibri"/>
      <w:sz w:val="24"/>
      <w:szCs w:val="24"/>
      <w:lang w:bidi="en-US"/>
    </w:rPr>
  </w:style>
  <w:style w:type="paragraph" w:customStyle="1" w:styleId="Style6">
    <w:name w:val="Style6"/>
    <w:basedOn w:val="Normal"/>
    <w:qFormat/>
    <w:pPr>
      <w:widowControl w:val="0"/>
      <w:autoSpaceDE w:val="0"/>
      <w:autoSpaceDN w:val="0"/>
      <w:adjustRightInd w:val="0"/>
      <w:spacing w:line="303" w:lineRule="exact"/>
    </w:pPr>
    <w:rPr>
      <w:rFonts w:ascii="Times New Roman" w:eastAsiaTheme="minorEastAsia" w:hAnsi="Times New Roman"/>
      <w:lang w:val="en-US" w:bidi="ar-SA"/>
    </w:rPr>
  </w:style>
  <w:style w:type="character" w:customStyle="1" w:styleId="FontStyle32">
    <w:name w:val="Font Style32"/>
    <w:basedOn w:val="DefaultParagraphFont"/>
    <w:uiPriority w:val="99"/>
    <w:qFormat/>
    <w:rPr>
      <w:rFonts w:ascii="Times New Roman" w:hAnsi="Times New Roman" w:cs="Times New Roman"/>
      <w:sz w:val="22"/>
      <w:szCs w:val="22"/>
    </w:rPr>
  </w:style>
  <w:style w:type="character" w:customStyle="1" w:styleId="FontStyle33">
    <w:name w:val="Font Style33"/>
    <w:basedOn w:val="DefaultParagraphFont"/>
    <w:uiPriority w:val="99"/>
    <w:qFormat/>
    <w:rPr>
      <w:rFonts w:ascii="Times New Roman" w:hAnsi="Times New Roman" w:cs="Times New Roman"/>
      <w:sz w:val="22"/>
      <w:szCs w:val="22"/>
    </w:rPr>
  </w:style>
  <w:style w:type="character" w:customStyle="1" w:styleId="FontStyle35">
    <w:name w:val="Font Style35"/>
    <w:basedOn w:val="DefaultParagraphFont"/>
    <w:uiPriority w:val="99"/>
    <w:qFormat/>
    <w:rPr>
      <w:rFonts w:ascii="Times New Roman" w:hAnsi="Times New Roman" w:cs="Times New Roman"/>
      <w:b/>
      <w:bCs/>
      <w:sz w:val="22"/>
      <w:szCs w:val="22"/>
    </w:rPr>
  </w:style>
  <w:style w:type="character" w:customStyle="1" w:styleId="FontStyle37">
    <w:name w:val="Font Style37"/>
    <w:basedOn w:val="DefaultParagraphFont"/>
    <w:uiPriority w:val="99"/>
    <w:qFormat/>
    <w:rPr>
      <w:rFonts w:ascii="Times New Roman" w:hAnsi="Times New Roman" w:cs="Times New Roman"/>
      <w:b/>
      <w:bCs/>
      <w:spacing w:val="20"/>
      <w:sz w:val="24"/>
      <w:szCs w:val="24"/>
    </w:rPr>
  </w:style>
  <w:style w:type="character" w:customStyle="1" w:styleId="FontStyle31">
    <w:name w:val="Font Style31"/>
    <w:basedOn w:val="DefaultParagraphFont"/>
    <w:uiPriority w:val="99"/>
    <w:qFormat/>
    <w:rPr>
      <w:rFonts w:ascii="Times New Roman" w:hAnsi="Times New Roman" w:cs="Times New Roman"/>
      <w:b/>
      <w:bCs/>
      <w:spacing w:val="-10"/>
      <w:sz w:val="24"/>
      <w:szCs w:val="24"/>
    </w:rPr>
  </w:style>
  <w:style w:type="character" w:customStyle="1" w:styleId="FontStyle42">
    <w:name w:val="Font Style42"/>
    <w:basedOn w:val="DefaultParagraphFont"/>
    <w:uiPriority w:val="99"/>
    <w:qFormat/>
    <w:rPr>
      <w:rFonts w:ascii="Times New Roman" w:hAnsi="Times New Roman" w:cs="Times New Roman"/>
      <w:b/>
      <w:bCs/>
      <w:sz w:val="24"/>
      <w:szCs w:val="24"/>
    </w:rPr>
  </w:style>
  <w:style w:type="character" w:customStyle="1" w:styleId="FontStyle43">
    <w:name w:val="Font Style43"/>
    <w:basedOn w:val="DefaultParagraphFont"/>
    <w:uiPriority w:val="99"/>
    <w:qFormat/>
    <w:rPr>
      <w:rFonts w:ascii="Times New Roman" w:hAnsi="Times New Roman" w:cs="Times New Roman"/>
      <w:i/>
      <w:iCs/>
      <w:sz w:val="22"/>
      <w:szCs w:val="22"/>
    </w:rPr>
  </w:style>
  <w:style w:type="character" w:customStyle="1" w:styleId="FontStyle48">
    <w:name w:val="Font Style48"/>
    <w:basedOn w:val="DefaultParagraphFont"/>
    <w:uiPriority w:val="99"/>
    <w:qFormat/>
    <w:rPr>
      <w:rFonts w:ascii="Times New Roman" w:hAnsi="Times New Roman" w:cs="Times New Roman"/>
      <w:b/>
      <w:bCs/>
      <w:i/>
      <w:iCs/>
      <w:sz w:val="22"/>
      <w:szCs w:val="22"/>
    </w:rPr>
  </w:style>
  <w:style w:type="character" w:customStyle="1" w:styleId="FontStyle26">
    <w:name w:val="Font Style26"/>
    <w:basedOn w:val="DefaultParagraphFont"/>
    <w:uiPriority w:val="99"/>
    <w:qFormat/>
    <w:rPr>
      <w:rFonts w:ascii="Bookman Old Style" w:hAnsi="Bookman Old Style" w:cs="Bookman Old Style"/>
      <w:b/>
      <w:bCs/>
      <w:sz w:val="22"/>
      <w:szCs w:val="22"/>
    </w:rPr>
  </w:style>
  <w:style w:type="character" w:customStyle="1" w:styleId="FontStyle44">
    <w:name w:val="Font Style44"/>
    <w:basedOn w:val="DefaultParagraphFont"/>
    <w:uiPriority w:val="99"/>
    <w:qFormat/>
    <w:rPr>
      <w:rFonts w:ascii="Times New Roman" w:hAnsi="Times New Roman" w:cs="Times New Roman"/>
      <w:sz w:val="26"/>
      <w:szCs w:val="26"/>
    </w:rPr>
  </w:style>
  <w:style w:type="character" w:customStyle="1" w:styleId="FootnoteTextChar">
    <w:name w:val="Footnote Text Char"/>
    <w:aliases w:val=" Char Char Char,Char Char1,Footnote Text Char1 Char Char Char Char,Footnote Text Char Char Char Char Char Char,Car Char,Char Char Char,single space Char,footnote text Char,fn Char,FOOTNOTES Char,Footnote Text Char2 Char Char,Ch Char"/>
    <w:basedOn w:val="DefaultParagraphFont"/>
    <w:link w:val="FootnoteText"/>
    <w:uiPriority w:val="99"/>
    <w:qFormat/>
    <w:rPr>
      <w:rFonts w:ascii="Cambria" w:eastAsiaTheme="minorEastAsia" w:hAnsi="Cambria" w:cs="Cambria"/>
      <w:sz w:val="20"/>
      <w:szCs w:val="20"/>
      <w:lang w:val="en-US"/>
    </w:rPr>
  </w:style>
  <w:style w:type="character" w:customStyle="1" w:styleId="FontStyle29">
    <w:name w:val="Font Style29"/>
    <w:basedOn w:val="DefaultParagraphFont"/>
    <w:uiPriority w:val="99"/>
    <w:qFormat/>
    <w:rPr>
      <w:rFonts w:ascii="Palatino Linotype" w:hAnsi="Palatino Linotype" w:cs="Palatino Linotype"/>
      <w:b/>
      <w:bCs/>
      <w:sz w:val="18"/>
      <w:szCs w:val="18"/>
    </w:rPr>
  </w:style>
  <w:style w:type="character" w:customStyle="1" w:styleId="fontstyle01">
    <w:name w:val="fontstyle01"/>
    <w:basedOn w:val="DefaultParagraphFont"/>
    <w:qFormat/>
    <w:rPr>
      <w:rFonts w:ascii="Times-Bold" w:hAnsi="Times-Bold" w:hint="default"/>
      <w:b/>
      <w:bCs/>
      <w:color w:val="000000"/>
      <w:sz w:val="24"/>
      <w:szCs w:val="24"/>
    </w:rPr>
  </w:style>
  <w:style w:type="character" w:customStyle="1" w:styleId="TitleChar">
    <w:name w:val="Title Char"/>
    <w:basedOn w:val="DefaultParagraphFont"/>
    <w:link w:val="Title"/>
    <w:qFormat/>
    <w:rPr>
      <w:rFonts w:eastAsia="Times New Roman"/>
      <w:sz w:val="28"/>
      <w:szCs w:val="28"/>
      <w:lang w:val="en-US"/>
    </w:rPr>
  </w:style>
  <w:style w:type="paragraph" w:customStyle="1" w:styleId="stylejustifiedleft025hanging025">
    <w:name w:val="stylejustifiedleft025hanging025"/>
    <w:basedOn w:val="Normal"/>
    <w:qFormat/>
    <w:pPr>
      <w:spacing w:before="100" w:beforeAutospacing="1" w:after="100" w:afterAutospacing="1"/>
    </w:pPr>
    <w:rPr>
      <w:rFonts w:ascii="Times New Roman" w:hAnsi="Times New Roman"/>
      <w:lang w:val="en-US" w:bidi="ar-SA"/>
    </w:rPr>
  </w:style>
  <w:style w:type="character" w:customStyle="1" w:styleId="qu">
    <w:name w:val="qu"/>
    <w:basedOn w:val="DefaultParagraphFont"/>
    <w:qFormat/>
  </w:style>
  <w:style w:type="character" w:customStyle="1" w:styleId="gd">
    <w:name w:val="gd"/>
    <w:basedOn w:val="DefaultParagraphFont"/>
    <w:qFormat/>
  </w:style>
  <w:style w:type="character" w:customStyle="1" w:styleId="go">
    <w:name w:val="go"/>
    <w:basedOn w:val="DefaultParagraphFont"/>
  </w:style>
  <w:style w:type="character" w:customStyle="1" w:styleId="g3">
    <w:name w:val="g3"/>
    <w:basedOn w:val="DefaultParagraphFont"/>
    <w:qFormat/>
  </w:style>
  <w:style w:type="character" w:customStyle="1" w:styleId="hb">
    <w:name w:val="hb"/>
    <w:basedOn w:val="DefaultParagraphFont"/>
    <w:qFormat/>
  </w:style>
  <w:style w:type="character" w:customStyle="1" w:styleId="g2">
    <w:name w:val="g2"/>
    <w:basedOn w:val="DefaultParagraphFont"/>
    <w:qFormat/>
  </w:style>
  <w:style w:type="character" w:customStyle="1" w:styleId="BodytextItalic">
    <w:name w:val="Body text + Italic"/>
    <w:qFormat/>
    <w:rPr>
      <w:rFonts w:ascii="Bookman Old Style" w:eastAsia="Bookman Old Style" w:hAnsi="Bookman Old Style" w:cs="Bookman Old Style"/>
      <w:i/>
      <w:iCs/>
      <w:color w:val="000000"/>
      <w:spacing w:val="0"/>
      <w:w w:val="100"/>
      <w:position w:val="0"/>
      <w:sz w:val="26"/>
      <w:szCs w:val="26"/>
      <w:shd w:val="clear" w:color="auto" w:fill="FFFFFF"/>
      <w:lang w:val="it-IT" w:eastAsia="it-IT" w:bidi="it-IT"/>
    </w:rPr>
  </w:style>
  <w:style w:type="character" w:customStyle="1" w:styleId="Bodytext5">
    <w:name w:val="Body text (5)_"/>
    <w:link w:val="Bodytext50"/>
    <w:qFormat/>
    <w:locked/>
    <w:rPr>
      <w:rFonts w:ascii="Calibri" w:hAnsi="Calibri" w:cs="Calibri"/>
      <w:b/>
      <w:bCs/>
      <w:sz w:val="34"/>
      <w:szCs w:val="34"/>
      <w:shd w:val="clear" w:color="auto" w:fill="FFFFFF"/>
    </w:rPr>
  </w:style>
  <w:style w:type="paragraph" w:customStyle="1" w:styleId="Bodytext50">
    <w:name w:val="Body text (5)"/>
    <w:basedOn w:val="Normal"/>
    <w:link w:val="Bodytext5"/>
    <w:qFormat/>
    <w:pPr>
      <w:widowControl w:val="0"/>
      <w:shd w:val="clear" w:color="auto" w:fill="FFFFFF"/>
      <w:spacing w:before="840" w:after="120" w:line="457" w:lineRule="exact"/>
      <w:jc w:val="both"/>
    </w:pPr>
    <w:rPr>
      <w:rFonts w:eastAsiaTheme="minorHAnsi" w:cs="Calibri"/>
      <w:b/>
      <w:bCs/>
      <w:sz w:val="34"/>
      <w:szCs w:val="34"/>
      <w:lang w:bidi="ar-SA"/>
    </w:rPr>
  </w:style>
  <w:style w:type="character" w:customStyle="1" w:styleId="BodytextBold">
    <w:name w:val="Body text + Bold"/>
    <w:qFormat/>
    <w:rPr>
      <w:rFonts w:ascii="Times New Roman" w:eastAsia="Times New Roman" w:hAnsi="Times New Roman" w:cs="Times New Roman"/>
      <w:b/>
      <w:bCs/>
      <w:color w:val="000000"/>
      <w:spacing w:val="0"/>
      <w:w w:val="100"/>
      <w:position w:val="0"/>
      <w:sz w:val="30"/>
      <w:szCs w:val="30"/>
      <w:shd w:val="clear" w:color="auto" w:fill="FFFFFF"/>
      <w:lang w:val="sq-AL" w:eastAsia="sq-AL" w:bidi="sq-AL"/>
    </w:rPr>
  </w:style>
  <w:style w:type="character" w:customStyle="1" w:styleId="Bodytext2Italic">
    <w:name w:val="Body text (2) + Italic"/>
    <w:qFormat/>
    <w:rPr>
      <w:rFonts w:ascii="Times New Roman" w:eastAsia="Times New Roman" w:hAnsi="Times New Roman" w:cs="Times New Roman"/>
      <w:i/>
      <w:iCs/>
      <w:color w:val="000000"/>
      <w:spacing w:val="0"/>
      <w:w w:val="100"/>
      <w:position w:val="0"/>
      <w:sz w:val="24"/>
      <w:szCs w:val="24"/>
      <w:u w:val="none"/>
      <w:shd w:val="clear" w:color="auto" w:fill="FFFFFF"/>
      <w:lang w:val="en-US" w:eastAsia="en-US" w:bidi="en-US"/>
    </w:rPr>
  </w:style>
  <w:style w:type="character" w:customStyle="1" w:styleId="Heading4Char">
    <w:name w:val="Heading 4 Char"/>
    <w:basedOn w:val="DefaultParagraphFont"/>
    <w:link w:val="Heading4"/>
    <w:uiPriority w:val="9"/>
    <w:qFormat/>
    <w:rPr>
      <w:rFonts w:asciiTheme="majorHAnsi" w:eastAsiaTheme="majorEastAsia" w:hAnsiTheme="majorHAnsi" w:cstheme="majorBidi"/>
      <w:i/>
      <w:iCs/>
      <w:color w:val="365F91" w:themeColor="accent1" w:themeShade="BF"/>
      <w:sz w:val="24"/>
      <w:szCs w:val="24"/>
      <w:lang w:bidi="en-US"/>
    </w:rPr>
  </w:style>
  <w:style w:type="character" w:customStyle="1" w:styleId="Heading5Char">
    <w:name w:val="Heading 5 Char"/>
    <w:basedOn w:val="DefaultParagraphFont"/>
    <w:link w:val="Heading5"/>
    <w:qFormat/>
    <w:rPr>
      <w:rFonts w:asciiTheme="majorHAnsi" w:eastAsiaTheme="majorEastAsia" w:hAnsiTheme="majorHAnsi" w:cstheme="majorBidi"/>
      <w:color w:val="365F91" w:themeColor="accent1" w:themeShade="BF"/>
      <w:sz w:val="24"/>
      <w:szCs w:val="24"/>
      <w:lang w:bidi="en-US"/>
    </w:rPr>
  </w:style>
  <w:style w:type="character" w:customStyle="1" w:styleId="Heading6Char">
    <w:name w:val="Heading 6 Char"/>
    <w:basedOn w:val="DefaultParagraphFont"/>
    <w:link w:val="Heading6"/>
    <w:uiPriority w:val="9"/>
    <w:qFormat/>
    <w:rPr>
      <w:rFonts w:asciiTheme="majorHAnsi" w:eastAsiaTheme="majorEastAsia" w:hAnsiTheme="majorHAnsi" w:cstheme="majorBidi"/>
      <w:color w:val="244061" w:themeColor="accent1" w:themeShade="80"/>
      <w:sz w:val="24"/>
      <w:szCs w:val="24"/>
      <w:lang w:bidi="en-US"/>
    </w:rPr>
  </w:style>
  <w:style w:type="character" w:customStyle="1" w:styleId="CommentTextChar">
    <w:name w:val="Comment Text Char"/>
    <w:basedOn w:val="DefaultParagraphFont"/>
    <w:link w:val="CommentText"/>
    <w:uiPriority w:val="99"/>
    <w:semiHidden/>
    <w:qFormat/>
    <w:rPr>
      <w:rFonts w:asciiTheme="minorHAnsi" w:hAnsiTheme="minorHAnsi" w:cstheme="minorBidi"/>
      <w:sz w:val="20"/>
      <w:szCs w:val="20"/>
      <w:lang w:val="en-US"/>
    </w:rPr>
  </w:style>
  <w:style w:type="character" w:customStyle="1" w:styleId="CommentSubjectChar">
    <w:name w:val="Comment Subject Char"/>
    <w:basedOn w:val="CommentTextChar"/>
    <w:link w:val="CommentSubject"/>
    <w:uiPriority w:val="99"/>
    <w:semiHidden/>
    <w:qFormat/>
    <w:rPr>
      <w:rFonts w:asciiTheme="minorHAnsi" w:hAnsiTheme="minorHAnsi" w:cstheme="minorBidi"/>
      <w:b/>
      <w:bCs/>
      <w:sz w:val="20"/>
      <w:szCs w:val="20"/>
      <w:lang w:val="en-US"/>
    </w:rPr>
  </w:style>
  <w:style w:type="character" w:customStyle="1" w:styleId="CommentSubjectChar1">
    <w:name w:val="Comment Subject Char1"/>
    <w:basedOn w:val="CommentTextChar"/>
    <w:uiPriority w:val="99"/>
    <w:semiHidden/>
    <w:qFormat/>
    <w:rPr>
      <w:rFonts w:asciiTheme="minorHAnsi" w:hAnsiTheme="minorHAnsi" w:cstheme="minorBidi"/>
      <w:b/>
      <w:bCs/>
      <w:sz w:val="20"/>
      <w:szCs w:val="20"/>
      <w:lang w:val="en-US"/>
    </w:rPr>
  </w:style>
  <w:style w:type="character" w:customStyle="1" w:styleId="BalloonTextChar1">
    <w:name w:val="Balloon Text Char1"/>
    <w:basedOn w:val="DefaultParagraphFont"/>
    <w:uiPriority w:val="99"/>
    <w:semiHidden/>
    <w:qFormat/>
    <w:rPr>
      <w:rFonts w:ascii="Segoe UI" w:hAnsi="Segoe UI" w:cs="Segoe UI"/>
      <w:sz w:val="18"/>
      <w:szCs w:val="18"/>
    </w:rPr>
  </w:style>
  <w:style w:type="character" w:customStyle="1" w:styleId="bodytextitalic0">
    <w:name w:val="bodytextitalic"/>
    <w:basedOn w:val="DefaultParagraphFont"/>
    <w:qFormat/>
  </w:style>
  <w:style w:type="paragraph" w:customStyle="1" w:styleId="bodytext0">
    <w:name w:val="bodytext0"/>
    <w:basedOn w:val="Normal"/>
    <w:qFormat/>
    <w:pPr>
      <w:spacing w:before="100" w:beforeAutospacing="1" w:after="100" w:afterAutospacing="1"/>
    </w:pPr>
    <w:rPr>
      <w:rFonts w:ascii="Times New Roman" w:hAnsi="Times New Roman"/>
      <w:lang w:val="en-US" w:bidi="ar-SA"/>
    </w:rPr>
  </w:style>
  <w:style w:type="paragraph" w:customStyle="1" w:styleId="bodytext30">
    <w:name w:val="bodytext30"/>
    <w:basedOn w:val="Normal"/>
    <w:qFormat/>
    <w:pPr>
      <w:spacing w:before="100" w:beforeAutospacing="1" w:after="100" w:afterAutospacing="1"/>
    </w:pPr>
    <w:rPr>
      <w:rFonts w:ascii="Times New Roman" w:hAnsi="Times New Roman"/>
      <w:lang w:val="en-US" w:bidi="ar-SA"/>
    </w:rPr>
  </w:style>
  <w:style w:type="paragraph" w:customStyle="1" w:styleId="bodytext1">
    <w:name w:val="bodytext1"/>
    <w:basedOn w:val="Normal"/>
    <w:qFormat/>
    <w:pPr>
      <w:spacing w:before="100" w:beforeAutospacing="1" w:after="100" w:afterAutospacing="1"/>
    </w:pPr>
    <w:rPr>
      <w:rFonts w:ascii="Times New Roman" w:hAnsi="Times New Roman"/>
      <w:lang w:val="en-US" w:bidi="ar-SA"/>
    </w:rPr>
  </w:style>
  <w:style w:type="character" w:customStyle="1" w:styleId="fontstyle20">
    <w:name w:val="fontstyle20"/>
    <w:basedOn w:val="DefaultParagraphFont"/>
    <w:qFormat/>
  </w:style>
  <w:style w:type="paragraph" w:customStyle="1" w:styleId="style5">
    <w:name w:val="style5"/>
    <w:basedOn w:val="Normal"/>
    <w:qFormat/>
    <w:pPr>
      <w:spacing w:before="100" w:beforeAutospacing="1" w:after="100" w:afterAutospacing="1"/>
    </w:pPr>
    <w:rPr>
      <w:rFonts w:ascii="Times New Roman" w:hAnsi="Times New Roman"/>
      <w:lang w:val="en-US" w:bidi="ar-SA"/>
    </w:rPr>
  </w:style>
  <w:style w:type="character" w:customStyle="1" w:styleId="fontstyle13">
    <w:name w:val="fontstyle13"/>
    <w:basedOn w:val="DefaultParagraphFont"/>
    <w:qFormat/>
  </w:style>
  <w:style w:type="paragraph" w:customStyle="1" w:styleId="style2">
    <w:name w:val="style2"/>
    <w:basedOn w:val="Normal"/>
    <w:qFormat/>
    <w:pPr>
      <w:spacing w:before="100" w:beforeAutospacing="1" w:after="100" w:afterAutospacing="1"/>
    </w:pPr>
    <w:rPr>
      <w:rFonts w:ascii="Times New Roman" w:hAnsi="Times New Roman"/>
      <w:lang w:val="en-US" w:bidi="ar-SA"/>
    </w:rPr>
  </w:style>
  <w:style w:type="character" w:customStyle="1" w:styleId="BodyText2Char">
    <w:name w:val="Body Text 2 Char"/>
    <w:basedOn w:val="DefaultParagraphFont"/>
    <w:link w:val="BodyText2"/>
    <w:uiPriority w:val="99"/>
    <w:qFormat/>
    <w:rPr>
      <w:rFonts w:asciiTheme="minorHAnsi" w:hAnsiTheme="minorHAnsi" w:cstheme="minorBidi"/>
      <w:lang w:val="en-US"/>
    </w:rPr>
  </w:style>
  <w:style w:type="character" w:customStyle="1" w:styleId="ParagrafiilistsKarakter1">
    <w:name w:val="Paragrafi i listës Karakter1"/>
    <w:aliases w:val="List Paragraph2 Karakter1,Normal 1 Karakter1,Dot pt Karakter1,List Paragraph1 Karakter1,F5 List Paragraph Karakter1,List Paragraph Char Char Char Karakter1,Indicator Text Karakter1,Colorful List - Accent 11 Karakter1"/>
    <w:uiPriority w:val="34"/>
    <w:qFormat/>
    <w:locked/>
  </w:style>
  <w:style w:type="character" w:customStyle="1" w:styleId="hps">
    <w:name w:val="hps"/>
    <w:basedOn w:val="DefaultParagraphFont"/>
    <w:qFormat/>
  </w:style>
  <w:style w:type="character" w:customStyle="1" w:styleId="apple-converted-space">
    <w:name w:val="apple-converted-space"/>
    <w:basedOn w:val="DefaultParagraphFont"/>
    <w:qFormat/>
  </w:style>
  <w:style w:type="paragraph" w:customStyle="1" w:styleId="Ripunim1">
    <w:name w:val="Ripunim1"/>
    <w:hidden/>
    <w:uiPriority w:val="99"/>
    <w:semiHidden/>
    <w:qFormat/>
    <w:rPr>
      <w:rFonts w:ascii="Calibri" w:eastAsia="Times New Roman" w:hAnsi="Calibri"/>
      <w:sz w:val="24"/>
      <w:szCs w:val="24"/>
      <w:lang w:eastAsia="en-US" w:bidi="en-US"/>
    </w:rPr>
  </w:style>
  <w:style w:type="character" w:customStyle="1" w:styleId="bodytext13bookmanoldstyle">
    <w:name w:val="bodytext13bookmanoldstyle"/>
    <w:basedOn w:val="DefaultParagraphFont"/>
    <w:qFormat/>
  </w:style>
  <w:style w:type="character" w:customStyle="1" w:styleId="TrupiitekstitKarakter1">
    <w:name w:val="Trupi i tekstit Karakter1"/>
    <w:basedOn w:val="DefaultParagraphFont"/>
    <w:uiPriority w:val="99"/>
    <w:qFormat/>
    <w:rPr>
      <w:rFonts w:ascii="Calibri" w:eastAsia="Times New Roman" w:hAnsi="Calibri"/>
      <w:sz w:val="24"/>
      <w:szCs w:val="24"/>
      <w:lang w:bidi="en-US"/>
    </w:rPr>
  </w:style>
  <w:style w:type="character" w:customStyle="1" w:styleId="Heading7Char">
    <w:name w:val="Heading 7 Char"/>
    <w:basedOn w:val="DefaultParagraphFont"/>
    <w:link w:val="Heading7"/>
    <w:qFormat/>
    <w:rPr>
      <w:rFonts w:eastAsia="Times New Roman"/>
      <w:sz w:val="24"/>
      <w:szCs w:val="24"/>
      <w:lang w:val="en-GB"/>
    </w:rPr>
  </w:style>
  <w:style w:type="character" w:customStyle="1" w:styleId="y2iqfc">
    <w:name w:val="y2iqfc"/>
    <w:basedOn w:val="DefaultParagraphFont"/>
    <w:qFormat/>
  </w:style>
  <w:style w:type="character" w:customStyle="1" w:styleId="fontstyle14">
    <w:name w:val="fontstyle14"/>
    <w:basedOn w:val="DefaultParagraphFont"/>
    <w:qFormat/>
  </w:style>
  <w:style w:type="character" w:customStyle="1" w:styleId="bodytext4">
    <w:name w:val="bodytext"/>
    <w:basedOn w:val="DefaultParagraphFont"/>
    <w:qFormat/>
  </w:style>
  <w:style w:type="character" w:customStyle="1" w:styleId="BodyTextIndentChar">
    <w:name w:val="Body Text Indent Char"/>
    <w:basedOn w:val="DefaultParagraphFont"/>
    <w:link w:val="BodyTextIndent"/>
    <w:uiPriority w:val="99"/>
    <w:semiHidden/>
    <w:qFormat/>
    <w:rPr>
      <w:rFonts w:ascii="Calibri" w:eastAsia="Times New Roman" w:hAnsi="Calibri"/>
      <w:sz w:val="24"/>
      <w:szCs w:val="24"/>
      <w:lang w:bidi="en-US"/>
    </w:rPr>
  </w:style>
  <w:style w:type="character" w:customStyle="1" w:styleId="BodyText3Char">
    <w:name w:val="Body Text 3 Char"/>
    <w:basedOn w:val="DefaultParagraphFont"/>
    <w:link w:val="BodyText3"/>
    <w:uiPriority w:val="99"/>
    <w:qFormat/>
    <w:rPr>
      <w:rFonts w:ascii="Calibri" w:eastAsia="Times New Roman" w:hAnsi="Calibri"/>
      <w:sz w:val="16"/>
      <w:szCs w:val="16"/>
      <w:lang w:bidi="en-US"/>
    </w:rPr>
  </w:style>
  <w:style w:type="character" w:customStyle="1" w:styleId="fontstyle17">
    <w:name w:val="fontstyle17"/>
    <w:basedOn w:val="DefaultParagraphFont"/>
    <w:qFormat/>
  </w:style>
  <w:style w:type="character" w:customStyle="1" w:styleId="fontstyle25">
    <w:name w:val="fontstyle25"/>
    <w:basedOn w:val="DefaultParagraphFont"/>
    <w:qFormat/>
  </w:style>
  <w:style w:type="character" w:customStyle="1" w:styleId="fontstyle19">
    <w:name w:val="fontstyle19"/>
    <w:basedOn w:val="DefaultParagraphFont"/>
    <w:qFormat/>
  </w:style>
  <w:style w:type="character" w:customStyle="1" w:styleId="fontstyle22">
    <w:name w:val="fontstyle22"/>
    <w:basedOn w:val="DefaultParagraphFont"/>
    <w:qFormat/>
  </w:style>
  <w:style w:type="character" w:customStyle="1" w:styleId="UnresolvedMention1">
    <w:name w:val="Unresolved Mention1"/>
    <w:basedOn w:val="DefaultParagraphFont"/>
    <w:uiPriority w:val="99"/>
    <w:semiHidden/>
    <w:unhideWhenUsed/>
    <w:qFormat/>
    <w:rPr>
      <w:color w:val="605E5C"/>
      <w:shd w:val="clear" w:color="auto" w:fill="E1DFDD"/>
    </w:rPr>
  </w:style>
  <w:style w:type="character" w:customStyle="1" w:styleId="BodyTextIndent2Char">
    <w:name w:val="Body Text Indent 2 Char"/>
    <w:basedOn w:val="DefaultParagraphFont"/>
    <w:link w:val="BodyTextIndent2"/>
    <w:uiPriority w:val="99"/>
    <w:semiHidden/>
    <w:qFormat/>
    <w:rPr>
      <w:rFonts w:ascii="Calibri" w:eastAsia="Times New Roman" w:hAnsi="Calibri"/>
      <w:sz w:val="24"/>
      <w:szCs w:val="24"/>
      <w:lang w:bidi="en-US"/>
    </w:rPr>
  </w:style>
  <w:style w:type="character" w:customStyle="1" w:styleId="Bodytext20">
    <w:name w:val="Body text (2)_"/>
    <w:basedOn w:val="DefaultParagraphFont"/>
    <w:link w:val="Bodytext21"/>
    <w:qFormat/>
    <w:locked/>
    <w:rPr>
      <w:rFonts w:eastAsia="Times New Roman"/>
      <w:shd w:val="clear" w:color="auto" w:fill="FFFFFF"/>
    </w:rPr>
  </w:style>
  <w:style w:type="paragraph" w:customStyle="1" w:styleId="Bodytext21">
    <w:name w:val="Body text (2)"/>
    <w:basedOn w:val="Normal"/>
    <w:link w:val="Bodytext20"/>
    <w:qFormat/>
    <w:pPr>
      <w:widowControl w:val="0"/>
      <w:shd w:val="clear" w:color="auto" w:fill="FFFFFF"/>
      <w:spacing w:before="540" w:after="300" w:line="298" w:lineRule="exact"/>
      <w:ind w:hanging="340"/>
      <w:jc w:val="both"/>
    </w:pPr>
    <w:rPr>
      <w:rFonts w:ascii="Times New Roman" w:hAnsi="Times New Roman"/>
      <w:sz w:val="22"/>
      <w:szCs w:val="22"/>
      <w:lang w:bidi="ar-SA"/>
    </w:rPr>
  </w:style>
  <w:style w:type="character" w:customStyle="1" w:styleId="FontStyle16">
    <w:name w:val="Font Style16"/>
    <w:basedOn w:val="DefaultParagraphFont"/>
    <w:uiPriority w:val="99"/>
    <w:qFormat/>
    <w:rPr>
      <w:rFonts w:ascii="Palatino Linotype" w:hAnsi="Palatino Linotype" w:cs="Palatino Linotype"/>
      <w:sz w:val="22"/>
      <w:szCs w:val="22"/>
    </w:rPr>
  </w:style>
  <w:style w:type="paragraph" w:styleId="Revision">
    <w:name w:val="Revision"/>
    <w:hidden/>
    <w:uiPriority w:val="99"/>
    <w:unhideWhenUsed/>
    <w:rsid w:val="009C68F3"/>
    <w:rPr>
      <w:rFonts w:ascii="Calibri" w:eastAsia="Times New Roman" w:hAnsi="Calibri"/>
      <w:sz w:val="24"/>
      <w:szCs w:val="24"/>
      <w:lang w:eastAsia="en-US" w:bidi="en-US"/>
    </w:rPr>
  </w:style>
  <w:style w:type="character" w:customStyle="1" w:styleId="bodytextbold0">
    <w:name w:val="bodytextbold"/>
    <w:basedOn w:val="DefaultParagraphFont"/>
    <w:rsid w:val="00B84301"/>
  </w:style>
  <w:style w:type="paragraph" w:customStyle="1" w:styleId="paragraph-point">
    <w:name w:val="paragraph-point"/>
    <w:basedOn w:val="Normal"/>
    <w:rsid w:val="000608BA"/>
    <w:pPr>
      <w:spacing w:before="100" w:beforeAutospacing="1" w:after="100" w:afterAutospacing="1"/>
    </w:pPr>
    <w:rPr>
      <w:rFonts w:ascii="Times New Roman" w:hAnsi="Times New Roman"/>
      <w:lang w:bidi="ar-SA"/>
    </w:rPr>
  </w:style>
  <w:style w:type="paragraph" w:customStyle="1" w:styleId="Normal1">
    <w:name w:val="Normal1"/>
    <w:basedOn w:val="Normal"/>
    <w:rsid w:val="00AA5B3A"/>
    <w:pPr>
      <w:spacing w:before="100" w:beforeAutospacing="1" w:after="100" w:afterAutospacing="1"/>
    </w:pPr>
    <w:rPr>
      <w:rFonts w:ascii="Times New Roman" w:hAnsi="Times New Roman"/>
      <w:lang w:val="en-US" w:bidi="ar-SA"/>
    </w:rPr>
  </w:style>
  <w:style w:type="character" w:customStyle="1" w:styleId="fontstyle51">
    <w:name w:val="fontstyle51"/>
    <w:basedOn w:val="DefaultParagraphFont"/>
    <w:rsid w:val="00AA5B3A"/>
  </w:style>
  <w:style w:type="paragraph" w:customStyle="1" w:styleId="Char2">
    <w:name w:val="Char2"/>
    <w:basedOn w:val="Normal"/>
    <w:link w:val="FootnoteReference"/>
    <w:uiPriority w:val="99"/>
    <w:qFormat/>
    <w:rsid w:val="00156195"/>
    <w:pPr>
      <w:spacing w:after="160" w:line="240" w:lineRule="exact"/>
    </w:pPr>
    <w:rPr>
      <w:rFonts w:ascii="Times New Roman" w:eastAsiaTheme="minorHAnsi" w:hAnsi="Times New Roman"/>
      <w:sz w:val="20"/>
      <w:szCs w:val="20"/>
      <w:vertAlign w:val="superscript"/>
      <w:lang w:eastAsia="sq-AL"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99034809">
      <w:bodyDiv w:val="1"/>
      <w:marLeft w:val="0"/>
      <w:marRight w:val="0"/>
      <w:marTop w:val="0"/>
      <w:marBottom w:val="0"/>
      <w:divBdr>
        <w:top w:val="none" w:sz="0" w:space="0" w:color="auto"/>
        <w:left w:val="none" w:sz="0" w:space="0" w:color="auto"/>
        <w:bottom w:val="none" w:sz="0" w:space="0" w:color="auto"/>
        <w:right w:val="none" w:sz="0" w:space="0" w:color="auto"/>
      </w:divBdr>
    </w:div>
    <w:div w:id="1329560620">
      <w:bodyDiv w:val="1"/>
      <w:marLeft w:val="0"/>
      <w:marRight w:val="0"/>
      <w:marTop w:val="0"/>
      <w:marBottom w:val="0"/>
      <w:divBdr>
        <w:top w:val="none" w:sz="0" w:space="0" w:color="auto"/>
        <w:left w:val="none" w:sz="0" w:space="0" w:color="auto"/>
        <w:bottom w:val="none" w:sz="0" w:space="0" w:color="auto"/>
        <w:right w:val="none" w:sz="0" w:space="0" w:color="auto"/>
      </w:divBdr>
    </w:div>
    <w:div w:id="1376154634">
      <w:bodyDiv w:val="1"/>
      <w:marLeft w:val="0"/>
      <w:marRight w:val="0"/>
      <w:marTop w:val="0"/>
      <w:marBottom w:val="0"/>
      <w:divBdr>
        <w:top w:val="none" w:sz="0" w:space="0" w:color="auto"/>
        <w:left w:val="none" w:sz="0" w:space="0" w:color="auto"/>
        <w:bottom w:val="none" w:sz="0" w:space="0" w:color="auto"/>
        <w:right w:val="none" w:sz="0" w:space="0" w:color="auto"/>
      </w:divBdr>
    </w:div>
    <w:div w:id="1458724101">
      <w:bodyDiv w:val="1"/>
      <w:marLeft w:val="0"/>
      <w:marRight w:val="0"/>
      <w:marTop w:val="0"/>
      <w:marBottom w:val="0"/>
      <w:divBdr>
        <w:top w:val="none" w:sz="0" w:space="0" w:color="auto"/>
        <w:left w:val="none" w:sz="0" w:space="0" w:color="auto"/>
        <w:bottom w:val="none" w:sz="0" w:space="0" w:color="auto"/>
        <w:right w:val="none" w:sz="0" w:space="0" w:color="auto"/>
      </w:divBdr>
    </w:div>
    <w:div w:id="1506090854">
      <w:bodyDiv w:val="1"/>
      <w:marLeft w:val="0"/>
      <w:marRight w:val="0"/>
      <w:marTop w:val="0"/>
      <w:marBottom w:val="0"/>
      <w:divBdr>
        <w:top w:val="none" w:sz="0" w:space="0" w:color="auto"/>
        <w:left w:val="none" w:sz="0" w:space="0" w:color="auto"/>
        <w:bottom w:val="none" w:sz="0" w:space="0" w:color="auto"/>
        <w:right w:val="none" w:sz="0" w:space="0" w:color="auto"/>
      </w:divBdr>
    </w:div>
    <w:div w:id="1583948745">
      <w:bodyDiv w:val="1"/>
      <w:marLeft w:val="0"/>
      <w:marRight w:val="0"/>
      <w:marTop w:val="0"/>
      <w:marBottom w:val="0"/>
      <w:divBdr>
        <w:top w:val="none" w:sz="0" w:space="0" w:color="auto"/>
        <w:left w:val="none" w:sz="0" w:space="0" w:color="auto"/>
        <w:bottom w:val="none" w:sz="0" w:space="0" w:color="auto"/>
        <w:right w:val="none" w:sz="0" w:space="0" w:color="auto"/>
      </w:divBdr>
    </w:div>
    <w:div w:id="1586039114">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oleObject" Target="embeddings/oleObject1.bin"/></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DDD4A4-58A6-4FB8-AC5F-CD0F1B275C1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TotalTime>
  <Pages>18</Pages>
  <Words>10726</Words>
  <Characters>61144</Characters>
  <Application>Microsoft Office Word</Application>
  <DocSecurity>0</DocSecurity>
  <Lines>509</Lines>
  <Paragraphs>143</Paragraphs>
  <ScaleCrop>false</ScaleCrop>
  <HeadingPairs>
    <vt:vector size="4" baseType="variant">
      <vt:variant>
        <vt:lpstr>Title</vt:lpstr>
      </vt:variant>
      <vt:variant>
        <vt:i4>1</vt:i4>
      </vt:variant>
      <vt:variant>
        <vt:lpstr>Titull</vt:lpstr>
      </vt:variant>
      <vt:variant>
        <vt:i4>1</vt:i4>
      </vt:variant>
    </vt:vector>
  </HeadingPairs>
  <TitlesOfParts>
    <vt:vector size="2" baseType="lpstr">
      <vt:lpstr/>
      <vt:lpstr/>
    </vt:vector>
  </TitlesOfParts>
  <Company>Hewlett-Packard Company</Company>
  <LinksUpToDate>false</LinksUpToDate>
  <CharactersWithSpaces>71727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Metush</dc:creator>
  <cp:lastModifiedBy>Publiku</cp:lastModifiedBy>
  <cp:revision>5</cp:revision>
  <cp:lastPrinted>2026-07-06T10:29:00Z</cp:lastPrinted>
  <dcterms:created xsi:type="dcterms:W3CDTF">2026-06-29T09:50:00Z</dcterms:created>
  <dcterms:modified xsi:type="dcterms:W3CDTF">2026-07-06T10:29:00Z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1033-12.2.0.21179</vt:lpwstr>
  </property>
  <property fmtid="{D5CDD505-2E9C-101B-9397-08002B2CF9AE}" pid="3" name="ICV">
    <vt:lpwstr>75BBD39012F34C64908211888B1F8910_13</vt:lpwstr>
  </property>
</Properties>
</file>