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208828341"/>
    <w:bookmarkStart w:id="1" w:name="_Hlk153785329"/>
    <w:bookmarkStart w:id="2" w:name="_GoBack"/>
    <w:bookmarkEnd w:id="2"/>
    <w:p w14:paraId="5EBDACA7" w14:textId="4AFF666A" w:rsidR="009F0CE4" w:rsidRPr="007503A7" w:rsidRDefault="000127EA" w:rsidP="00473B82">
      <w:pPr>
        <w:ind w:left="3600" w:firstLine="720"/>
        <w:rPr>
          <w:rFonts w:ascii="Times New Roman" w:hAnsi="Times New Roman"/>
          <w:b/>
          <w:noProof/>
        </w:rPr>
      </w:pPr>
      <w:r w:rsidRPr="007503A7">
        <w:rPr>
          <w:rFonts w:ascii="Times New Roman" w:hAnsi="Times New Roman"/>
          <w:b/>
          <w:noProof/>
        </w:rPr>
        <w:object w:dxaOrig="6674" w:dyaOrig="10036" w14:anchorId="34B97D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36pt" o:ole="">
            <v:imagedata r:id="rId8" o:title=""/>
          </v:shape>
          <o:OLEObject Type="Embed" ProgID="MSPhotoEd.3" ShapeID="_x0000_i1025" DrawAspect="Content" ObjectID="_1850895085" r:id="rId9"/>
        </w:object>
      </w:r>
      <w:r w:rsidR="009F0CE4" w:rsidRPr="007503A7">
        <w:rPr>
          <w:rFonts w:ascii="Times New Roman" w:hAnsi="Times New Roman"/>
          <w:b/>
          <w:noProof/>
        </w:rPr>
        <w:t xml:space="preserve">  </w:t>
      </w:r>
    </w:p>
    <w:p w14:paraId="2D955983" w14:textId="77777777" w:rsidR="009F0CE4" w:rsidRPr="007503A7" w:rsidRDefault="009F0CE4" w:rsidP="00473B82">
      <w:pPr>
        <w:jc w:val="center"/>
        <w:rPr>
          <w:rFonts w:ascii="Times New Roman" w:hAnsi="Times New Roman"/>
          <w:b/>
          <w:noProof/>
        </w:rPr>
      </w:pPr>
      <w:r w:rsidRPr="007503A7">
        <w:rPr>
          <w:rFonts w:ascii="Times New Roman" w:hAnsi="Times New Roman"/>
          <w:b/>
          <w:noProof/>
        </w:rPr>
        <w:t xml:space="preserve">    REPUBLIKA E SHQIPËRISË</w:t>
      </w:r>
    </w:p>
    <w:p w14:paraId="5597BE12" w14:textId="77777777" w:rsidR="009F0CE4" w:rsidRPr="007503A7" w:rsidRDefault="009F0CE4" w:rsidP="00473B82">
      <w:pPr>
        <w:jc w:val="center"/>
        <w:rPr>
          <w:rFonts w:ascii="Times New Roman" w:hAnsi="Times New Roman"/>
          <w:b/>
          <w:noProof/>
        </w:rPr>
      </w:pPr>
      <w:r w:rsidRPr="007503A7">
        <w:rPr>
          <w:rFonts w:ascii="Times New Roman" w:hAnsi="Times New Roman"/>
          <w:b/>
          <w:noProof/>
        </w:rPr>
        <w:t>GJYKATA E LARTË</w:t>
      </w:r>
    </w:p>
    <w:p w14:paraId="39639D51" w14:textId="77777777" w:rsidR="009F0CE4" w:rsidRPr="007503A7" w:rsidRDefault="009F0CE4" w:rsidP="00473B82">
      <w:pPr>
        <w:jc w:val="center"/>
        <w:rPr>
          <w:rFonts w:ascii="Times New Roman" w:hAnsi="Times New Roman"/>
          <w:b/>
          <w:noProof/>
        </w:rPr>
      </w:pPr>
      <w:r w:rsidRPr="007503A7">
        <w:rPr>
          <w:rFonts w:ascii="Times New Roman" w:hAnsi="Times New Roman"/>
          <w:b/>
          <w:noProof/>
        </w:rPr>
        <w:t>KOLEGJI PENAL</w:t>
      </w:r>
    </w:p>
    <w:p w14:paraId="3D971207" w14:textId="77777777" w:rsidR="009F0CE4" w:rsidRPr="007503A7" w:rsidRDefault="009F0CE4" w:rsidP="00473B82">
      <w:pPr>
        <w:jc w:val="both"/>
        <w:rPr>
          <w:rFonts w:ascii="Times New Roman" w:eastAsia="Calibri" w:hAnsi="Times New Roman"/>
          <w:b/>
          <w:bCs/>
          <w:noProof/>
        </w:rPr>
      </w:pPr>
    </w:p>
    <w:p w14:paraId="679B7C12" w14:textId="70837FC5" w:rsidR="009F0CE4" w:rsidRPr="007503A7" w:rsidRDefault="009F0CE4" w:rsidP="00473B82">
      <w:pPr>
        <w:jc w:val="both"/>
        <w:rPr>
          <w:rFonts w:ascii="Times New Roman" w:eastAsia="Calibri" w:hAnsi="Times New Roman"/>
          <w:b/>
          <w:noProof/>
        </w:rPr>
      </w:pPr>
      <w:r w:rsidRPr="007503A7">
        <w:rPr>
          <w:rFonts w:ascii="Times New Roman" w:eastAsia="Calibri" w:hAnsi="Times New Roman"/>
          <w:b/>
          <w:bCs/>
          <w:noProof/>
        </w:rPr>
        <w:t>Nr</w:t>
      </w:r>
      <w:r w:rsidRPr="007503A7">
        <w:rPr>
          <w:rFonts w:ascii="Times New Roman" w:hAnsi="Times New Roman"/>
          <w:b/>
          <w:iCs/>
        </w:rPr>
        <w:t xml:space="preserve">. </w:t>
      </w:r>
      <w:r w:rsidR="00FD465C" w:rsidRPr="007503A7">
        <w:rPr>
          <w:rFonts w:ascii="Times New Roman" w:eastAsia="Calibri" w:hAnsi="Times New Roman"/>
          <w:b/>
          <w:bCs/>
          <w:noProof/>
          <w:lang w:bidi="ar-SA"/>
        </w:rPr>
        <w:t>53201-00042-00-2026</w:t>
      </w:r>
      <w:r w:rsidR="00FF4DD9" w:rsidRPr="007503A7">
        <w:rPr>
          <w:rFonts w:ascii="Times New Roman" w:hAnsi="Times New Roman"/>
          <w:b/>
          <w:bCs/>
        </w:rPr>
        <w:t xml:space="preserve"> </w:t>
      </w:r>
      <w:r w:rsidRPr="007503A7">
        <w:rPr>
          <w:rFonts w:ascii="Times New Roman" w:eastAsia="Calibri" w:hAnsi="Times New Roman"/>
          <w:b/>
          <w:bCs/>
          <w:noProof/>
        </w:rPr>
        <w:t>Regj. Themeltar</w:t>
      </w:r>
      <w:r w:rsidRPr="007503A7">
        <w:rPr>
          <w:rFonts w:ascii="Times New Roman" w:hAnsi="Times New Roman"/>
          <w:b/>
          <w:noProof/>
        </w:rPr>
        <w:t xml:space="preserve"> </w:t>
      </w:r>
    </w:p>
    <w:p w14:paraId="52F39D19" w14:textId="2B2C1393" w:rsidR="009F0CE4" w:rsidRPr="007503A7" w:rsidRDefault="009F0CE4" w:rsidP="000127EA">
      <w:pPr>
        <w:tabs>
          <w:tab w:val="left" w:pos="3731"/>
        </w:tabs>
        <w:jc w:val="both"/>
        <w:rPr>
          <w:rFonts w:ascii="Times New Roman" w:eastAsia="Calibri" w:hAnsi="Times New Roman"/>
          <w:b/>
          <w:bCs/>
          <w:noProof/>
        </w:rPr>
      </w:pPr>
      <w:r w:rsidRPr="007503A7">
        <w:rPr>
          <w:rFonts w:ascii="Times New Roman" w:eastAsia="Calibri" w:hAnsi="Times New Roman"/>
          <w:b/>
          <w:bCs/>
          <w:noProof/>
        </w:rPr>
        <w:t xml:space="preserve">Nr. </w:t>
      </w:r>
      <w:r w:rsidR="000127EA" w:rsidRPr="007503A7">
        <w:rPr>
          <w:rFonts w:ascii="Times New Roman" w:eastAsia="Calibri" w:hAnsi="Times New Roman"/>
          <w:b/>
          <w:bCs/>
          <w:noProof/>
        </w:rPr>
        <w:t xml:space="preserve">00-2026-541 i </w:t>
      </w:r>
      <w:r w:rsidRPr="007503A7">
        <w:rPr>
          <w:rFonts w:ascii="Times New Roman" w:eastAsia="Calibri" w:hAnsi="Times New Roman"/>
          <w:b/>
          <w:bCs/>
          <w:noProof/>
        </w:rPr>
        <w:t>Vendimi</w:t>
      </w:r>
      <w:r w:rsidR="000127EA" w:rsidRPr="007503A7">
        <w:rPr>
          <w:rFonts w:ascii="Times New Roman" w:eastAsia="Calibri" w:hAnsi="Times New Roman"/>
          <w:b/>
          <w:bCs/>
          <w:noProof/>
        </w:rPr>
        <w:t>t (88)</w:t>
      </w:r>
      <w:r w:rsidR="000127EA" w:rsidRPr="007503A7">
        <w:rPr>
          <w:rFonts w:ascii="Times New Roman" w:eastAsia="Calibri" w:hAnsi="Times New Roman"/>
          <w:b/>
          <w:bCs/>
          <w:noProof/>
        </w:rPr>
        <w:tab/>
      </w:r>
    </w:p>
    <w:p w14:paraId="3E6CC4CD" w14:textId="77777777" w:rsidR="000127EA" w:rsidRPr="007503A7" w:rsidRDefault="000127EA" w:rsidP="000127EA">
      <w:pPr>
        <w:tabs>
          <w:tab w:val="left" w:pos="3731"/>
        </w:tabs>
        <w:jc w:val="both"/>
        <w:rPr>
          <w:rFonts w:ascii="Times New Roman" w:eastAsia="Calibri" w:hAnsi="Times New Roman"/>
          <w:b/>
          <w:bCs/>
          <w:noProof/>
        </w:rPr>
      </w:pPr>
    </w:p>
    <w:p w14:paraId="7A01C7BC" w14:textId="77777777" w:rsidR="000127EA" w:rsidRPr="007503A7" w:rsidRDefault="000127EA" w:rsidP="000127EA">
      <w:pPr>
        <w:jc w:val="center"/>
        <w:rPr>
          <w:rFonts w:ascii="Times New Roman" w:hAnsi="Times New Roman"/>
          <w:b/>
          <w:bCs/>
        </w:rPr>
      </w:pPr>
      <w:r w:rsidRPr="007503A7">
        <w:rPr>
          <w:rFonts w:ascii="Times New Roman" w:hAnsi="Times New Roman"/>
          <w:b/>
          <w:bCs/>
        </w:rPr>
        <w:t>VENDIM</w:t>
      </w:r>
    </w:p>
    <w:p w14:paraId="31587E18" w14:textId="77777777" w:rsidR="000127EA" w:rsidRPr="007503A7" w:rsidRDefault="000127EA" w:rsidP="000127EA">
      <w:pPr>
        <w:jc w:val="center"/>
        <w:rPr>
          <w:rFonts w:ascii="Times New Roman" w:hAnsi="Times New Roman"/>
          <w:b/>
          <w:bCs/>
        </w:rPr>
      </w:pPr>
      <w:r w:rsidRPr="007503A7">
        <w:rPr>
          <w:rFonts w:ascii="Times New Roman" w:hAnsi="Times New Roman"/>
          <w:b/>
          <w:bCs/>
        </w:rPr>
        <w:t>NË EMËR TË REPUBLIKËS</w:t>
      </w:r>
    </w:p>
    <w:p w14:paraId="2AEA2FDE" w14:textId="77777777" w:rsidR="000127EA" w:rsidRPr="007503A7" w:rsidRDefault="000127EA" w:rsidP="000127EA">
      <w:pPr>
        <w:jc w:val="center"/>
        <w:rPr>
          <w:rFonts w:ascii="Times New Roman" w:hAnsi="Times New Roman"/>
        </w:rPr>
      </w:pPr>
    </w:p>
    <w:p w14:paraId="753B269F" w14:textId="77777777" w:rsidR="000127EA" w:rsidRPr="007503A7" w:rsidRDefault="000127EA" w:rsidP="000127EA">
      <w:pPr>
        <w:jc w:val="center"/>
        <w:rPr>
          <w:rFonts w:ascii="Times New Roman" w:hAnsi="Times New Roman"/>
        </w:rPr>
      </w:pPr>
      <w:r w:rsidRPr="007503A7">
        <w:rPr>
          <w:rFonts w:ascii="Times New Roman" w:hAnsi="Times New Roman"/>
        </w:rPr>
        <w:t>Kolegji Penal i Gjykatës së Lartë, i përbërë nga gjyqtarët:</w:t>
      </w:r>
    </w:p>
    <w:p w14:paraId="79458CD5" w14:textId="77777777" w:rsidR="000127EA" w:rsidRPr="007503A7" w:rsidRDefault="000127EA" w:rsidP="000127EA">
      <w:pPr>
        <w:rPr>
          <w:rFonts w:ascii="Times New Roman" w:hAnsi="Times New Roman"/>
        </w:rPr>
      </w:pPr>
    </w:p>
    <w:p w14:paraId="7C38B6F2" w14:textId="77777777" w:rsidR="000127EA" w:rsidRPr="007503A7" w:rsidRDefault="000127EA" w:rsidP="000127EA">
      <w:pPr>
        <w:jc w:val="center"/>
        <w:rPr>
          <w:rFonts w:ascii="Times New Roman" w:hAnsi="Times New Roman"/>
          <w:b/>
          <w:bCs/>
        </w:rPr>
      </w:pPr>
      <w:r w:rsidRPr="007503A7">
        <w:rPr>
          <w:rFonts w:ascii="Times New Roman" w:hAnsi="Times New Roman"/>
          <w:b/>
          <w:bCs/>
        </w:rPr>
        <w:t xml:space="preserve">       Ilir PANDA</w:t>
      </w:r>
      <w:r w:rsidRPr="007503A7">
        <w:rPr>
          <w:rFonts w:ascii="Times New Roman" w:hAnsi="Times New Roman"/>
          <w:b/>
          <w:bCs/>
        </w:rPr>
        <w:tab/>
      </w:r>
      <w:r w:rsidRPr="007503A7">
        <w:rPr>
          <w:rFonts w:ascii="Times New Roman" w:hAnsi="Times New Roman"/>
          <w:b/>
          <w:bCs/>
        </w:rPr>
        <w:tab/>
        <w:t>Kryesues</w:t>
      </w:r>
    </w:p>
    <w:p w14:paraId="26CF4D96" w14:textId="77777777" w:rsidR="000127EA" w:rsidRPr="007503A7" w:rsidRDefault="000127EA" w:rsidP="000127EA">
      <w:pPr>
        <w:ind w:left="2160" w:firstLine="720"/>
        <w:rPr>
          <w:rFonts w:ascii="Times New Roman" w:hAnsi="Times New Roman"/>
          <w:b/>
          <w:bCs/>
        </w:rPr>
      </w:pPr>
      <w:r w:rsidRPr="007503A7">
        <w:rPr>
          <w:rFonts w:ascii="Times New Roman" w:hAnsi="Times New Roman"/>
          <w:b/>
          <w:bCs/>
        </w:rPr>
        <w:t xml:space="preserve">  Sokol BINAJ           Anëtar</w:t>
      </w:r>
    </w:p>
    <w:p w14:paraId="128E85DD" w14:textId="6B95A13C" w:rsidR="009F0CE4" w:rsidRPr="007503A7" w:rsidRDefault="000127EA" w:rsidP="000127EA">
      <w:pPr>
        <w:ind w:left="2880"/>
        <w:jc w:val="both"/>
        <w:rPr>
          <w:rFonts w:ascii="Times New Roman" w:hAnsi="Times New Roman"/>
          <w:b/>
          <w:bCs/>
          <w:lang w:bidi="ar-SA"/>
        </w:rPr>
      </w:pPr>
      <w:r w:rsidRPr="007503A7">
        <w:rPr>
          <w:rFonts w:ascii="Times New Roman" w:hAnsi="Times New Roman"/>
          <w:b/>
          <w:bCs/>
        </w:rPr>
        <w:t xml:space="preserve">  Sandër SIMONI     Anëtar</w:t>
      </w:r>
    </w:p>
    <w:p w14:paraId="00B22EE7" w14:textId="77777777" w:rsidR="009F0CE4" w:rsidRPr="007503A7" w:rsidRDefault="009F0CE4" w:rsidP="00473B82">
      <w:pPr>
        <w:tabs>
          <w:tab w:val="left" w:pos="2070"/>
          <w:tab w:val="left" w:pos="2250"/>
          <w:tab w:val="left" w:pos="3150"/>
        </w:tabs>
        <w:rPr>
          <w:rFonts w:ascii="Times New Roman" w:hAnsi="Times New Roman"/>
          <w:noProof/>
        </w:rPr>
      </w:pPr>
    </w:p>
    <w:p w14:paraId="19736BF5" w14:textId="6EFA5E4E" w:rsidR="00166FF5" w:rsidRPr="007503A7" w:rsidRDefault="002802B6" w:rsidP="000A72C3">
      <w:pPr>
        <w:pStyle w:val="Title"/>
        <w:tabs>
          <w:tab w:val="left" w:pos="360"/>
        </w:tabs>
        <w:ind w:firstLine="360"/>
        <w:jc w:val="both"/>
        <w:rPr>
          <w:sz w:val="24"/>
          <w:szCs w:val="24"/>
          <w:lang w:val="sq-AL" w:eastAsia="en-US"/>
        </w:rPr>
      </w:pPr>
      <w:r w:rsidRPr="007503A7">
        <w:rPr>
          <w:sz w:val="24"/>
          <w:szCs w:val="24"/>
          <w:lang w:val="sq-AL"/>
        </w:rPr>
        <w:t>Sot, më datë</w:t>
      </w:r>
      <w:r w:rsidR="00166FF5" w:rsidRPr="007503A7">
        <w:rPr>
          <w:sz w:val="24"/>
          <w:szCs w:val="24"/>
          <w:lang w:val="sq-AL"/>
        </w:rPr>
        <w:t xml:space="preserve"> </w:t>
      </w:r>
      <w:r w:rsidR="00E54BF7" w:rsidRPr="007503A7">
        <w:rPr>
          <w:sz w:val="24"/>
          <w:szCs w:val="24"/>
          <w:lang w:val="sq-AL"/>
        </w:rPr>
        <w:t>12.05</w:t>
      </w:r>
      <w:r w:rsidR="00DC778D" w:rsidRPr="007503A7">
        <w:rPr>
          <w:sz w:val="24"/>
          <w:szCs w:val="24"/>
          <w:lang w:val="sq-AL"/>
        </w:rPr>
        <w:t>.2026</w:t>
      </w:r>
      <w:r w:rsidR="00166FF5" w:rsidRPr="007503A7">
        <w:rPr>
          <w:sz w:val="24"/>
          <w:szCs w:val="24"/>
          <w:lang w:val="sq-AL"/>
        </w:rPr>
        <w:t xml:space="preserve">, mori në shqyrtim në dhomë këshillimi, </w:t>
      </w:r>
      <w:r w:rsidR="00166FF5" w:rsidRPr="007503A7">
        <w:rPr>
          <w:noProof/>
          <w:sz w:val="24"/>
          <w:szCs w:val="24"/>
          <w:lang w:val="sq-AL"/>
        </w:rPr>
        <w:t>çështjen penale</w:t>
      </w:r>
      <w:r w:rsidR="000A72C3" w:rsidRPr="007503A7">
        <w:rPr>
          <w:noProof/>
          <w:sz w:val="24"/>
          <w:szCs w:val="24"/>
          <w:lang w:val="sq-AL"/>
        </w:rPr>
        <w:t xml:space="preserve"> nr. </w:t>
      </w:r>
      <w:r w:rsidR="000A72C3" w:rsidRPr="007503A7">
        <w:rPr>
          <w:rFonts w:eastAsia="Calibri"/>
          <w:bCs/>
          <w:noProof/>
          <w:sz w:val="24"/>
          <w:szCs w:val="24"/>
        </w:rPr>
        <w:t>53201-00042-00-2026 akti</w:t>
      </w:r>
      <w:r w:rsidR="00166FF5" w:rsidRPr="007503A7">
        <w:rPr>
          <w:noProof/>
          <w:sz w:val="24"/>
          <w:szCs w:val="24"/>
          <w:lang w:val="sq-AL"/>
        </w:rPr>
        <w:t>, që i’u përket</w:t>
      </w:r>
      <w:r w:rsidR="00166FF5" w:rsidRPr="007503A7">
        <w:rPr>
          <w:sz w:val="24"/>
          <w:szCs w:val="24"/>
          <w:lang w:val="sq-AL"/>
        </w:rPr>
        <w:t>:</w:t>
      </w:r>
    </w:p>
    <w:p w14:paraId="6C67D144" w14:textId="77777777" w:rsidR="009F0CE4" w:rsidRPr="007503A7" w:rsidRDefault="009F0CE4" w:rsidP="00473B82">
      <w:pPr>
        <w:jc w:val="both"/>
        <w:rPr>
          <w:rFonts w:ascii="Times New Roman" w:hAnsi="Times New Roman"/>
        </w:rPr>
      </w:pPr>
    </w:p>
    <w:bookmarkEnd w:id="0"/>
    <w:p w14:paraId="1C32A184" w14:textId="5F16007B" w:rsidR="00FD465C" w:rsidRPr="007503A7" w:rsidRDefault="00FD465C" w:rsidP="00473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hanging="2160"/>
        <w:jc w:val="both"/>
        <w:rPr>
          <w:rFonts w:ascii="Times New Roman" w:hAnsi="Times New Roman"/>
          <w:b/>
          <w:bCs/>
          <w:lang w:bidi="ar-SA"/>
        </w:rPr>
      </w:pPr>
      <w:r w:rsidRPr="007503A7">
        <w:rPr>
          <w:rFonts w:ascii="Times New Roman" w:hAnsi="Times New Roman"/>
          <w:b/>
          <w:lang w:bidi="ar-SA"/>
        </w:rPr>
        <w:t>KËRKUES:</w:t>
      </w:r>
      <w:r w:rsidRPr="007503A7">
        <w:rPr>
          <w:rFonts w:ascii="Times New Roman" w:hAnsi="Times New Roman"/>
          <w:lang w:bidi="ar-SA"/>
        </w:rPr>
        <w:tab/>
      </w:r>
      <w:r w:rsidRPr="007503A7">
        <w:rPr>
          <w:rFonts w:ascii="Times New Roman" w:hAnsi="Times New Roman"/>
          <w:lang w:bidi="ar-SA"/>
        </w:rPr>
        <w:tab/>
        <w:t>Prokuroria pranë Gjykatës së Rrethit Gjyqësor</w:t>
      </w:r>
      <w:r w:rsidR="000A72C3" w:rsidRPr="007503A7">
        <w:rPr>
          <w:rFonts w:ascii="Times New Roman" w:hAnsi="Times New Roman"/>
          <w:lang w:bidi="ar-SA"/>
        </w:rPr>
        <w:t>,</w:t>
      </w:r>
      <w:r w:rsidRPr="007503A7">
        <w:rPr>
          <w:rFonts w:ascii="Times New Roman" w:hAnsi="Times New Roman"/>
          <w:lang w:bidi="ar-SA"/>
        </w:rPr>
        <w:t xml:space="preserve"> Fier </w:t>
      </w:r>
    </w:p>
    <w:p w14:paraId="5D6B03F7" w14:textId="77777777" w:rsidR="00FD465C" w:rsidRPr="007503A7" w:rsidRDefault="00FD465C" w:rsidP="00473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hanging="2160"/>
        <w:jc w:val="both"/>
        <w:rPr>
          <w:rFonts w:ascii="Times New Roman" w:hAnsi="Times New Roman"/>
          <w:lang w:bidi="ar-SA"/>
        </w:rPr>
      </w:pPr>
    </w:p>
    <w:p w14:paraId="6D8411B7" w14:textId="1497D409" w:rsidR="00FD465C" w:rsidRPr="007503A7" w:rsidRDefault="00FD465C" w:rsidP="00473B82">
      <w:pPr>
        <w:ind w:left="2160" w:hanging="2160"/>
        <w:jc w:val="both"/>
        <w:rPr>
          <w:rFonts w:ascii="Times New Roman" w:hAnsi="Times New Roman"/>
          <w:bCs/>
          <w:lang w:bidi="ar-SA"/>
        </w:rPr>
      </w:pPr>
      <w:r w:rsidRPr="007503A7">
        <w:rPr>
          <w:rFonts w:ascii="Times New Roman" w:hAnsi="Times New Roman"/>
          <w:b/>
          <w:bCs/>
          <w:lang w:bidi="ar-SA"/>
        </w:rPr>
        <w:t>E GJYKUAR:</w:t>
      </w:r>
      <w:r w:rsidRPr="007503A7">
        <w:rPr>
          <w:rFonts w:ascii="Times New Roman" w:hAnsi="Times New Roman"/>
          <w:lang w:bidi="ar-SA"/>
        </w:rPr>
        <w:tab/>
      </w:r>
      <w:r w:rsidR="000A72C3" w:rsidRPr="007503A7">
        <w:rPr>
          <w:rFonts w:ascii="Times New Roman" w:hAnsi="Times New Roman"/>
          <w:lang w:bidi="ar-SA"/>
        </w:rPr>
        <w:tab/>
      </w:r>
      <w:r w:rsidRPr="007503A7">
        <w:rPr>
          <w:rFonts w:ascii="Times New Roman" w:hAnsi="Times New Roman"/>
          <w:bCs/>
          <w:lang w:bidi="ar-SA"/>
        </w:rPr>
        <w:t>Evadiola Doko</w:t>
      </w:r>
    </w:p>
    <w:p w14:paraId="7EA88466" w14:textId="77777777" w:rsidR="00FD465C" w:rsidRPr="007503A7" w:rsidRDefault="00FD465C" w:rsidP="00473B82">
      <w:pPr>
        <w:ind w:left="2160" w:hanging="2160"/>
        <w:jc w:val="both"/>
        <w:rPr>
          <w:rFonts w:ascii="Times New Roman" w:hAnsi="Times New Roman"/>
          <w:lang w:bidi="ar-SA"/>
        </w:rPr>
      </w:pPr>
    </w:p>
    <w:p w14:paraId="3CF8261D" w14:textId="019976AD" w:rsidR="00C64E76" w:rsidRPr="007503A7" w:rsidRDefault="00FD465C" w:rsidP="000A72C3">
      <w:pPr>
        <w:ind w:left="2880" w:hanging="2880"/>
        <w:jc w:val="both"/>
        <w:rPr>
          <w:rFonts w:ascii="Times New Roman" w:hAnsi="Times New Roman"/>
          <w:lang w:bidi="ar-SA"/>
        </w:rPr>
      </w:pPr>
      <w:r w:rsidRPr="007503A7">
        <w:rPr>
          <w:rFonts w:ascii="Times New Roman" w:hAnsi="Times New Roman"/>
          <w:b/>
          <w:bCs/>
          <w:lang w:bidi="ar-SA"/>
        </w:rPr>
        <w:t>AKUZUAR:</w:t>
      </w:r>
      <w:r w:rsidRPr="007503A7">
        <w:rPr>
          <w:rFonts w:ascii="Times New Roman" w:hAnsi="Times New Roman"/>
          <w:lang w:bidi="ar-SA"/>
        </w:rPr>
        <w:t>  </w:t>
      </w:r>
      <w:r w:rsidRPr="007503A7">
        <w:rPr>
          <w:rFonts w:ascii="Times New Roman" w:hAnsi="Times New Roman"/>
          <w:lang w:bidi="ar-SA"/>
        </w:rPr>
        <w:tab/>
        <w:t>Për veprën penale “</w:t>
      </w:r>
      <w:r w:rsidRPr="007503A7">
        <w:rPr>
          <w:rFonts w:ascii="Times New Roman" w:hAnsi="Times New Roman"/>
        </w:rPr>
        <w:t>Mashtrimi</w:t>
      </w:r>
      <w:r w:rsidRPr="007503A7">
        <w:rPr>
          <w:rFonts w:ascii="Times New Roman" w:hAnsi="Times New Roman"/>
          <w:lang w:bidi="ar-SA"/>
        </w:rPr>
        <w:t>” parashikuar nga neni 143/2 i Kodit Penal</w:t>
      </w:r>
      <w:r w:rsidR="00C64E76" w:rsidRPr="007503A7">
        <w:rPr>
          <w:rFonts w:ascii="Times New Roman" w:hAnsi="Times New Roman"/>
          <w:lang w:bidi="ar-SA"/>
        </w:rPr>
        <w:t>.</w:t>
      </w:r>
    </w:p>
    <w:p w14:paraId="311DF06C" w14:textId="77777777" w:rsidR="00B36BB9" w:rsidRPr="007503A7" w:rsidRDefault="00B36BB9" w:rsidP="00473B82">
      <w:pPr>
        <w:jc w:val="both"/>
        <w:rPr>
          <w:rFonts w:ascii="Times New Roman" w:hAnsi="Times New Roman"/>
          <w:b/>
          <w:noProof/>
        </w:rPr>
      </w:pPr>
    </w:p>
    <w:p w14:paraId="58ABCF70" w14:textId="7595DB0A" w:rsidR="0031088E" w:rsidRPr="007503A7" w:rsidRDefault="0031088E" w:rsidP="00473B82">
      <w:pPr>
        <w:jc w:val="center"/>
        <w:rPr>
          <w:rFonts w:ascii="Times New Roman" w:hAnsi="Times New Roman"/>
          <w:b/>
          <w:noProof/>
        </w:rPr>
      </w:pPr>
      <w:r w:rsidRPr="007503A7">
        <w:rPr>
          <w:rFonts w:ascii="Times New Roman" w:hAnsi="Times New Roman"/>
          <w:b/>
          <w:noProof/>
        </w:rPr>
        <w:t>KOLEGJI PENAL I GJYKATËS SË LARTË</w:t>
      </w:r>
    </w:p>
    <w:p w14:paraId="11010AB8" w14:textId="77777777" w:rsidR="009F0CE4" w:rsidRPr="007503A7" w:rsidRDefault="009F0CE4" w:rsidP="00473B82">
      <w:pPr>
        <w:jc w:val="center"/>
        <w:rPr>
          <w:rFonts w:ascii="Times New Roman" w:hAnsi="Times New Roman"/>
          <w:b/>
          <w:noProof/>
        </w:rPr>
      </w:pPr>
    </w:p>
    <w:p w14:paraId="765C27EC" w14:textId="186FB051" w:rsidR="00FE172E" w:rsidRPr="007503A7" w:rsidRDefault="0073709C" w:rsidP="007E19AA">
      <w:pPr>
        <w:ind w:firstLine="360"/>
        <w:jc w:val="both"/>
        <w:rPr>
          <w:rFonts w:ascii="Times New Roman" w:hAnsi="Times New Roman"/>
          <w:bCs/>
        </w:rPr>
      </w:pPr>
      <w:r w:rsidRPr="007503A7">
        <w:rPr>
          <w:rFonts w:ascii="Times New Roman" w:hAnsi="Times New Roman"/>
        </w:rPr>
        <w:t xml:space="preserve">pasi dëgjoi relatimin e gjyqtarit </w:t>
      </w:r>
      <w:r w:rsidR="00FD465C" w:rsidRPr="007503A7">
        <w:rPr>
          <w:rFonts w:ascii="Times New Roman" w:hAnsi="Times New Roman"/>
          <w:lang w:bidi="ar-SA"/>
        </w:rPr>
        <w:t>Sokol Binaj</w:t>
      </w:r>
      <w:r w:rsidR="0067152C" w:rsidRPr="007503A7">
        <w:rPr>
          <w:rFonts w:ascii="Times New Roman" w:hAnsi="Times New Roman"/>
          <w:bCs/>
        </w:rPr>
        <w:t xml:space="preserve"> </w:t>
      </w:r>
      <w:r w:rsidRPr="007503A7">
        <w:rPr>
          <w:rFonts w:ascii="Times New Roman" w:hAnsi="Times New Roman"/>
          <w:bCs/>
        </w:rPr>
        <w:t>dhe diskutoi në dhomë këshillimi çështjen në tërësi,</w:t>
      </w:r>
    </w:p>
    <w:p w14:paraId="70DE4579" w14:textId="67C27CF7" w:rsidR="00FE172E" w:rsidRPr="007503A7" w:rsidRDefault="007E19AA" w:rsidP="00473B82">
      <w:pPr>
        <w:pStyle w:val="Heading2"/>
        <w:tabs>
          <w:tab w:val="left" w:pos="360"/>
        </w:tabs>
        <w:spacing w:before="0" w:after="0"/>
        <w:jc w:val="center"/>
        <w:rPr>
          <w:rFonts w:ascii="Times New Roman" w:hAnsi="Times New Roman"/>
          <w:i w:val="0"/>
          <w:noProof/>
          <w:sz w:val="24"/>
          <w:szCs w:val="24"/>
        </w:rPr>
      </w:pPr>
      <w:r w:rsidRPr="007503A7">
        <w:rPr>
          <w:rFonts w:ascii="Times New Roman" w:hAnsi="Times New Roman"/>
          <w:i w:val="0"/>
          <w:noProof/>
          <w:sz w:val="24"/>
          <w:szCs w:val="24"/>
        </w:rPr>
        <w:t>VËRE</w:t>
      </w:r>
      <w:r w:rsidR="00FE172E" w:rsidRPr="007503A7">
        <w:rPr>
          <w:rFonts w:ascii="Times New Roman" w:hAnsi="Times New Roman"/>
          <w:i w:val="0"/>
          <w:noProof/>
          <w:sz w:val="24"/>
          <w:szCs w:val="24"/>
        </w:rPr>
        <w:t>N</w:t>
      </w:r>
      <w:r w:rsidR="002802B6" w:rsidRPr="007503A7">
        <w:rPr>
          <w:rFonts w:ascii="Times New Roman" w:hAnsi="Times New Roman"/>
          <w:i w:val="0"/>
          <w:noProof/>
          <w:sz w:val="24"/>
          <w:szCs w:val="24"/>
        </w:rPr>
        <w:t xml:space="preserve"> SE:</w:t>
      </w:r>
    </w:p>
    <w:p w14:paraId="1A1C3915" w14:textId="77777777" w:rsidR="00FE172E" w:rsidRPr="007503A7" w:rsidRDefault="00FE172E" w:rsidP="00473B82">
      <w:pPr>
        <w:pStyle w:val="ListParagraph"/>
        <w:numPr>
          <w:ilvl w:val="0"/>
          <w:numId w:val="10"/>
        </w:numPr>
        <w:ind w:left="360" w:firstLine="0"/>
        <w:jc w:val="both"/>
        <w:rPr>
          <w:rFonts w:ascii="Times New Roman" w:hAnsi="Times New Roman"/>
          <w:bCs/>
          <w:lang w:val="sq-AL"/>
        </w:rPr>
      </w:pPr>
      <w:r w:rsidRPr="007503A7">
        <w:rPr>
          <w:rFonts w:ascii="Times New Roman" w:hAnsi="Times New Roman"/>
          <w:b/>
          <w:bCs/>
          <w:iCs/>
          <w:lang w:val="sq-AL"/>
        </w:rPr>
        <w:t>Rrethanat e çështjes</w:t>
      </w:r>
    </w:p>
    <w:p w14:paraId="35C53E41" w14:textId="38C8CFB7" w:rsidR="00FE172E" w:rsidRPr="007503A7" w:rsidRDefault="00FE172E" w:rsidP="00473B82">
      <w:pPr>
        <w:ind w:firstLine="720"/>
        <w:jc w:val="both"/>
        <w:rPr>
          <w:rFonts w:ascii="Times New Roman" w:hAnsi="Times New Roman"/>
          <w:bCs/>
        </w:rPr>
      </w:pPr>
    </w:p>
    <w:p w14:paraId="6AA079E3" w14:textId="132FF2D5"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Nga gjykimi i çështjes me procedurën e gjykimit të zakonshëm ka rezultuar se, e pandehura Evadiola Doko</w:t>
      </w:r>
      <w:r w:rsidR="00A6554E" w:rsidRPr="007503A7">
        <w:rPr>
          <w:rFonts w:ascii="Times New Roman" w:hAnsi="Times New Roman"/>
          <w:bCs/>
          <w:lang w:val="sq-AL" w:bidi="ar-SA"/>
        </w:rPr>
        <w:t>,</w:t>
      </w:r>
      <w:r w:rsidRPr="007503A7">
        <w:rPr>
          <w:rFonts w:ascii="Times New Roman" w:hAnsi="Times New Roman"/>
          <w:bCs/>
          <w:lang w:val="sq-AL" w:bidi="ar-SA"/>
        </w:rPr>
        <w:t xml:space="preserve"> ka qenë e punësuar pranë Fondit Besa SHA, dega Fier si oficere kredie, gjatë periudhës 07.05.2007-14.04.2012. Gjatë kësaj kohe rezulton se prej saj janë përvetësuar shuma të ndryshme lekësh nga klientë të ndryshëm, konkretisht në dy raste, ku si formë e përvetësimit të këtyre lekëve, ka qenë mashtrimi në formën e shpërdorimit të besimit dhe mos arkëtimi i tyre në llogari të klientëve.</w:t>
      </w:r>
    </w:p>
    <w:p w14:paraId="20C74F90" w14:textId="77777777"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
          <w:lang w:val="sq-AL" w:bidi="ar-SA"/>
        </w:rPr>
        <w:t>Gjykata e Rrethit Gjyqësor Fier</w:t>
      </w:r>
      <w:r w:rsidRPr="007503A7">
        <w:rPr>
          <w:rFonts w:ascii="Times New Roman" w:hAnsi="Times New Roman"/>
          <w:bCs/>
          <w:lang w:val="sq-AL" w:bidi="ar-SA"/>
        </w:rPr>
        <w:t xml:space="preserve">, me vendimin nr. 2029 (371), datë 27.05.2015, </w:t>
      </w:r>
      <w:r w:rsidRPr="007503A7">
        <w:rPr>
          <w:rFonts w:ascii="Times New Roman" w:hAnsi="Times New Roman"/>
          <w:bCs/>
          <w:lang w:val="sq-AL" w:eastAsia="it-IT" w:bidi="it-IT"/>
        </w:rPr>
        <w:t xml:space="preserve">ka vendosur ndërmjet të tjerash: </w:t>
      </w:r>
      <w:r w:rsidRPr="007503A7">
        <w:rPr>
          <w:rFonts w:ascii="Times New Roman" w:eastAsia="Calibri" w:hAnsi="Times New Roman"/>
          <w:bCs/>
          <w:i/>
          <w:iCs/>
          <w:lang w:val="sq-AL" w:bidi="ar-SA"/>
        </w:rPr>
        <w:t>“</w:t>
      </w:r>
      <w:r w:rsidRPr="007503A7">
        <w:rPr>
          <w:rFonts w:ascii="Times New Roman" w:eastAsia="Calibri" w:hAnsi="Times New Roman"/>
          <w:bCs/>
          <w:i/>
          <w:iCs/>
          <w:lang w:val="sq-AL" w:eastAsia="it-IT" w:bidi="it-IT"/>
        </w:rPr>
        <w:t>Të deklarojë fajtore të pandehurën Evadiola Doko për kryerjen e veprës penale “Mashtrimi”, kryer më shumë se një herë dhe në bazë të nenit 143/2 të K. Penal dënimin e saj me 3 (tre) vjet e 6 (gjashte) muaj burgim. Vuajtja e dënimit do të fillojë nga dita e ekzekutimit të dënimit</w:t>
      </w:r>
      <w:r w:rsidRPr="007503A7">
        <w:rPr>
          <w:rFonts w:ascii="Times New Roman" w:hAnsi="Times New Roman"/>
          <w:bCs/>
          <w:i/>
          <w:iCs/>
          <w:lang w:val="sq-AL" w:bidi="ar-SA"/>
        </w:rPr>
        <w:t>.”</w:t>
      </w:r>
    </w:p>
    <w:p w14:paraId="3BBB387F" w14:textId="77777777"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 xml:space="preserve">Gjykata e shkallës së parë, ndër të tjera ka arsyetuar se, gjykata arrin në përfundimin se e pandehura Evadiola Doko, duhet të deklarohet fajtore për veprën penale për të cilën ajo akuzohet, pasi i ka konsumuar elementët e veprës penale të parashikuar nga neni 143/2 i Kodit </w:t>
      </w:r>
      <w:r w:rsidRPr="007503A7">
        <w:rPr>
          <w:rFonts w:ascii="Times New Roman" w:hAnsi="Times New Roman"/>
          <w:bCs/>
          <w:lang w:val="sq-AL" w:bidi="ar-SA"/>
        </w:rPr>
        <w:lastRenderedPageBreak/>
        <w:t>Penal. Pavarësisht se ka qenë oficere kredie pranë fondit Besa, dega Fier në kohën e kryerjes së veprës penale të mësipërme, gjykata vlerëson se nuk jemi para veprës penale të parashikuar nga neni 135 i K. Penal, pasi nuk ka qenë detyrë funksionale e të pandehurës arkëtimi i lekëve nga klientët siç u pohua dhe nga dëshmitarët e paraqitur nga punonjësit e Fondit Besa, porse ajo kishte pre detyrë lidhjen e kontratave të kredisë deri në ndjekjen e ecurisë së tyre, por në momentin e derdhjes së parave klientët i derdhnin ato para në një bankë të nivelit të dytë, pra që nuk kishte asnjë lidhje me detyrën e të pandehurës. E pandehura në rastin konkret ka shpërdorur besimin e të dëmtuarave në përvetësimin e shumave të mësipërm duke përfituar nga fakti që njiheshin më përpara fakt i pranuar si nga të dëmtuarat ashtu dhe nga vetë e pandehura. Gjykata përsa i përket llojit dhe masës së dënimit, në vështrim të nenit 47 të KP, mori parasysh rrezikshmërinë relativisht të lartë të veprës penale “Mashtrimi” në rastin konkret, për të cilën ligjvënësi ka parashikuar një dënim me burgim nga tre deri në dhjetë vjet, rrezikshmëria e autores së veprës penale nuk  paraqitet e lartë , pasi e pandehura është e padënuar më parë, siç rezulton nga certifikatat e gjendjes gjyqësore. Shkallën e fajësisë, pasi vepra penale për të cilën është akuzuar e pandehura është kryer me dashje direkte, pasi ajo i ka parashikuar pasojat që mund të vinin nga kjo vepër penale, dhe i ka dëshiruar ato. Në kuptim të nenit 49 të KP gjykata mori parasysh gjithashtu në marrjen e vendimin edhe: moshën e re të pandehurës, nivelin e saj intelektual gjendjen familjare etj.</w:t>
      </w:r>
    </w:p>
    <w:p w14:paraId="28CFD03F" w14:textId="7E8514EF"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 xml:space="preserve">Kundër vendimit të mësipërm, </w:t>
      </w:r>
      <w:r w:rsidR="002802B6" w:rsidRPr="007503A7">
        <w:rPr>
          <w:rFonts w:ascii="Times New Roman" w:hAnsi="Times New Roman"/>
          <w:b/>
          <w:lang w:val="sq-AL" w:bidi="ar-SA"/>
        </w:rPr>
        <w:t>ka paraqitur apel Prokurori pran</w:t>
      </w:r>
      <w:r w:rsidR="00A6554E" w:rsidRPr="007503A7">
        <w:rPr>
          <w:rFonts w:ascii="Times New Roman" w:hAnsi="Times New Roman"/>
          <w:b/>
          <w:lang w:val="sq-AL" w:bidi="ar-SA"/>
        </w:rPr>
        <w:t>ë Gjykatës</w:t>
      </w:r>
      <w:r w:rsidRPr="007503A7">
        <w:rPr>
          <w:rFonts w:ascii="Times New Roman" w:hAnsi="Times New Roman"/>
          <w:b/>
          <w:lang w:val="sq-AL" w:bidi="ar-SA"/>
        </w:rPr>
        <w:t xml:space="preserve"> </w:t>
      </w:r>
      <w:r w:rsidR="002802B6" w:rsidRPr="007503A7">
        <w:rPr>
          <w:rFonts w:ascii="Times New Roman" w:hAnsi="Times New Roman"/>
          <w:b/>
          <w:lang w:val="sq-AL" w:bidi="ar-SA"/>
        </w:rPr>
        <w:t>s</w:t>
      </w:r>
      <w:r w:rsidR="00A6554E" w:rsidRPr="007503A7">
        <w:rPr>
          <w:rFonts w:ascii="Times New Roman" w:hAnsi="Times New Roman"/>
          <w:b/>
          <w:lang w:val="sq-AL" w:bidi="ar-SA"/>
        </w:rPr>
        <w:t>ë</w:t>
      </w:r>
      <w:r w:rsidRPr="007503A7">
        <w:rPr>
          <w:rFonts w:ascii="Times New Roman" w:hAnsi="Times New Roman"/>
          <w:b/>
          <w:lang w:val="sq-AL" w:bidi="ar-SA"/>
        </w:rPr>
        <w:t xml:space="preserve"> Rrethit Gjyqësor Fier</w:t>
      </w:r>
      <w:r w:rsidRPr="007503A7">
        <w:rPr>
          <w:rFonts w:ascii="Times New Roman" w:hAnsi="Times New Roman"/>
          <w:bCs/>
          <w:lang w:val="sq-AL" w:bidi="ar-SA"/>
        </w:rPr>
        <w:t xml:space="preserve">, duke kërkuar: </w:t>
      </w:r>
      <w:r w:rsidRPr="007503A7">
        <w:rPr>
          <w:rFonts w:ascii="Times New Roman" w:hAnsi="Times New Roman"/>
          <w:bCs/>
          <w:i/>
          <w:iCs/>
          <w:lang w:val="sq-AL" w:bidi="ar-SA"/>
        </w:rPr>
        <w:t>Ndryshimin e vendimit nr. 2029 (371), datë 27.05.2015</w:t>
      </w:r>
      <w:r w:rsidR="002802B6" w:rsidRPr="007503A7">
        <w:rPr>
          <w:rFonts w:ascii="Times New Roman" w:hAnsi="Times New Roman"/>
          <w:bCs/>
          <w:i/>
          <w:iCs/>
          <w:lang w:val="sq-AL" w:bidi="ar-SA"/>
        </w:rPr>
        <w:t>,</w:t>
      </w:r>
      <w:r w:rsidRPr="007503A7">
        <w:rPr>
          <w:rFonts w:ascii="Times New Roman" w:hAnsi="Times New Roman"/>
          <w:bCs/>
          <w:i/>
          <w:iCs/>
          <w:lang w:val="sq-AL" w:bidi="ar-SA"/>
        </w:rPr>
        <w:t xml:space="preserve"> të Gjykatës së Rrethit Gjyqësor Fier, lidhur me masën e dënimit duke e dënuar të pandehurën sipas masës së dënimit prej 6 vjet, të kërkuar nga prokuroria</w:t>
      </w:r>
      <w:r w:rsidRPr="007503A7">
        <w:rPr>
          <w:rFonts w:ascii="Times New Roman" w:hAnsi="Times New Roman"/>
          <w:bCs/>
          <w:lang w:val="sq-AL" w:bidi="ar-SA"/>
        </w:rPr>
        <w:t xml:space="preserve">. </w:t>
      </w:r>
    </w:p>
    <w:p w14:paraId="184E2DCC" w14:textId="4AB0CD19"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 xml:space="preserve">Kundër vendimit të mësipërm, </w:t>
      </w:r>
      <w:r w:rsidR="002802B6" w:rsidRPr="007503A7">
        <w:rPr>
          <w:rFonts w:ascii="Times New Roman" w:hAnsi="Times New Roman"/>
          <w:b/>
          <w:lang w:val="sq-AL" w:bidi="ar-SA"/>
        </w:rPr>
        <w:t>ka paraqitur apel</w:t>
      </w:r>
      <w:r w:rsidRPr="007503A7">
        <w:rPr>
          <w:rFonts w:ascii="Times New Roman" w:hAnsi="Times New Roman"/>
          <w:b/>
          <w:lang w:val="sq-AL" w:bidi="ar-SA"/>
        </w:rPr>
        <w:t xml:space="preserve"> e pandehura Evadiola Doka</w:t>
      </w:r>
      <w:r w:rsidRPr="007503A7">
        <w:rPr>
          <w:rFonts w:ascii="Times New Roman" w:hAnsi="Times New Roman"/>
          <w:bCs/>
          <w:lang w:val="sq-AL" w:bidi="ar-SA"/>
        </w:rPr>
        <w:t xml:space="preserve">, duke kërkuar: </w:t>
      </w:r>
      <w:r w:rsidRPr="007503A7">
        <w:rPr>
          <w:rFonts w:ascii="Times New Roman" w:hAnsi="Times New Roman"/>
          <w:bCs/>
          <w:i/>
          <w:iCs/>
          <w:lang w:val="sq-AL" w:bidi="ar-SA"/>
        </w:rPr>
        <w:t>Prishjen e vendimit nr. 2029 (371), datë 27.05.2015 të Gjykatës së Rrethit Gjyqësor Fier dhe pushimin e çështjes</w:t>
      </w:r>
      <w:r w:rsidRPr="007503A7">
        <w:rPr>
          <w:rFonts w:ascii="Times New Roman" w:hAnsi="Times New Roman"/>
          <w:bCs/>
          <w:lang w:val="sq-AL" w:bidi="ar-SA"/>
        </w:rPr>
        <w:t>.</w:t>
      </w:r>
    </w:p>
    <w:p w14:paraId="4B3C3899" w14:textId="6054239E"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
          <w:lang w:val="sq-AL" w:bidi="ar-SA"/>
        </w:rPr>
        <w:t>Gjykata e Apelit Vlorë</w:t>
      </w:r>
      <w:r w:rsidRPr="007503A7">
        <w:rPr>
          <w:rFonts w:ascii="Times New Roman" w:hAnsi="Times New Roman"/>
          <w:bCs/>
          <w:lang w:val="sq-AL" w:bidi="ar-SA"/>
        </w:rPr>
        <w:t xml:space="preserve">, me vendimin nr. 301, datë 25.04.2017, ka vendosur: </w:t>
      </w:r>
      <w:r w:rsidRPr="007503A7">
        <w:rPr>
          <w:rFonts w:ascii="Times New Roman" w:hAnsi="Times New Roman"/>
          <w:bCs/>
          <w:i/>
          <w:iCs/>
          <w:lang w:val="sq-AL" w:bidi="ar-SA"/>
        </w:rPr>
        <w:t>"</w:t>
      </w:r>
      <w:r w:rsidRPr="007503A7">
        <w:rPr>
          <w:rFonts w:ascii="Times New Roman" w:eastAsia="Calibri" w:hAnsi="Times New Roman"/>
          <w:bCs/>
          <w:i/>
          <w:iCs/>
          <w:lang w:val="sq-AL" w:bidi="ar-SA"/>
        </w:rPr>
        <w:t>Lënien në fuqi të vendimit nr. 371, datë 27.05.2015 të Gjykatës së Shkallës së Parë Fier, me ndryshimin në lidhje me vuajtjen e dënimi. Në bazë të nenit 59 të Kodit Penal, urdhërohet pezullimin i ekzekutimit të dënimit me burgim me një afat 5 (pesë) vjeçar, gjatë kësaj periudhe të mos kryejë veprën tjetër penale. Urdhërohet e pandehura të mbajë kontakte me shërbimin e provës</w:t>
      </w:r>
      <w:r w:rsidRPr="007503A7">
        <w:rPr>
          <w:rFonts w:ascii="Times New Roman" w:hAnsi="Times New Roman"/>
          <w:bCs/>
          <w:i/>
          <w:iCs/>
          <w:lang w:val="sq-AL" w:bidi="ar-SA"/>
        </w:rPr>
        <w:t>.”.</w:t>
      </w:r>
    </w:p>
    <w:p w14:paraId="46F21CC0" w14:textId="77777777"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 xml:space="preserve">Gjykata e Apelit, ndër të tjera, ka arsyetuar se, vendimi i Gjykatës së Rrethit Gjyqësor Fier, është dhënë në interpretim dhe zbatim të drejtë të ligjit penal përsa i përket cilësimit juridik, fajësisë të pandehurës për veprën penale të “Mashtrimi”, kryer më shumë se një herë parashikuar nga neni 143/2 të K. Penal, llojit dhe masës së dënimit të dhënë ndaj të pandehurës, dhe shpenzimet procedurale në ngarkim të saj, dhe si i tillë do të lihet në fuqi. Vendimi do të ndryshohet vetëm përsa i përket mënyrës së vuajtjes së dënimit për të pandehurën Evadiola Doko, duke aplikuar nenin 59 të K. Penal në lidhje me të. Përsa i përket llojit dhe masës së dënimit për autoren e veprës penale, gjykata merr në konsideratë kriteret e parashikuara në nenin 47 të Kodit Penal, minimumin dhe maksimumin e parashikuar në Kodin Penal për veprën penale konkrete në ngarkim të saj, rrezikshmërinë e veprës penale dhe autores te saj, shkallën e fajësisë së autores si dhe rrethanat lehtësuese dhe rënduese. Për të pandehurën Evadiola Doko, gjykata ka parasysh marzhin e dënimit që parashikon dispozita respektive për veprën penale të parashikuar nga neni 143/2 i KP; rrezikshmërinë e saj; pasojat e ardhura; rrezikshmërinë e të pandehurës e cila rezulton e padënuar më parë; qëndrimin e mbajtur prej saj gjatë hetimit dhe gjykimit; shkallën e fajësisë; moshën; nivelin intelektual dhe gjendjen familjare të saj, etj. Janë disa rrethana lehtësuese, evidente në rastin konkret dhe konform parashikimeve ligjore të nenit 49 të KP si dhe karakterin human dhe edukues të ligjit penal të cilat i vlerësoi gjykata në mënyrën e vendimmarrjes së saj lidhur me caktimin e dënimit. Nga sa më sipër, Gjykata e Apelit, i konsideron të pabazuara pretendimet e ngritura nga organi i prokurorisë në shkaqe ankimore lidhur me masën e dënimit ndaj të pandehurës dhe e gjen të drejtë vendimin e </w:t>
      </w:r>
      <w:r w:rsidRPr="007503A7">
        <w:rPr>
          <w:rFonts w:ascii="Times New Roman" w:hAnsi="Times New Roman"/>
          <w:bCs/>
          <w:lang w:val="sq-AL" w:bidi="ar-SA"/>
        </w:rPr>
        <w:lastRenderedPageBreak/>
        <w:t>Gjykatës së Shkallës së Parë, e cila pasi ka analizuar drejt rrethanat e kryerjes së veprës penale, rrezikshmërinë e saj dhe të pandehurës, duke bërë një individualizim të drejtë të dënimit në respektim të kërkesave të nenit 47 të KP, ka caktuar llojin e dënimit burgim dhe masën 3 (tre) vjet e 6 (gjashtë) muaj burgim. Ndërkohë, Gjykata e Apelit, ndryshe nga sa ka vlerësuar Gjykata e Shkallës së Parë, pasi mori në konsideratë të gjitha rrethanat e rezultuara në gjykim dhe të sipër përmendura si dhe e udhëhequr nga parimi i humanizmit që karakterizon legjislacionin tonë penal, vlerëson se lidhur me mënyrën e vuajtjes së dënimit, ka vend që ndaj të pandehurës të zbatohet një nga alternativat e dënimit me burgim, neni 59 i KP në rastin konkret, pasi pezullimi i dënimit me burgim për të pandehurën, duke e detyruar atë që të mbikëqyret nga shërbimi i provës për një periudhë kohe prej 5 (pesë) vjetësh, do t’i japë mundësi të pandehurës të reflektojë për pasojat e veprimeve të saj. Duke u kujdesur që gjatë kohës së vënies në provë, e pandehura të mos kryejë ndonjë vepër tjetër penale, me qëllim mos ndërprerjen e pezullimit të dënimit, gjykata çmon se tek ajo do të kultivohet ndjenja e respektit për ligjin dhe rregullat dhe periudha e provës do t'i shërbejë asaj për t’u formuar si qytetare e rregullt që shmang shkeljen e ligjit. Nisur nga sa më sipër, Gjykata e Apelit, arrin në përfundimin se vendimi gjyqësor i Gjykatës së Rrethit Gjyqësor Fier, do të ndryshohet vetëm përsa i përket mënyrës së vuajtjes së dënimit, duke u aplikuar neni 59 i KP, dhe do të lihet në fuqi për pjesën tjetër të tij, pasi është i bazuar në ligjin material dhe procedural penal, dhe si i tillë nuk ka vend për cenimin e tij.</w:t>
      </w:r>
    </w:p>
    <w:p w14:paraId="4ED472AF" w14:textId="77777777"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 xml:space="preserve">Kundër këtij vendimi, </w:t>
      </w:r>
      <w:r w:rsidRPr="007503A7">
        <w:rPr>
          <w:rFonts w:ascii="Times New Roman" w:hAnsi="Times New Roman"/>
          <w:b/>
          <w:lang w:val="sq-AL" w:bidi="ar-SA"/>
        </w:rPr>
        <w:t>ka paraqitur rekurs e gjykuara Evadiola Doko</w:t>
      </w:r>
      <w:r w:rsidRPr="007503A7">
        <w:rPr>
          <w:rFonts w:ascii="Times New Roman" w:hAnsi="Times New Roman"/>
          <w:bCs/>
          <w:lang w:val="sq-AL" w:bidi="ar-SA"/>
        </w:rPr>
        <w:t xml:space="preserve">, me të cilin ka kërkuar: </w:t>
      </w:r>
      <w:r w:rsidRPr="007503A7">
        <w:rPr>
          <w:rFonts w:ascii="Times New Roman" w:hAnsi="Times New Roman"/>
          <w:bCs/>
          <w:i/>
          <w:iCs/>
          <w:lang w:val="sq-AL" w:bidi="ar-SA"/>
        </w:rPr>
        <w:t>“Prishjen e vendimit nr. 301, datë 25.04.2017 të Gjykatës së Apelit Vlorë dhe vendimit nr. 371, datë 27.05.2015 të Gjykatës së Rrethit Gjyqësor Fier dhe pushimin e çështjes në ngarkim të pandehurës Evadiola Doko</w:t>
      </w:r>
      <w:bookmarkStart w:id="3" w:name="_Hlk124160905"/>
      <w:r w:rsidRPr="007503A7">
        <w:rPr>
          <w:rFonts w:ascii="Times New Roman" w:hAnsi="Times New Roman"/>
          <w:bCs/>
          <w:i/>
          <w:iCs/>
          <w:lang w:val="sq-AL" w:bidi="ar-SA"/>
        </w:rPr>
        <w:t>.”</w:t>
      </w:r>
      <w:r w:rsidRPr="007503A7">
        <w:rPr>
          <w:rFonts w:ascii="Times New Roman" w:hAnsi="Times New Roman"/>
          <w:bCs/>
          <w:lang w:val="sq-AL" w:bidi="ar-SA"/>
        </w:rPr>
        <w:t>.</w:t>
      </w:r>
    </w:p>
    <w:p w14:paraId="3088E204" w14:textId="77777777"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noProof/>
          <w:lang w:val="sq-AL" w:bidi="ar-SA"/>
        </w:rPr>
        <w:t xml:space="preserve">Kundër këtij vendimi, </w:t>
      </w:r>
      <w:r w:rsidRPr="007503A7">
        <w:rPr>
          <w:rFonts w:ascii="Times New Roman" w:hAnsi="Times New Roman"/>
          <w:b/>
          <w:noProof/>
          <w:lang w:val="sq-AL" w:bidi="ar-SA"/>
        </w:rPr>
        <w:t>ka paraqitur rekurs Prokuroria pranë Gjykatës së Apelit Vlorë</w:t>
      </w:r>
      <w:r w:rsidRPr="007503A7">
        <w:rPr>
          <w:rFonts w:ascii="Times New Roman" w:hAnsi="Times New Roman"/>
          <w:bCs/>
          <w:noProof/>
          <w:lang w:val="sq-AL" w:bidi="ar-SA"/>
        </w:rPr>
        <w:t xml:space="preserve">, me të cilin ka kërkuar: </w:t>
      </w:r>
      <w:r w:rsidRPr="007503A7">
        <w:rPr>
          <w:rFonts w:ascii="Times New Roman" w:hAnsi="Times New Roman"/>
          <w:bCs/>
          <w:i/>
          <w:iCs/>
          <w:noProof/>
          <w:lang w:val="sq-AL" w:bidi="ar-SA"/>
        </w:rPr>
        <w:t>“Ndryshimin e vendimin nr. 371, datë 27.05.2015 të Gjykatës së Rrethit Gjyqësor Fier dhe vendimin nr. 301, datë 25.04.2017 të Gjykatës së Apelit Vlorë, në ngarkim së të pandehurës Evadiola Doko, duke vendosur në këtë mënyrë: Deklarimin fajtore të së pandehurës Evadiola Doko për kryerjen e veprës penale të “Mashtrimit” të kryer më shumë se njëherë dhe në bazë të nenit 143/2 të K. Penal, dënimin e saj me 5 (pesë) vjet burgim. Urdhërimin për të vendosur të pandehurën Evadiola Doko pranë Autoritetit përkatës e IEVP-së për kryerjen prej saj të dënimit me burgim.</w:t>
      </w:r>
      <w:bookmarkEnd w:id="3"/>
      <w:r w:rsidRPr="007503A7">
        <w:rPr>
          <w:rFonts w:ascii="Times New Roman" w:hAnsi="Times New Roman"/>
          <w:bCs/>
          <w:i/>
          <w:iCs/>
          <w:noProof/>
          <w:lang w:val="sq-AL" w:bidi="ar-SA"/>
        </w:rPr>
        <w:t>”</w:t>
      </w:r>
      <w:r w:rsidRPr="007503A7">
        <w:rPr>
          <w:rFonts w:ascii="Times New Roman" w:hAnsi="Times New Roman"/>
          <w:bCs/>
          <w:noProof/>
          <w:lang w:val="sq-AL" w:bidi="ar-SA"/>
        </w:rPr>
        <w:t>.</w:t>
      </w:r>
    </w:p>
    <w:p w14:paraId="562F664C" w14:textId="77777777"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
          <w:noProof/>
          <w:lang w:val="sq-AL" w:bidi="ar-SA"/>
        </w:rPr>
        <w:t>Kolegji Penal i Gjykatës së Lartë</w:t>
      </w:r>
      <w:r w:rsidRPr="007503A7">
        <w:rPr>
          <w:rFonts w:ascii="Times New Roman" w:hAnsi="Times New Roman"/>
          <w:bCs/>
          <w:noProof/>
          <w:lang w:val="sq-AL" w:bidi="ar-SA"/>
        </w:rPr>
        <w:t xml:space="preserve">, me vendimin nr. 00-2023-80 (11), datë 17.01.2023, ka vendosur: </w:t>
      </w:r>
      <w:r w:rsidRPr="007503A7">
        <w:rPr>
          <w:rFonts w:ascii="Times New Roman" w:hAnsi="Times New Roman"/>
          <w:bCs/>
          <w:i/>
          <w:iCs/>
          <w:noProof/>
          <w:lang w:val="sq-AL" w:bidi="ar-SA"/>
        </w:rPr>
        <w:t>“Prishjen e</w:t>
      </w:r>
      <w:r w:rsidRPr="007503A7">
        <w:rPr>
          <w:rFonts w:ascii="Times New Roman" w:hAnsi="Times New Roman"/>
          <w:bCs/>
          <w:i/>
          <w:iCs/>
          <w:lang w:val="sq-AL" w:bidi="ar-SA"/>
        </w:rPr>
        <w:t xml:space="preserve"> vendimit nr. </w:t>
      </w:r>
      <w:r w:rsidRPr="007503A7">
        <w:rPr>
          <w:rFonts w:ascii="Times New Roman" w:hAnsi="Times New Roman"/>
          <w:bCs/>
          <w:i/>
          <w:iCs/>
          <w:noProof/>
          <w:lang w:val="sq-AL" w:bidi="ar-SA"/>
        </w:rPr>
        <w:t>301, datë 25.04.2017, të Gjykatës së Apelit, Vlorë,</w:t>
      </w:r>
      <w:r w:rsidRPr="007503A7">
        <w:rPr>
          <w:rFonts w:ascii="Times New Roman" w:hAnsi="Times New Roman"/>
          <w:bCs/>
          <w:i/>
          <w:iCs/>
          <w:lang w:val="sq-AL" w:bidi="ar-SA"/>
        </w:rPr>
        <w:t xml:space="preserve"> dhe kthimin e çështjes për rishqyrtim në po atë gjykatë, me tjetër trup gjykues.”</w:t>
      </w:r>
    </w:p>
    <w:p w14:paraId="141AC1DF" w14:textId="0A09CC4C"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
          <w:lang w:val="sq-AL" w:bidi="ar-SA"/>
        </w:rPr>
        <w:t>Kolegji Penal</w:t>
      </w:r>
      <w:r w:rsidRPr="007503A7">
        <w:rPr>
          <w:rFonts w:ascii="Times New Roman" w:hAnsi="Times New Roman"/>
          <w:bCs/>
          <w:lang w:val="sq-AL" w:bidi="ar-SA"/>
        </w:rPr>
        <w:t>, nd</w:t>
      </w:r>
      <w:r w:rsidR="00BA753A" w:rsidRPr="007503A7">
        <w:rPr>
          <w:rFonts w:ascii="Times New Roman" w:hAnsi="Times New Roman"/>
          <w:bCs/>
          <w:lang w:val="sq-AL" w:bidi="ar-SA"/>
        </w:rPr>
        <w:t>ë</w:t>
      </w:r>
      <w:r w:rsidRPr="007503A7">
        <w:rPr>
          <w:rFonts w:ascii="Times New Roman" w:hAnsi="Times New Roman"/>
          <w:bCs/>
          <w:lang w:val="sq-AL" w:bidi="ar-SA"/>
        </w:rPr>
        <w:t>r t</w:t>
      </w:r>
      <w:r w:rsidR="00BA753A" w:rsidRPr="007503A7">
        <w:rPr>
          <w:rFonts w:ascii="Times New Roman" w:hAnsi="Times New Roman"/>
          <w:bCs/>
          <w:lang w:val="sq-AL" w:bidi="ar-SA"/>
        </w:rPr>
        <w:t>ë</w:t>
      </w:r>
      <w:r w:rsidRPr="007503A7">
        <w:rPr>
          <w:rFonts w:ascii="Times New Roman" w:hAnsi="Times New Roman"/>
          <w:bCs/>
          <w:lang w:val="sq-AL" w:bidi="ar-SA"/>
        </w:rPr>
        <w:t xml:space="preserve"> tjera, ka arsyetuar se: “(...) vendimmarrja e gjykatave të faktit është e arsyetuar në drejtim të deklarimit fajtore të kërkueses Doko, dhe në lidhje me cilësimin ligjor të veprës penale, prandaj nuk ka shkaqe për cenimin e vendimmarrjes së Gjykatës së Apelit, Vlorë, në këtë drejtim. Në lidhje me rekursin e paraqitur nga prokuroria, Kolegji vlerëson se, </w:t>
      </w:r>
      <w:r w:rsidRPr="007503A7">
        <w:rPr>
          <w:rFonts w:ascii="Times New Roman" w:hAnsi="Times New Roman"/>
          <w:bCs/>
          <w:noProof/>
          <w:lang w:val="sq-AL" w:bidi="ar-SA"/>
        </w:rPr>
        <w:t>rekursi i paraqitur nga prokuroria përmban shkaqe nga ato të përcaktuara në nenin 432, të Kodit të Procedurës Penale, prandaj ai duhet pranuar.</w:t>
      </w:r>
      <w:r w:rsidRPr="007503A7">
        <w:rPr>
          <w:rFonts w:ascii="Times New Roman" w:hAnsi="Times New Roman"/>
          <w:bCs/>
          <w:lang w:val="sq-AL" w:bidi="ar-SA"/>
        </w:rPr>
        <w:t xml:space="preserve"> Kolegji vlerëson </w:t>
      </w:r>
      <w:r w:rsidRPr="007503A7">
        <w:rPr>
          <w:rFonts w:ascii="Times New Roman" w:hAnsi="Times New Roman"/>
          <w:bCs/>
          <w:noProof/>
          <w:lang w:val="sq-AL" w:bidi="ar-SA"/>
        </w:rPr>
        <w:t xml:space="preserve">se, nga Gjykata e Apelit, Vlorë, është zbatuar gabim ligji material, pasi nuk janë respektuar kriteret e përcaktuara nga neni 59, i Kodit Penal, në lidhje me pezullimin e ekzekutimit të dënimit me burgim. Për më tepër, konstatohet se Gjykata e Apelit, nuk ka arsyetuar zbatimin e këtij dënimi alternativ për të gjykuarën Evadiola Doko, konform kritereve të kërkuara nga neni 59 i Kodit Penal. (…) Në çështjen objekt gjykimi, rezulton se e gjykuara Doko, ka konsumuar veprën penale “Mashtrimi”, nën rrethanën cilësuese më shumë se një herë, parashikuar nga paragrafi II, i neni 143, të Kodit Penal. Kjo dëshmon për një rrezikshmëri shoqërore më të lartë të veprës penale, të kryer nën këtë rrethanë cilësuese. Nga ana tjetër, Kolegji vlerëson se e gjykuara nuk ka shfaqur pendesë në lidhje me këtë vepër penale, kusht i kërkuar nga neni 59 i Kodit Penal, në drejtim të sjelljes së të pandehurit pas kryerjes së veprës penale. Për më tepër, rezulton se e </w:t>
      </w:r>
      <w:r w:rsidRPr="007503A7">
        <w:rPr>
          <w:rFonts w:ascii="Times New Roman" w:hAnsi="Times New Roman"/>
          <w:bCs/>
          <w:noProof/>
          <w:lang w:val="sq-AL" w:bidi="ar-SA"/>
        </w:rPr>
        <w:lastRenderedPageBreak/>
        <w:t xml:space="preserve">gjykuara Doko, ka mohuar përgjegjësinë penale, madje edhe në rekursin drejtuar Gjykatës së Lartë ajo ka kërkuar pushimin e çështjes penale në ngarkim të saj. Nuk rezulton që ajo të ketë shlyer dëmin e shkaktuar të dëmtuarave nga kjo vepër penale.  Sa më sipër, </w:t>
      </w:r>
      <w:r w:rsidRPr="007503A7">
        <w:rPr>
          <w:rFonts w:ascii="Times New Roman" w:hAnsi="Times New Roman"/>
          <w:bCs/>
          <w:lang w:val="sq-AL" w:bidi="ar-SA"/>
        </w:rPr>
        <w:t>Kolegji vlerëson</w:t>
      </w:r>
      <w:r w:rsidRPr="007503A7">
        <w:rPr>
          <w:rFonts w:ascii="Times New Roman" w:hAnsi="Times New Roman"/>
          <w:bCs/>
          <w:noProof/>
          <w:lang w:val="sq-AL" w:bidi="ar-SA"/>
        </w:rPr>
        <w:t xml:space="preserve"> se Gjykata e Apelit, nuk ka arsyetuar se cilat kushte nga ato që kërkon dispozita përkatëse ka përmbushur e gjykuara Evadiola Doko. Kushtet e tjera që kërkon neni 59 i Kodit Penal, si kushtet shëndetësore apo mendore, mënyra e jetesës dhe nevojat, veçanërisht ato që lidhen me familjen, shkollimin ose punën, nuk rezulton të jenë arsyetuar si tilla nga Gjykata e Apelit që të përligjin caktimin e këtij dënimi alternativ. Gjithashtu rrethanat e kryerjes së veprës penale si dhe sjellja pas kryerjes së veprës penale nga e gjykuara duhet të jenë të tilla që të justifikojnë caktimin e këtij dënimi alternativ.  </w:t>
      </w:r>
      <w:r w:rsidRPr="007503A7">
        <w:rPr>
          <w:rFonts w:ascii="Times New Roman" w:hAnsi="Times New Roman"/>
          <w:bCs/>
          <w:lang w:val="sq-AL" w:bidi="ar-SA"/>
        </w:rPr>
        <w:t>Kolegji vlerëson</w:t>
      </w:r>
      <w:r w:rsidRPr="007503A7">
        <w:rPr>
          <w:rFonts w:ascii="Times New Roman" w:hAnsi="Times New Roman"/>
          <w:bCs/>
          <w:noProof/>
          <w:lang w:val="sq-AL" w:bidi="ar-SA"/>
        </w:rPr>
        <w:t xml:space="preserve"> se, Gjykata e Apelit, ka përcaktuar se ekzistojnë disa rrethana lehtësuese në favor të të gjykuarës, pa arsyetuar se cilat janë ato dhe përse justifikojnë caktimin e dënimit alternativ ndaj saj. </w:t>
      </w:r>
      <w:r w:rsidRPr="007503A7">
        <w:rPr>
          <w:rFonts w:ascii="Times New Roman" w:hAnsi="Times New Roman"/>
          <w:bCs/>
          <w:lang w:val="sq-AL" w:bidi="ar-SA"/>
        </w:rPr>
        <w:t>Kolegji vlerëson</w:t>
      </w:r>
      <w:r w:rsidRPr="007503A7">
        <w:rPr>
          <w:rFonts w:ascii="Times New Roman" w:hAnsi="Times New Roman"/>
          <w:bCs/>
          <w:noProof/>
          <w:lang w:val="sq-AL" w:bidi="ar-SA"/>
        </w:rPr>
        <w:t xml:space="preserve"> se Gjykata e Apelit, Vlorë, nuk e ka arsyetuar në mënyrë bindëse aplikimin e dënimit alternativ, të parashikuar në nenin 59 të Kodit Penal. Është e vërtetë që gjykatat e faktit kanë diskrecion në aplikimin e këtij dënimi alternativ, të cilin e aplikojnë në përputhje me rrethanat e faktit, por vendimmarrja e tyre duhet të jetë e argumentuar dhe e bazuar në faktet dhe provat konkrete. Në rastin konkret </w:t>
      </w:r>
      <w:r w:rsidRPr="007503A7">
        <w:rPr>
          <w:rFonts w:ascii="Times New Roman" w:hAnsi="Times New Roman"/>
          <w:bCs/>
          <w:lang w:val="sq-AL" w:bidi="ar-SA"/>
        </w:rPr>
        <w:t>Kolegji vlerëson</w:t>
      </w:r>
      <w:r w:rsidRPr="007503A7">
        <w:rPr>
          <w:rFonts w:ascii="Times New Roman" w:hAnsi="Times New Roman"/>
          <w:bCs/>
          <w:noProof/>
          <w:lang w:val="sq-AL" w:bidi="ar-SA"/>
        </w:rPr>
        <w:t xml:space="preserve"> se shkaqet e ngritura nga prokuroria në rekurs qëndrojnë, prandaj rekursi duhet pranuar. </w:t>
      </w:r>
      <w:r w:rsidRPr="007503A7">
        <w:rPr>
          <w:rFonts w:ascii="Times New Roman" w:hAnsi="Times New Roman"/>
          <w:bCs/>
          <w:lang w:val="sq-AL" w:bidi="ar-SA"/>
        </w:rPr>
        <w:t xml:space="preserve">Sa më sipër, Kolegji vendos prishjen e vendimit </w:t>
      </w:r>
      <w:r w:rsidRPr="007503A7">
        <w:rPr>
          <w:rFonts w:ascii="Times New Roman" w:hAnsi="Times New Roman"/>
          <w:bCs/>
          <w:noProof/>
          <w:lang w:val="sq-AL" w:bidi="ar-SA"/>
        </w:rPr>
        <w:t>nr. 301, datë 25.04.2017, të Gjykatës së Apelit, Vlorë, dhe kthimin e çështjes për rishqyrtim, në po atë gjykatë, me tjetër trup gjykues. Në rigjykim, Gjykata e Apelit, duhet të arsyetojë në lidhje me kushtet dhe kriteret që përmbush e gjykuara Doko, për t’u aplikuar ndaj saj dënimi alternativ i parashikuar nga neni 59, i Kodit Penal</w:t>
      </w:r>
      <w:r w:rsidRPr="007503A7">
        <w:rPr>
          <w:rFonts w:ascii="Times New Roman" w:hAnsi="Times New Roman"/>
          <w:bCs/>
          <w:lang w:val="sq-AL" w:bidi="ar-SA"/>
        </w:rPr>
        <w:t>.”.</w:t>
      </w:r>
    </w:p>
    <w:p w14:paraId="758210EA" w14:textId="77777777" w:rsidR="00473B82"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lang w:val="sq-AL" w:bidi="ar-SA"/>
        </w:rPr>
        <w:t xml:space="preserve">Në rigjykim, </w:t>
      </w:r>
      <w:r w:rsidRPr="007503A7">
        <w:rPr>
          <w:rFonts w:ascii="Times New Roman" w:hAnsi="Times New Roman"/>
          <w:b/>
          <w:lang w:val="sq-AL" w:bidi="ar-SA"/>
        </w:rPr>
        <w:t>Gjykata e Apelit të Juridiksionit të Përgjithshëm</w:t>
      </w:r>
      <w:r w:rsidRPr="007503A7">
        <w:rPr>
          <w:rFonts w:ascii="Times New Roman" w:hAnsi="Times New Roman"/>
          <w:bCs/>
          <w:lang w:val="sq-AL" w:bidi="ar-SA"/>
        </w:rPr>
        <w:t xml:space="preserve">, me vendimin nr. (403) 30-2025-1294, datë 20.02.2025, ka vendosur: </w:t>
      </w:r>
      <w:r w:rsidRPr="007503A7">
        <w:rPr>
          <w:rFonts w:ascii="Times New Roman" w:hAnsi="Times New Roman"/>
          <w:bCs/>
          <w:i/>
          <w:iCs/>
          <w:lang w:val="sq-AL" w:bidi="ar-SA"/>
        </w:rPr>
        <w:t>“Lënien në fuqi të vendimit nr. 2029 (371) datë 27.05.2015 të Gjykatës së Rrethit Gjyqësor Fier me ndryshimin si vijon: Dënimin e të pandehurës Evadiola Doko, për veprën penale “Mashtrim” me shumë se një herë, parashikuar nga Neni 143/2 të K. Penal, sipas ndryshimeve në ligjin 36/2017 datë 30.03.2017, me 2 (dy) vjet burgim.”.</w:t>
      </w:r>
    </w:p>
    <w:p w14:paraId="460F1CA9" w14:textId="2342C743" w:rsidR="00473B82"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
          <w:lang w:val="sq-AL" w:bidi="ar-SA"/>
        </w:rPr>
        <w:t>Gjykata e Apelit</w:t>
      </w:r>
      <w:r w:rsidRPr="007503A7">
        <w:rPr>
          <w:rFonts w:ascii="Times New Roman" w:hAnsi="Times New Roman"/>
          <w:bCs/>
          <w:lang w:val="sq-AL" w:bidi="ar-SA"/>
        </w:rPr>
        <w:t>, ka arsyetuar se, sipas nenit 440 të K</w:t>
      </w:r>
      <w:r w:rsidR="00A6554E" w:rsidRPr="007503A7">
        <w:rPr>
          <w:rFonts w:ascii="Times New Roman" w:hAnsi="Times New Roman"/>
          <w:bCs/>
          <w:lang w:val="sq-AL" w:bidi="ar-SA"/>
        </w:rPr>
        <w:t>.</w:t>
      </w:r>
      <w:r w:rsidRPr="007503A7">
        <w:rPr>
          <w:rFonts w:ascii="Times New Roman" w:hAnsi="Times New Roman"/>
          <w:bCs/>
          <w:lang w:val="sq-AL" w:bidi="ar-SA"/>
        </w:rPr>
        <w:t>P</w:t>
      </w:r>
      <w:r w:rsidR="00A6554E" w:rsidRPr="007503A7">
        <w:rPr>
          <w:rFonts w:ascii="Times New Roman" w:hAnsi="Times New Roman"/>
          <w:bCs/>
          <w:lang w:val="sq-AL" w:bidi="ar-SA"/>
        </w:rPr>
        <w:t>r.</w:t>
      </w:r>
      <w:r w:rsidRPr="007503A7">
        <w:rPr>
          <w:rFonts w:ascii="Times New Roman" w:hAnsi="Times New Roman"/>
          <w:bCs/>
          <w:lang w:val="sq-AL" w:bidi="ar-SA"/>
        </w:rPr>
        <w:t>Penale, detyrat dhe konkluzionet e vendimit të Gjykatës së Lartë janë të detyrueshme për gjykatën që rishqyrton çështjen. Sipas nenit 447 të K</w:t>
      </w:r>
      <w:r w:rsidR="00A6554E" w:rsidRPr="007503A7">
        <w:rPr>
          <w:rFonts w:ascii="Times New Roman" w:hAnsi="Times New Roman"/>
          <w:bCs/>
          <w:lang w:val="sq-AL" w:bidi="ar-SA"/>
        </w:rPr>
        <w:t>.</w:t>
      </w:r>
      <w:r w:rsidRPr="007503A7">
        <w:rPr>
          <w:rFonts w:ascii="Times New Roman" w:hAnsi="Times New Roman"/>
          <w:bCs/>
          <w:lang w:val="sq-AL" w:bidi="ar-SA"/>
        </w:rPr>
        <w:t>P</w:t>
      </w:r>
      <w:r w:rsidR="00A6554E" w:rsidRPr="007503A7">
        <w:rPr>
          <w:rFonts w:ascii="Times New Roman" w:hAnsi="Times New Roman"/>
          <w:bCs/>
          <w:lang w:val="sq-AL" w:bidi="ar-SA"/>
        </w:rPr>
        <w:t>r.</w:t>
      </w:r>
      <w:r w:rsidRPr="007503A7">
        <w:rPr>
          <w:rFonts w:ascii="Times New Roman" w:hAnsi="Times New Roman"/>
          <w:bCs/>
          <w:lang w:val="sq-AL" w:bidi="ar-SA"/>
        </w:rPr>
        <w:t>Penale, gjykata e rigjykimit i përmbahet vendimit të Gjykatës së Lartë për çdo çështje të së drejtës që është vendosur me të. Në zbatim të dispozitave si më sipër dhe në vlerësim të përfundimeve të Kolegjit Penal të Gjykatës së Lartë, Gjykata e Apelit konstaton se, objekti i rishqyrtimit për Gjykatën e Apelit, është reduktuar në vlerësimin e pretendimeve në lidhje me aplikimin e dënimit alternativ të parashikuar nga neni 59 i K.Penal.</w:t>
      </w:r>
    </w:p>
    <w:p w14:paraId="4CAC6383" w14:textId="779D49D1" w:rsidR="00473B82" w:rsidRPr="007503A7" w:rsidRDefault="00FE172E" w:rsidP="00473B82">
      <w:pPr>
        <w:pStyle w:val="ListParagraph"/>
        <w:numPr>
          <w:ilvl w:val="1"/>
          <w:numId w:val="13"/>
        </w:numPr>
        <w:shd w:val="clear" w:color="auto" w:fill="FFFFFF"/>
        <w:tabs>
          <w:tab w:val="left" w:pos="900"/>
        </w:tabs>
        <w:ind w:left="0" w:firstLine="360"/>
        <w:jc w:val="both"/>
        <w:rPr>
          <w:rFonts w:ascii="Times New Roman" w:hAnsi="Times New Roman"/>
          <w:bCs/>
          <w:lang w:val="sq-AL" w:bidi="ar-SA"/>
        </w:rPr>
      </w:pPr>
      <w:r w:rsidRPr="007503A7">
        <w:rPr>
          <w:rFonts w:ascii="Times New Roman" w:hAnsi="Times New Roman"/>
          <w:bCs/>
          <w:lang w:val="sq-AL" w:bidi="ar-SA"/>
        </w:rPr>
        <w:t>Përpara se të marrë në shqyrtim këtë pretendim, Gjykata e Apelit në referim të nenit 425/1 të K</w:t>
      </w:r>
      <w:r w:rsidR="00A6554E" w:rsidRPr="007503A7">
        <w:rPr>
          <w:rFonts w:ascii="Times New Roman" w:hAnsi="Times New Roman"/>
          <w:bCs/>
          <w:lang w:val="sq-AL" w:bidi="ar-SA"/>
        </w:rPr>
        <w:t>.</w:t>
      </w:r>
      <w:r w:rsidRPr="007503A7">
        <w:rPr>
          <w:rFonts w:ascii="Times New Roman" w:hAnsi="Times New Roman"/>
          <w:bCs/>
          <w:lang w:val="sq-AL" w:bidi="ar-SA"/>
        </w:rPr>
        <w:t>P</w:t>
      </w:r>
      <w:r w:rsidR="00A6554E" w:rsidRPr="007503A7">
        <w:rPr>
          <w:rFonts w:ascii="Times New Roman" w:hAnsi="Times New Roman"/>
          <w:bCs/>
          <w:lang w:val="sq-AL" w:bidi="ar-SA"/>
        </w:rPr>
        <w:t>r.</w:t>
      </w:r>
      <w:r w:rsidRPr="007503A7">
        <w:rPr>
          <w:rFonts w:ascii="Times New Roman" w:hAnsi="Times New Roman"/>
          <w:bCs/>
          <w:lang w:val="sq-AL" w:bidi="ar-SA"/>
        </w:rPr>
        <w:t>Penale, ka detyrimin që të marrë në shqyrtim kryesisht çështjet e ligjit. (...) Sikurse shihet, neni 143 i K</w:t>
      </w:r>
      <w:r w:rsidR="00A6554E" w:rsidRPr="007503A7">
        <w:rPr>
          <w:rFonts w:ascii="Times New Roman" w:hAnsi="Times New Roman"/>
          <w:bCs/>
          <w:lang w:val="sq-AL" w:bidi="ar-SA"/>
        </w:rPr>
        <w:t>.</w:t>
      </w:r>
      <w:r w:rsidRPr="007503A7">
        <w:rPr>
          <w:rFonts w:ascii="Times New Roman" w:hAnsi="Times New Roman"/>
          <w:bCs/>
          <w:lang w:val="sq-AL" w:bidi="ar-SA"/>
        </w:rPr>
        <w:t xml:space="preserve">Penal ndryshuar me ligjin Nr.36/2017 datë 30.03.2017, paraqitet favorizues për të pandehurën Evadiola Doko, pasi në rastin e veprës penale të mashtrimit, në rrethanën cilësuese “më shumë se një herë” parashikon dënim nga 2-6 vjet burgim, ndërsa në kohën e kryerjes së veprës penale, dispozita parashikonte dënim nga 3-10 vjet burgim. (…) Në individualizimin e dënimit për të pandehurën Evadiola Doko brenda marzhit të dënimit 2-6 vjet burgim, Gjykata e Apelit mban në konsideratë rrezikshmërinë e veprës penale referuar rëndësisë së faktit penal, pasojën e ardhur për viktimat nga vepra penale, rrezikshmërinë shoqërore të të pandehurës e cila paraqitet jo e lartë, personalitetin e saj, gjendjen gjyqësore si e padënuar më parë. Gjykata e Apelit nuk konstaton rrethana lehtësuese nga ato që parashikon neni 48 i KPenal, ndërkohë që nuk konstatohen rrethana të kësaj natyre edhe në vështrim të nenit 49 të KPenal. Po ashtu nuk konstatohen rrethana rënduese nga ato që parashikon neni 50 i KPenal, ku rrethana e kryerjes së krimit më shumë se një herë në rastin konkret, paraqitet si </w:t>
      </w:r>
      <w:r w:rsidRPr="007503A7">
        <w:rPr>
          <w:rFonts w:ascii="Times New Roman" w:hAnsi="Times New Roman"/>
          <w:bCs/>
          <w:lang w:val="sq-AL" w:bidi="ar-SA"/>
        </w:rPr>
        <w:lastRenderedPageBreak/>
        <w:t>rrethanë cilësuese dhe prania e saj përfshihet në marzhin dënimit të përcaktuar nga vetë dispozita.</w:t>
      </w:r>
    </w:p>
    <w:p w14:paraId="4E4131C7" w14:textId="75BE3089" w:rsidR="00473B82" w:rsidRPr="007503A7" w:rsidRDefault="00FE172E" w:rsidP="00473B82">
      <w:pPr>
        <w:pStyle w:val="ListParagraph"/>
        <w:numPr>
          <w:ilvl w:val="1"/>
          <w:numId w:val="13"/>
        </w:numPr>
        <w:shd w:val="clear" w:color="auto" w:fill="FFFFFF"/>
        <w:tabs>
          <w:tab w:val="left" w:pos="900"/>
        </w:tabs>
        <w:ind w:left="0" w:firstLine="360"/>
        <w:jc w:val="both"/>
        <w:rPr>
          <w:rFonts w:ascii="Times New Roman" w:hAnsi="Times New Roman"/>
          <w:bCs/>
          <w:lang w:val="sq-AL" w:bidi="ar-SA"/>
        </w:rPr>
      </w:pPr>
      <w:r w:rsidRPr="007503A7">
        <w:rPr>
          <w:rFonts w:ascii="Times New Roman" w:hAnsi="Times New Roman"/>
          <w:bCs/>
          <w:lang w:val="sq-AL" w:bidi="ar-SA"/>
        </w:rPr>
        <w:t>Në vendimin për kthimin e çështjes për rigjykim, Gjykata e Lartë ka gjetur të paargumentuar vendimarrjen e Gjykatës së Apelit Vlorë në lidhje me aplikimin e dënimit alternative të parashikuar nga neni 59 i K</w:t>
      </w:r>
      <w:r w:rsidR="00A6554E" w:rsidRPr="007503A7">
        <w:rPr>
          <w:rFonts w:ascii="Times New Roman" w:hAnsi="Times New Roman"/>
          <w:bCs/>
          <w:lang w:val="sq-AL" w:bidi="ar-SA"/>
        </w:rPr>
        <w:t>.</w:t>
      </w:r>
      <w:r w:rsidRPr="007503A7">
        <w:rPr>
          <w:rFonts w:ascii="Times New Roman" w:hAnsi="Times New Roman"/>
          <w:bCs/>
          <w:lang w:val="sq-AL" w:bidi="ar-SA"/>
        </w:rPr>
        <w:t>Penal, ndërkohë që ka arsyetuar se: …E gjykuara Doko, ka konsumuar veprën penale “Mashtrimi”, nën rrethanën cilësuese më shumë se një herë, parashikuar nga paragrafi II, i nenit 143 të Kodit Penal. Kjo dëshmon për një rrezikshmëri shoqërore më të lartë të veprës penale, të kryer nën këtë rrethanë cilësuese. Nga ana tjetër, Kolegji vlerëson se e gjykuara nuk ka shfaqur pendesë në lidhje me këtë vepër penale, kusht i kërkuar nga neni 59 i Kodit Penal, në drejtim të sjelljes së të pandehurit pas kryerjes së veprës penale. Për më tepër, rezulton se e gjykuara Doko, ka mohuar përgjegjësinë penale, madje edhe në rekursin drejtuar Gjykatës së Lartë ajo ka kërkuar pushimin e çështjes penale në ngarkim të saj. Nuk rezulton që ajo të ketë shlyer dëmin e shkaktuar të dëmtuarave nga kjo vepër penale.</w:t>
      </w:r>
    </w:p>
    <w:p w14:paraId="7C8B83EB" w14:textId="43B2B4C2" w:rsidR="00473B82" w:rsidRPr="007503A7" w:rsidRDefault="00FE172E" w:rsidP="00473B82">
      <w:pPr>
        <w:pStyle w:val="ListParagraph"/>
        <w:numPr>
          <w:ilvl w:val="1"/>
          <w:numId w:val="13"/>
        </w:numPr>
        <w:shd w:val="clear" w:color="auto" w:fill="FFFFFF"/>
        <w:tabs>
          <w:tab w:val="left" w:pos="900"/>
        </w:tabs>
        <w:ind w:left="0" w:firstLine="360"/>
        <w:jc w:val="both"/>
        <w:rPr>
          <w:rFonts w:ascii="Times New Roman" w:hAnsi="Times New Roman"/>
          <w:bCs/>
          <w:lang w:val="sq-AL" w:bidi="ar-SA"/>
        </w:rPr>
      </w:pPr>
      <w:r w:rsidRPr="007503A7">
        <w:rPr>
          <w:rFonts w:ascii="Times New Roman" w:hAnsi="Times New Roman"/>
          <w:bCs/>
          <w:lang w:val="sq-AL" w:bidi="ar-SA"/>
        </w:rPr>
        <w:t>Gjykata e Apelit vlerëson në vijim se, kryerja e veprës më shumë se një herë, përpos se tregon rrezikshmëri më të lartë shoqërore të veprës penale, tregon dhe rrezikshmëri jo të ulët të të pandehurës Evadiola Doko. Kolegji Penal i Gjykatës së Lartë vë theksin në sjelljen e të pandehurës pas kryerjes së veprës penale dhe në këtë kontekst ka nënvizuar qëndrimin mohues të të pandehurës karshi akuzës si dhe mosshlyerjen e dëmit prej saj. Gjykata e Apelit nuk konstatoi ndryshim të rrethanave si më sipër, ku e pandehura Evadiola Doko nuk rezultoi në rigjykim që të ketë shlyer dëmin karshi viktimave nga vepra penale dhe po ashtu, nuk rezultoi që të ketë zbatuar me përpikmëri urdhërimet e Gjykatës së Apelit Vlorë sa i përket vuajtjes së dënimit alternativ të parashikuar nga neni 59 i K</w:t>
      </w:r>
      <w:r w:rsidR="00A6554E" w:rsidRPr="007503A7">
        <w:rPr>
          <w:rFonts w:ascii="Times New Roman" w:hAnsi="Times New Roman"/>
          <w:bCs/>
          <w:lang w:val="sq-AL" w:bidi="ar-SA"/>
        </w:rPr>
        <w:t>.</w:t>
      </w:r>
      <w:r w:rsidRPr="007503A7">
        <w:rPr>
          <w:rFonts w:ascii="Times New Roman" w:hAnsi="Times New Roman"/>
          <w:bCs/>
          <w:lang w:val="sq-AL" w:bidi="ar-SA"/>
        </w:rPr>
        <w:t>Penal.</w:t>
      </w:r>
    </w:p>
    <w:p w14:paraId="37D52CC4" w14:textId="1F1E225E" w:rsidR="00473B82" w:rsidRPr="007503A7" w:rsidRDefault="00FE172E" w:rsidP="00473B82">
      <w:pPr>
        <w:pStyle w:val="ListParagraph"/>
        <w:numPr>
          <w:ilvl w:val="1"/>
          <w:numId w:val="13"/>
        </w:numPr>
        <w:shd w:val="clear" w:color="auto" w:fill="FFFFFF"/>
        <w:tabs>
          <w:tab w:val="left" w:pos="900"/>
        </w:tabs>
        <w:ind w:left="0" w:firstLine="360"/>
        <w:jc w:val="both"/>
        <w:rPr>
          <w:rFonts w:ascii="Times New Roman" w:hAnsi="Times New Roman"/>
          <w:bCs/>
          <w:lang w:val="sq-AL" w:bidi="ar-SA"/>
        </w:rPr>
      </w:pPr>
      <w:r w:rsidRPr="007503A7">
        <w:rPr>
          <w:rFonts w:ascii="Times New Roman" w:hAnsi="Times New Roman"/>
          <w:bCs/>
          <w:lang w:val="sq-AL" w:bidi="ar-SA"/>
        </w:rPr>
        <w:t>Konkretisht, në rigjykim e pandehura Evadiola Doko përmes mbrojtësve të saj, pretendoi se tashmë e ka përfunduar dënimin alternativ dhe si rrjedhojë nuk mund të dënohet dy herë për të njëjtin fakt penal. Nga informacioni i përcjellë me aktin «Raport periodik vlerësimi» të Drejtorisë së Përgjithshme të Shërbimit të Provës, Dega Territoriale Tiranë, rezulton se, e gjykuara në atë kohë Evadiola Doko, ka vendosur takimin e parë me institucionin e shërbimit të provës në datën 20.06.2017, ndërkohë që në takimin e datës 08.09.2018 nuk është paraqitur si dhe nuk ka informuar mbi arsyet penguese. Me shkresën nr. 5085 prot., datë 06.09.2018 Dega Territoriale e Shërbimit të Provës Tiranë ka nisur njoftim përmes shërbimit postar për personin nën mbik</w:t>
      </w:r>
      <w:r w:rsidR="00A6554E" w:rsidRPr="007503A7">
        <w:rPr>
          <w:rFonts w:ascii="Times New Roman" w:hAnsi="Times New Roman"/>
          <w:bCs/>
          <w:lang w:val="sq-AL" w:bidi="ar-SA"/>
        </w:rPr>
        <w:t>ë</w:t>
      </w:r>
      <w:r w:rsidRPr="007503A7">
        <w:rPr>
          <w:rFonts w:ascii="Times New Roman" w:hAnsi="Times New Roman"/>
          <w:bCs/>
          <w:lang w:val="sq-AL" w:bidi="ar-SA"/>
        </w:rPr>
        <w:t>qyrje Evadiola Doko, se duhet të paraqitet pranë këtij institucioni, ku lajmërim marrja në lidhje me shkresën, është kthyer me shënimin «adresa e pasaktë». Në këto kushte, Dega Territoriale e Shërbimit të Provës Tiranë i ka dërguar informacion Prokurorisë së Rrethit Gjyqësor Fier, në lidhje me mospërmbushjen e detyrimeve nga e dënuara me shërbim prove Evadiola Doko. Me vendimin nr. 689, datë 25.11.2019 të Gjykatës së Rrethit Gjyqësor Tiranë është zgjatur afati i periudhës së mbik</w:t>
      </w:r>
      <w:r w:rsidR="00A6554E" w:rsidRPr="007503A7">
        <w:rPr>
          <w:rFonts w:ascii="Times New Roman" w:hAnsi="Times New Roman"/>
          <w:bCs/>
          <w:lang w:val="sq-AL" w:bidi="ar-SA"/>
        </w:rPr>
        <w:t>ë</w:t>
      </w:r>
      <w:r w:rsidRPr="007503A7">
        <w:rPr>
          <w:rFonts w:ascii="Times New Roman" w:hAnsi="Times New Roman"/>
          <w:bCs/>
          <w:lang w:val="sq-AL" w:bidi="ar-SA"/>
        </w:rPr>
        <w:t>qyrjes me 3 vite dhe për këtë vendim ka dalë urdhëri i ekzekutimit të Prokurorisë Tiranë nr. 6787 prot., datë 17.12.2019.  Bazuar në këto disponime, e dënuara Evadiola Doko ka rivendosur kontaktet me shërbimin e provës në datën 08.01.2020, gjë që do të thotë se ka patur një ndërprerje për periudhën 08.09.2018 - 08.01.2020. Me shkresën nr. 6987 prot., datë 15.09.2022 Dega Territoriale e Shërbimit të Provës Tiranë njofton Prokurorinë pranë Gjykatës së Shkallës së Parë Tiranë, se periudha gjatë të cilës janë ndërprerë kontaktet me Shërbimin e Provës prej 1 vit 11 muaj e 2 ditë, do t’i bashkohet periudhës së pavuajtur të dënimit penal si dhe periudhës së provës prej 3 vjet sipas zgjatjes me vendimin nr. 689 akti të Gjykatës së Rrethit Gjyqësor Tiranë dhe bazuar në këto të dhëna, periudha e provës për personin nën mbik</w:t>
      </w:r>
      <w:r w:rsidR="00A6554E" w:rsidRPr="007503A7">
        <w:rPr>
          <w:rFonts w:ascii="Times New Roman" w:hAnsi="Times New Roman"/>
          <w:bCs/>
          <w:lang w:val="sq-AL" w:bidi="ar-SA"/>
        </w:rPr>
        <w:t>ë</w:t>
      </w:r>
      <w:r w:rsidRPr="007503A7">
        <w:rPr>
          <w:rFonts w:ascii="Times New Roman" w:hAnsi="Times New Roman"/>
          <w:bCs/>
          <w:lang w:val="sq-AL" w:bidi="ar-SA"/>
        </w:rPr>
        <w:t>qyrje Evadiola Doko përfundon në datën 27.03.2027.</w:t>
      </w:r>
    </w:p>
    <w:p w14:paraId="12B68063" w14:textId="77777777" w:rsidR="00473B82" w:rsidRPr="007503A7" w:rsidRDefault="00FE172E" w:rsidP="00473B82">
      <w:pPr>
        <w:pStyle w:val="ListParagraph"/>
        <w:numPr>
          <w:ilvl w:val="1"/>
          <w:numId w:val="13"/>
        </w:numPr>
        <w:shd w:val="clear" w:color="auto" w:fill="FFFFFF"/>
        <w:tabs>
          <w:tab w:val="left" w:pos="900"/>
        </w:tabs>
        <w:ind w:left="0" w:firstLine="360"/>
        <w:jc w:val="both"/>
        <w:rPr>
          <w:rFonts w:ascii="Times New Roman" w:hAnsi="Times New Roman"/>
          <w:bCs/>
          <w:lang w:val="sq-AL" w:bidi="ar-SA"/>
        </w:rPr>
      </w:pPr>
      <w:r w:rsidRPr="007503A7">
        <w:rPr>
          <w:rFonts w:ascii="Times New Roman" w:hAnsi="Times New Roman"/>
          <w:bCs/>
          <w:lang w:val="sq-AL" w:bidi="ar-SA"/>
        </w:rPr>
        <w:t xml:space="preserve">Vendimi i Gjykatës së Lartë që prish vendimin e Gjykatës së Apelit Vlorë dhe kthen çështjen për rigjykim mban datën 17.01.2023, që do të thotë se, prej kësaj date dhe në vijim, nuk kemi më vendim dënimi të formës së prerë dhe shtetasja Evadiola Doko është rikthyer në statusin e mëparshëm procedurial si «e pandehur».  Deri në këtë datë, në të kundërt të sa e </w:t>
      </w:r>
      <w:r w:rsidRPr="007503A7">
        <w:rPr>
          <w:rFonts w:ascii="Times New Roman" w:hAnsi="Times New Roman"/>
          <w:bCs/>
          <w:lang w:val="sq-AL" w:bidi="ar-SA"/>
        </w:rPr>
        <w:lastRenderedPageBreak/>
        <w:t>pandehura dhe mbrojtja e saj pretendojnë, ajo nuk e ka përfunduar vuajtjen e dënimit alternativ, pasi periudha e provës konfirmohet nga aktet se do të përfundonte në datën 27.03.2027. Po ashtu, e pandehura Evadiola Doko nuk mund të përfitojë nga parashikimet e ligjit nr. 33/2024 «Për dhënie amnistie», pasi nuk ka patur statusin e të dënuarës në datën 31.03.2024, sikurse ligji në fjalë parashikon.</w:t>
      </w:r>
      <w:r w:rsidR="00473B82" w:rsidRPr="007503A7">
        <w:rPr>
          <w:rFonts w:ascii="Times New Roman" w:hAnsi="Times New Roman"/>
          <w:bCs/>
          <w:lang w:val="sq-AL" w:bidi="ar-SA"/>
        </w:rPr>
        <w:t xml:space="preserve"> </w:t>
      </w:r>
      <w:r w:rsidRPr="007503A7">
        <w:rPr>
          <w:rFonts w:ascii="Times New Roman" w:hAnsi="Times New Roman"/>
          <w:bCs/>
          <w:lang w:val="sq-AL" w:bidi="ar-SA"/>
        </w:rPr>
        <w:t>Sa më sipër, vendimi i Prokurorisë pranë Gjykatës së Shkallës së Parë të Juridiksionit të Përgjithshëm Tiranë datë 10.05.2024, me të cilin përjashtohet shtetasja Evadiola Doko nga vuajtja e dënimit alternativ, nuk arrin të prodhojë efekte juridike, sa kohë që në datën e marrjes së këtij vendimi nga prokurori i ekzekutimit, nuk ekziston një vendim dënimi i formës së prerë për të pandehurën Evadiola Doko.</w:t>
      </w:r>
    </w:p>
    <w:p w14:paraId="22F659A2" w14:textId="58ACD0DE" w:rsidR="00473B82" w:rsidRPr="007503A7" w:rsidRDefault="00FE172E" w:rsidP="00473B82">
      <w:pPr>
        <w:pStyle w:val="ListParagraph"/>
        <w:numPr>
          <w:ilvl w:val="1"/>
          <w:numId w:val="13"/>
        </w:numPr>
        <w:shd w:val="clear" w:color="auto" w:fill="FFFFFF"/>
        <w:tabs>
          <w:tab w:val="left" w:pos="900"/>
        </w:tabs>
        <w:ind w:left="0" w:firstLine="360"/>
        <w:jc w:val="both"/>
        <w:rPr>
          <w:rFonts w:ascii="Times New Roman" w:hAnsi="Times New Roman"/>
          <w:bCs/>
          <w:lang w:val="sq-AL" w:bidi="ar-SA"/>
        </w:rPr>
      </w:pPr>
      <w:r w:rsidRPr="007503A7">
        <w:rPr>
          <w:rFonts w:ascii="Times New Roman" w:hAnsi="Times New Roman"/>
          <w:bCs/>
          <w:lang w:val="sq-AL" w:bidi="ar-SA"/>
        </w:rPr>
        <w:t>Sa më sipër dhe në përgjigje të pretendimeve të të pandehurës se e ka vuajtur dënimin alternativ, Gjykata e Apelit i gjen të pabazuara këto pretendime dhe po ashtu vlerëson se, në vijim të sjelljes së saj pas kryerjes së veprës penale konstatuar dhe nga Kolegji Penal i Gjykatës së lartë, e pandehura Evadiola Doko nuk rezulton korrekte dhe me zbatimin e urdhërimeve të Gjykatës së Apelit Vlorë për vuajtjen e dënimit alternativ, pasi provohet se nuk ka mbajtur kontakte të rregullta me Zyrën e Shërbimit të Provës. Në përfundim dhe për sa u arsyetua, Gjykata e Apelit, në zbatim të ligjit penal favorizues si dhe duke marrë parasysh kohën e gjatë që ka kaluar nga kryerja e veprës penale, konkludon për dënimin e të pandehurës Evadiola Doko, sipas minimumit të parashikuar nga dispozita neni 143 prg 2 i K</w:t>
      </w:r>
      <w:r w:rsidR="00A6554E" w:rsidRPr="007503A7">
        <w:rPr>
          <w:rFonts w:ascii="Times New Roman" w:hAnsi="Times New Roman"/>
          <w:bCs/>
          <w:lang w:val="sq-AL" w:bidi="ar-SA"/>
        </w:rPr>
        <w:t>.</w:t>
      </w:r>
      <w:r w:rsidRPr="007503A7">
        <w:rPr>
          <w:rFonts w:ascii="Times New Roman" w:hAnsi="Times New Roman"/>
          <w:bCs/>
          <w:lang w:val="sq-AL" w:bidi="ar-SA"/>
        </w:rPr>
        <w:t>Penal me 2 (dy) vjet burgim, ndërkohë që nisur kryesisht nga sjellja e të pandehurës pas kryerjes së veprës penale, nuk krijon bindje se ajo mund të rehabilitohet në gjendje të lirë.</w:t>
      </w:r>
    </w:p>
    <w:p w14:paraId="5058C4FE" w14:textId="50CB816C" w:rsidR="00FE172E" w:rsidRPr="007503A7" w:rsidRDefault="00FE172E" w:rsidP="00473B82">
      <w:pPr>
        <w:pStyle w:val="ListParagraph"/>
        <w:numPr>
          <w:ilvl w:val="0"/>
          <w:numId w:val="13"/>
        </w:numPr>
        <w:shd w:val="clear" w:color="auto" w:fill="FFFFFF"/>
        <w:tabs>
          <w:tab w:val="left" w:pos="720"/>
        </w:tabs>
        <w:ind w:left="0" w:firstLine="360"/>
        <w:jc w:val="both"/>
        <w:rPr>
          <w:rFonts w:ascii="Times New Roman" w:hAnsi="Times New Roman"/>
          <w:bCs/>
          <w:lang w:val="sq-AL" w:bidi="ar-SA"/>
        </w:rPr>
      </w:pPr>
      <w:r w:rsidRPr="007503A7">
        <w:rPr>
          <w:rFonts w:ascii="Times New Roman" w:hAnsi="Times New Roman"/>
          <w:bCs/>
          <w:noProof/>
          <w:lang w:val="sq-AL" w:bidi="ar-SA"/>
        </w:rPr>
        <w:t>Kundër këtij vendimi, më datë 03.11.2025, nëpërmjet mbrojtësit</w:t>
      </w:r>
      <w:r w:rsidR="00473B82" w:rsidRPr="007503A7">
        <w:rPr>
          <w:rFonts w:ascii="Times New Roman" w:hAnsi="Times New Roman"/>
          <w:bCs/>
          <w:noProof/>
          <w:lang w:val="sq-AL" w:bidi="ar-SA"/>
        </w:rPr>
        <w:t xml:space="preserve">, </w:t>
      </w:r>
      <w:r w:rsidRPr="007503A7">
        <w:rPr>
          <w:rFonts w:ascii="Times New Roman" w:hAnsi="Times New Roman"/>
          <w:b/>
          <w:noProof/>
          <w:lang w:val="sq-AL" w:bidi="ar-SA"/>
        </w:rPr>
        <w:t>ka paraqitur rekurs e gjykuara Evadiola Doko</w:t>
      </w:r>
      <w:r w:rsidRPr="007503A7">
        <w:rPr>
          <w:rFonts w:ascii="Times New Roman" w:hAnsi="Times New Roman"/>
          <w:bCs/>
          <w:noProof/>
          <w:lang w:val="sq-AL" w:bidi="ar-SA"/>
        </w:rPr>
        <w:t xml:space="preserve">, me anë të të cilit ka kërkuar: </w:t>
      </w:r>
      <w:r w:rsidRPr="007503A7">
        <w:rPr>
          <w:rFonts w:ascii="Times New Roman" w:hAnsi="Times New Roman"/>
          <w:bCs/>
          <w:i/>
          <w:iCs/>
          <w:noProof/>
          <w:lang w:val="sq-AL" w:bidi="ar-SA"/>
        </w:rPr>
        <w:t>“</w:t>
      </w:r>
      <w:r w:rsidRPr="007503A7">
        <w:rPr>
          <w:rFonts w:ascii="Times New Roman" w:hAnsi="Times New Roman"/>
          <w:bCs/>
          <w:i/>
          <w:iCs/>
          <w:lang w:val="sq-AL" w:bidi="ar-SA"/>
        </w:rPr>
        <w:t>Ndryshimin e vendimit të Gjykatës së Rrethit Gjyqësor Fier nr. 2029, datë 27.05.2015 dhe ndryshimin e vendimit nr. 403/30-2025-1294, datë 20.02.2025 i Gjykatës së Apelit të Juridiksionit të Përgjithshëm Tiranë, duke e zgjidhur çështjen përfundimisht duke caktuar për pjesën e mbetur të vendimit dënimin alternativ me shërbim prove sipas neni 59 të Kodit Penal, ose në alternativë prishjen e vendimit nr. 403/30-2025-1294, datë 20.02.2025 i Gjykatës së Apelit të Juridiksionit të Përgjithshëm Tiranë dhe kthimin e çështjes për rigjykim në Gjykatën e Apelit të Juridiksionit të Përgjithshëm Tiranë me një trup tjetër gjykues.”</w:t>
      </w:r>
      <w:r w:rsidR="00473B82" w:rsidRPr="007503A7">
        <w:rPr>
          <w:rFonts w:ascii="Times New Roman" w:hAnsi="Times New Roman"/>
          <w:bCs/>
          <w:i/>
          <w:iCs/>
          <w:lang w:val="sq-AL" w:bidi="ar-SA"/>
        </w:rPr>
        <w:t xml:space="preserve">. </w:t>
      </w:r>
      <w:r w:rsidRPr="007503A7">
        <w:rPr>
          <w:rFonts w:ascii="Times New Roman" w:eastAsia="MS Mincho" w:hAnsi="Times New Roman"/>
          <w:bCs/>
          <w:lang w:val="sq-AL" w:bidi="ar-SA"/>
        </w:rPr>
        <w:t xml:space="preserve">Në rekurs </w:t>
      </w:r>
      <w:r w:rsidR="00473B82" w:rsidRPr="007503A7">
        <w:rPr>
          <w:rFonts w:ascii="Times New Roman" w:eastAsia="MS Mincho" w:hAnsi="Times New Roman"/>
          <w:bCs/>
          <w:lang w:val="sq-AL" w:bidi="ar-SA"/>
        </w:rPr>
        <w:t>e gjykuara</w:t>
      </w:r>
      <w:r w:rsidRPr="007503A7">
        <w:rPr>
          <w:rFonts w:ascii="Times New Roman" w:eastAsia="MS Mincho" w:hAnsi="Times New Roman"/>
          <w:bCs/>
          <w:lang w:val="sq-AL" w:bidi="ar-SA"/>
        </w:rPr>
        <w:t xml:space="preserve">, </w:t>
      </w:r>
      <w:r w:rsidR="00D82F9A" w:rsidRPr="007503A7">
        <w:rPr>
          <w:rFonts w:ascii="Times New Roman" w:eastAsia="MS Mincho" w:hAnsi="Times New Roman"/>
          <w:bCs/>
          <w:lang w:val="sq-AL" w:bidi="ar-SA"/>
        </w:rPr>
        <w:t>n</w:t>
      </w:r>
      <w:r w:rsidR="00BA753A" w:rsidRPr="007503A7">
        <w:rPr>
          <w:rFonts w:ascii="Times New Roman" w:eastAsia="MS Mincho" w:hAnsi="Times New Roman"/>
          <w:bCs/>
          <w:lang w:val="sq-AL" w:bidi="ar-SA"/>
        </w:rPr>
        <w:t>ë</w:t>
      </w:r>
      <w:r w:rsidR="00D82F9A" w:rsidRPr="007503A7">
        <w:rPr>
          <w:rFonts w:ascii="Times New Roman" w:eastAsia="MS Mincho" w:hAnsi="Times New Roman"/>
          <w:bCs/>
          <w:lang w:val="sq-AL" w:bidi="ar-SA"/>
        </w:rPr>
        <w:t xml:space="preserve"> m</w:t>
      </w:r>
      <w:r w:rsidR="00BA753A" w:rsidRPr="007503A7">
        <w:rPr>
          <w:rFonts w:ascii="Times New Roman" w:eastAsia="MS Mincho" w:hAnsi="Times New Roman"/>
          <w:bCs/>
          <w:lang w:val="sq-AL" w:bidi="ar-SA"/>
        </w:rPr>
        <w:t>ë</w:t>
      </w:r>
      <w:r w:rsidR="00D82F9A" w:rsidRPr="007503A7">
        <w:rPr>
          <w:rFonts w:ascii="Times New Roman" w:eastAsia="MS Mincho" w:hAnsi="Times New Roman"/>
          <w:bCs/>
          <w:lang w:val="sq-AL" w:bidi="ar-SA"/>
        </w:rPr>
        <w:t>nyr</w:t>
      </w:r>
      <w:r w:rsidR="00BA753A" w:rsidRPr="007503A7">
        <w:rPr>
          <w:rFonts w:ascii="Times New Roman" w:eastAsia="MS Mincho" w:hAnsi="Times New Roman"/>
          <w:bCs/>
          <w:lang w:val="sq-AL" w:bidi="ar-SA"/>
        </w:rPr>
        <w:t>ë</w:t>
      </w:r>
      <w:r w:rsidR="00D82F9A" w:rsidRPr="007503A7">
        <w:rPr>
          <w:rFonts w:ascii="Times New Roman" w:eastAsia="MS Mincho" w:hAnsi="Times New Roman"/>
          <w:bCs/>
          <w:lang w:val="sq-AL" w:bidi="ar-SA"/>
        </w:rPr>
        <w:t xml:space="preserve"> t</w:t>
      </w:r>
      <w:r w:rsidR="00BA753A" w:rsidRPr="007503A7">
        <w:rPr>
          <w:rFonts w:ascii="Times New Roman" w:eastAsia="MS Mincho" w:hAnsi="Times New Roman"/>
          <w:bCs/>
          <w:lang w:val="sq-AL" w:bidi="ar-SA"/>
        </w:rPr>
        <w:t>ë</w:t>
      </w:r>
      <w:r w:rsidR="00D82F9A" w:rsidRPr="007503A7">
        <w:rPr>
          <w:rFonts w:ascii="Times New Roman" w:eastAsia="MS Mincho" w:hAnsi="Times New Roman"/>
          <w:bCs/>
          <w:lang w:val="sq-AL" w:bidi="ar-SA"/>
        </w:rPr>
        <w:t xml:space="preserve"> p</w:t>
      </w:r>
      <w:r w:rsidR="00BA753A" w:rsidRPr="007503A7">
        <w:rPr>
          <w:rFonts w:ascii="Times New Roman" w:eastAsia="MS Mincho" w:hAnsi="Times New Roman"/>
          <w:bCs/>
          <w:lang w:val="sq-AL" w:bidi="ar-SA"/>
        </w:rPr>
        <w:t>ë</w:t>
      </w:r>
      <w:r w:rsidR="00D82F9A" w:rsidRPr="007503A7">
        <w:rPr>
          <w:rFonts w:ascii="Times New Roman" w:eastAsia="MS Mincho" w:hAnsi="Times New Roman"/>
          <w:bCs/>
          <w:lang w:val="sq-AL" w:bidi="ar-SA"/>
        </w:rPr>
        <w:t>rmbledhur</w:t>
      </w:r>
      <w:r w:rsidRPr="007503A7">
        <w:rPr>
          <w:rFonts w:ascii="Times New Roman" w:eastAsia="MS Mincho" w:hAnsi="Times New Roman"/>
          <w:bCs/>
          <w:lang w:val="sq-AL" w:bidi="ar-SA"/>
        </w:rPr>
        <w:t>, ka parashtruar këto shkaqe:</w:t>
      </w:r>
    </w:p>
    <w:p w14:paraId="788A2E38" w14:textId="77777777" w:rsidR="00FE172E" w:rsidRPr="007503A7" w:rsidRDefault="00FE172E" w:rsidP="00473B82">
      <w:pPr>
        <w:pStyle w:val="NormalWeb"/>
        <w:numPr>
          <w:ilvl w:val="0"/>
          <w:numId w:val="11"/>
        </w:numPr>
        <w:ind w:left="360"/>
        <w:jc w:val="both"/>
        <w:rPr>
          <w:bCs/>
          <w:noProof/>
          <w:lang w:val="sq-AL"/>
        </w:rPr>
      </w:pPr>
      <w:r w:rsidRPr="007503A7">
        <w:rPr>
          <w:bCs/>
          <w:noProof/>
          <w:lang w:val="sq-AL"/>
        </w:rPr>
        <w:t>Vendimi i Gjykatës së Apelit të Juridiksionit të përgjithshëm është marrë në mosrespektim dhe zbatim të gabuar të ligjit penal dhe konkretisht të nenit 59 të Kodit Penal paragrafi i pestë i tij.</w:t>
      </w:r>
    </w:p>
    <w:p w14:paraId="681C1466" w14:textId="77777777" w:rsidR="00FE172E" w:rsidRPr="007503A7" w:rsidRDefault="00FE172E" w:rsidP="00473B82">
      <w:pPr>
        <w:pStyle w:val="NormalWeb"/>
        <w:numPr>
          <w:ilvl w:val="0"/>
          <w:numId w:val="11"/>
        </w:numPr>
        <w:ind w:left="360"/>
        <w:jc w:val="both"/>
        <w:rPr>
          <w:bCs/>
          <w:noProof/>
          <w:lang w:val="sq-AL"/>
        </w:rPr>
      </w:pPr>
      <w:r w:rsidRPr="007503A7">
        <w:rPr>
          <w:bCs/>
          <w:noProof/>
          <w:lang w:val="sq-AL"/>
        </w:rPr>
        <w:t>Vendimi i Gjykatës së Apelit të Juridiksionit të përgjithshëm është marrë në në mosrespektim dhe zbatim të gabuar të ligjit penal dhe konkretisht të nenit 29 dhe 30 të Kodit Penal.</w:t>
      </w:r>
    </w:p>
    <w:p w14:paraId="18478937" w14:textId="303C60FB" w:rsidR="00FE172E" w:rsidRPr="007503A7" w:rsidRDefault="00FE172E" w:rsidP="00473B82">
      <w:pPr>
        <w:pStyle w:val="NormalWeb"/>
        <w:numPr>
          <w:ilvl w:val="0"/>
          <w:numId w:val="11"/>
        </w:numPr>
        <w:ind w:left="360"/>
        <w:jc w:val="both"/>
        <w:rPr>
          <w:bCs/>
          <w:noProof/>
          <w:lang w:val="sq-AL"/>
        </w:rPr>
      </w:pPr>
      <w:r w:rsidRPr="007503A7">
        <w:rPr>
          <w:bCs/>
          <w:noProof/>
          <w:lang w:val="sq-AL"/>
        </w:rPr>
        <w:t xml:space="preserve">Vendimi i Gjykatës së Apelit të Juridiksionit të Përgjithshëm Tiranë vjen në kundërshtim edhe me vendimin </w:t>
      </w:r>
      <w:r w:rsidR="00D82F9A" w:rsidRPr="007503A7">
        <w:rPr>
          <w:bCs/>
          <w:noProof/>
          <w:lang w:val="sq-AL"/>
        </w:rPr>
        <w:t>n</w:t>
      </w:r>
      <w:r w:rsidRPr="007503A7">
        <w:rPr>
          <w:bCs/>
          <w:noProof/>
          <w:lang w:val="sq-AL"/>
        </w:rPr>
        <w:t>r.24</w:t>
      </w:r>
      <w:r w:rsidR="00D82F9A" w:rsidRPr="007503A7">
        <w:rPr>
          <w:bCs/>
          <w:noProof/>
          <w:lang w:val="sq-AL"/>
        </w:rPr>
        <w:t>,</w:t>
      </w:r>
      <w:r w:rsidRPr="007503A7">
        <w:rPr>
          <w:bCs/>
          <w:noProof/>
          <w:lang w:val="sq-AL"/>
        </w:rPr>
        <w:t xml:space="preserve"> datë 27.04.2023</w:t>
      </w:r>
      <w:r w:rsidR="00D82F9A" w:rsidRPr="007503A7">
        <w:rPr>
          <w:bCs/>
          <w:noProof/>
          <w:lang w:val="sq-AL"/>
        </w:rPr>
        <w:t xml:space="preserve"> t</w:t>
      </w:r>
      <w:r w:rsidR="00BA753A" w:rsidRPr="007503A7">
        <w:rPr>
          <w:bCs/>
          <w:noProof/>
          <w:lang w:val="sq-AL"/>
        </w:rPr>
        <w:t>ë</w:t>
      </w:r>
      <w:r w:rsidR="00D82F9A" w:rsidRPr="007503A7">
        <w:rPr>
          <w:bCs/>
          <w:noProof/>
          <w:lang w:val="sq-AL"/>
        </w:rPr>
        <w:t xml:space="preserve"> Gjykatës Kushtetuese</w:t>
      </w:r>
      <w:r w:rsidRPr="007503A7">
        <w:rPr>
          <w:bCs/>
          <w:noProof/>
          <w:lang w:val="sq-AL"/>
        </w:rPr>
        <w:t>.</w:t>
      </w:r>
    </w:p>
    <w:p w14:paraId="0B67B5A3" w14:textId="77777777" w:rsidR="00FE172E" w:rsidRPr="007503A7" w:rsidRDefault="00FE172E" w:rsidP="00473B82">
      <w:pPr>
        <w:pStyle w:val="NormalWeb"/>
        <w:numPr>
          <w:ilvl w:val="0"/>
          <w:numId w:val="11"/>
        </w:numPr>
        <w:ind w:left="360"/>
        <w:jc w:val="both"/>
        <w:rPr>
          <w:bCs/>
          <w:noProof/>
          <w:lang w:val="sq-AL"/>
        </w:rPr>
      </w:pPr>
      <w:r w:rsidRPr="007503A7">
        <w:rPr>
          <w:bCs/>
          <w:noProof/>
          <w:lang w:val="sq-AL"/>
        </w:rPr>
        <w:t>Vendimi i Gjykatës së Apelit të Juridiksionit të Përgjithshëm Tiranë vjen në kundërshtim edhe me praktikën e Gjykatës Europiane të të Drejtave të Njeriut (GJEDNJ).</w:t>
      </w:r>
    </w:p>
    <w:p w14:paraId="093BA2F2" w14:textId="0703C62C" w:rsidR="00FE172E" w:rsidRPr="007503A7" w:rsidRDefault="00D82F9A" w:rsidP="00473B82">
      <w:pPr>
        <w:pStyle w:val="NormalWeb"/>
        <w:numPr>
          <w:ilvl w:val="0"/>
          <w:numId w:val="11"/>
        </w:numPr>
        <w:ind w:left="360"/>
        <w:jc w:val="both"/>
        <w:rPr>
          <w:bCs/>
          <w:noProof/>
          <w:lang w:val="sq-AL"/>
        </w:rPr>
      </w:pPr>
      <w:r w:rsidRPr="007503A7">
        <w:rPr>
          <w:bCs/>
          <w:noProof/>
          <w:lang w:val="sq-AL"/>
        </w:rPr>
        <w:t>M</w:t>
      </w:r>
      <w:r w:rsidR="00FE172E" w:rsidRPr="007503A7">
        <w:rPr>
          <w:bCs/>
          <w:noProof/>
          <w:lang w:val="sq-AL"/>
        </w:rPr>
        <w:t xml:space="preserve">e vendimin </w:t>
      </w:r>
      <w:r w:rsidRPr="007503A7">
        <w:rPr>
          <w:bCs/>
          <w:noProof/>
          <w:lang w:val="sq-AL"/>
        </w:rPr>
        <w:t>n</w:t>
      </w:r>
      <w:r w:rsidR="00FE172E" w:rsidRPr="007503A7">
        <w:rPr>
          <w:bCs/>
          <w:noProof/>
          <w:lang w:val="sq-AL"/>
        </w:rPr>
        <w:t>r.</w:t>
      </w:r>
      <w:r w:rsidRPr="007503A7">
        <w:rPr>
          <w:bCs/>
          <w:noProof/>
          <w:lang w:val="sq-AL"/>
        </w:rPr>
        <w:t xml:space="preserve"> </w:t>
      </w:r>
      <w:r w:rsidR="00FE172E" w:rsidRPr="007503A7">
        <w:rPr>
          <w:bCs/>
          <w:noProof/>
          <w:lang w:val="sq-AL"/>
        </w:rPr>
        <w:t>689</w:t>
      </w:r>
      <w:r w:rsidRPr="007503A7">
        <w:rPr>
          <w:bCs/>
          <w:noProof/>
          <w:lang w:val="sq-AL"/>
        </w:rPr>
        <w:t>,</w:t>
      </w:r>
      <w:r w:rsidR="00FE172E" w:rsidRPr="007503A7">
        <w:rPr>
          <w:bCs/>
          <w:noProof/>
          <w:lang w:val="sq-AL"/>
        </w:rPr>
        <w:t xml:space="preserve"> datë 25.11.2019 të Gjykatës së Rrethit Gjyqësor Tiranë është zgjatur afati i mbikëqyrjes me 3 vjet.</w:t>
      </w:r>
    </w:p>
    <w:p w14:paraId="07D7A215" w14:textId="77777777" w:rsidR="00D82F9A" w:rsidRPr="007503A7" w:rsidRDefault="00D82F9A" w:rsidP="00473B82">
      <w:pPr>
        <w:pStyle w:val="NormalWeb"/>
        <w:numPr>
          <w:ilvl w:val="0"/>
          <w:numId w:val="11"/>
        </w:numPr>
        <w:ind w:left="360"/>
        <w:jc w:val="both"/>
        <w:rPr>
          <w:bCs/>
          <w:noProof/>
          <w:lang w:val="sq-AL"/>
        </w:rPr>
      </w:pPr>
      <w:r w:rsidRPr="007503A7">
        <w:rPr>
          <w:bCs/>
          <w:noProof/>
          <w:lang w:val="sq-AL"/>
        </w:rPr>
        <w:t>P</w:t>
      </w:r>
      <w:r w:rsidR="00FE172E" w:rsidRPr="007503A7">
        <w:rPr>
          <w:bCs/>
          <w:noProof/>
          <w:lang w:val="sq-AL"/>
        </w:rPr>
        <w:t xml:space="preserve">ër këtë zgjatje prej 3 vjetësh me shumë mbikëqyrje, Gjykata e Apelit e Juridiksionit të Përgjithshëm Tiranë, gabon dhe sipas llogaritjeve të saj, shërbimi i provës me mbikëqyrje për shtetasen Evadiola Doko, do të duhej të përfundonte në vitin 2027. </w:t>
      </w:r>
    </w:p>
    <w:p w14:paraId="4FE6C1A7" w14:textId="7548265B" w:rsidR="00FE172E" w:rsidRPr="007503A7" w:rsidRDefault="00D82F9A" w:rsidP="00473B82">
      <w:pPr>
        <w:pStyle w:val="NormalWeb"/>
        <w:numPr>
          <w:ilvl w:val="0"/>
          <w:numId w:val="11"/>
        </w:numPr>
        <w:ind w:left="360"/>
        <w:jc w:val="both"/>
        <w:rPr>
          <w:bCs/>
          <w:noProof/>
          <w:lang w:val="sq-AL"/>
        </w:rPr>
      </w:pPr>
      <w:r w:rsidRPr="007503A7">
        <w:rPr>
          <w:bCs/>
          <w:noProof/>
          <w:lang w:val="sq-AL"/>
        </w:rPr>
        <w:t>K</w:t>
      </w:r>
      <w:r w:rsidR="00FE172E" w:rsidRPr="007503A7">
        <w:rPr>
          <w:bCs/>
          <w:noProof/>
          <w:lang w:val="sq-AL"/>
        </w:rPr>
        <w:t xml:space="preserve">jo nuk është as logjike dhe as llogaritje e saktë aritmetike. </w:t>
      </w:r>
      <w:r w:rsidRPr="007503A7">
        <w:rPr>
          <w:bCs/>
          <w:noProof/>
          <w:lang w:val="sq-AL"/>
        </w:rPr>
        <w:t>S</w:t>
      </w:r>
      <w:r w:rsidR="00FE172E" w:rsidRPr="007503A7">
        <w:rPr>
          <w:bCs/>
          <w:noProof/>
          <w:lang w:val="sq-AL"/>
        </w:rPr>
        <w:t xml:space="preserve">htetasja Evadiola Doko është dënuar në vitin 2017 me shërbim prove me afat mbikëqyrje edhe kontakt me shërbimin e provës prej 5 vjetësh, që do të thotë, shërbimi saj i provës duhej të mbaronte rregullisht në </w:t>
      </w:r>
      <w:r w:rsidR="00FE172E" w:rsidRPr="007503A7">
        <w:rPr>
          <w:bCs/>
          <w:noProof/>
          <w:lang w:val="sq-AL"/>
        </w:rPr>
        <w:lastRenderedPageBreak/>
        <w:t xml:space="preserve">vitin 2022, pra 1 vit më herët se sa të jepej </w:t>
      </w:r>
      <w:r w:rsidRPr="007503A7">
        <w:rPr>
          <w:bCs/>
          <w:noProof/>
          <w:lang w:val="sq-AL"/>
        </w:rPr>
        <w:t>v</w:t>
      </w:r>
      <w:r w:rsidR="00FE172E" w:rsidRPr="007503A7">
        <w:rPr>
          <w:bCs/>
          <w:noProof/>
          <w:lang w:val="sq-AL"/>
        </w:rPr>
        <w:t xml:space="preserve">endimi </w:t>
      </w:r>
      <w:r w:rsidRPr="007503A7">
        <w:rPr>
          <w:bCs/>
          <w:noProof/>
          <w:lang w:val="sq-AL"/>
        </w:rPr>
        <w:t>n</w:t>
      </w:r>
      <w:r w:rsidR="00FE172E" w:rsidRPr="007503A7">
        <w:rPr>
          <w:bCs/>
          <w:noProof/>
          <w:lang w:val="sq-AL"/>
        </w:rPr>
        <w:t>r.</w:t>
      </w:r>
      <w:r w:rsidRPr="007503A7">
        <w:rPr>
          <w:bCs/>
          <w:noProof/>
          <w:lang w:val="sq-AL"/>
        </w:rPr>
        <w:t xml:space="preserve"> </w:t>
      </w:r>
      <w:r w:rsidR="00FE172E" w:rsidRPr="007503A7">
        <w:rPr>
          <w:bCs/>
          <w:noProof/>
          <w:lang w:val="sq-AL"/>
        </w:rPr>
        <w:t>00-2023-79</w:t>
      </w:r>
      <w:r w:rsidRPr="007503A7">
        <w:rPr>
          <w:bCs/>
          <w:noProof/>
          <w:lang w:val="sq-AL"/>
        </w:rPr>
        <w:t>,</w:t>
      </w:r>
      <w:r w:rsidR="00FE172E" w:rsidRPr="007503A7">
        <w:rPr>
          <w:bCs/>
          <w:noProof/>
          <w:lang w:val="sq-AL"/>
        </w:rPr>
        <w:t xml:space="preserve"> datë 17.01.2023 i Kolegjit Penal të Gjykatës së Lartë.</w:t>
      </w:r>
    </w:p>
    <w:p w14:paraId="62A01628" w14:textId="5BC594D9" w:rsidR="00FE172E" w:rsidRPr="007503A7" w:rsidRDefault="00FE172E" w:rsidP="00473B82">
      <w:pPr>
        <w:pStyle w:val="NormalWeb"/>
        <w:numPr>
          <w:ilvl w:val="0"/>
          <w:numId w:val="11"/>
        </w:numPr>
        <w:ind w:left="360"/>
        <w:jc w:val="both"/>
        <w:rPr>
          <w:bCs/>
          <w:noProof/>
          <w:lang w:val="sq-AL"/>
        </w:rPr>
      </w:pPr>
      <w:r w:rsidRPr="007503A7">
        <w:rPr>
          <w:bCs/>
          <w:noProof/>
          <w:lang w:val="sq-AL"/>
        </w:rPr>
        <w:t xml:space="preserve">Gjykata e Apelit gabon totalisht kur </w:t>
      </w:r>
      <w:r w:rsidR="00D82F9A" w:rsidRPr="007503A7">
        <w:rPr>
          <w:bCs/>
          <w:noProof/>
          <w:lang w:val="sq-AL"/>
        </w:rPr>
        <w:t>arsyeton</w:t>
      </w:r>
      <w:r w:rsidRPr="007503A7">
        <w:rPr>
          <w:bCs/>
          <w:noProof/>
          <w:lang w:val="sq-AL"/>
        </w:rPr>
        <w:t xml:space="preserve"> se shërbimi i provës duhej të mbaronte në vitin 2027, pasi edhe me zgjatjen e afatit prej 3 vjetësh që i është bërë nga Gjykata e Tiranës ky afat maksimalisht do të shkonte deri në vitin 2025, pikërisht në vitin kur Gjykata e Apelit me vendimin </w:t>
      </w:r>
      <w:r w:rsidR="00D82F9A" w:rsidRPr="007503A7">
        <w:rPr>
          <w:bCs/>
          <w:noProof/>
          <w:lang w:val="sq-AL"/>
        </w:rPr>
        <w:t>objekt rekursi</w:t>
      </w:r>
      <w:r w:rsidRPr="007503A7">
        <w:rPr>
          <w:bCs/>
          <w:noProof/>
          <w:lang w:val="sq-AL"/>
        </w:rPr>
        <w:t xml:space="preserve"> vendosi të kthejë shtetasen Evadiola Doko nga shërbimi i provës, i ezauruar tashmë, në vuajtje dënimi me burg.</w:t>
      </w:r>
    </w:p>
    <w:p w14:paraId="327EEB5A" w14:textId="0D092531" w:rsidR="00FE172E" w:rsidRPr="007503A7" w:rsidRDefault="00D82F9A" w:rsidP="00473B82">
      <w:pPr>
        <w:pStyle w:val="NormalWeb"/>
        <w:numPr>
          <w:ilvl w:val="0"/>
          <w:numId w:val="11"/>
        </w:numPr>
        <w:ind w:left="360"/>
        <w:jc w:val="both"/>
        <w:rPr>
          <w:bCs/>
          <w:noProof/>
          <w:lang w:val="sq-AL"/>
        </w:rPr>
      </w:pPr>
      <w:r w:rsidRPr="007503A7">
        <w:rPr>
          <w:bCs/>
          <w:noProof/>
          <w:lang w:val="sq-AL"/>
        </w:rPr>
        <w:t>A</w:t>
      </w:r>
      <w:r w:rsidR="00FE172E" w:rsidRPr="007503A7">
        <w:rPr>
          <w:bCs/>
          <w:noProof/>
          <w:lang w:val="sq-AL"/>
        </w:rPr>
        <w:t xml:space="preserve">fati i shërbimit të provës ka mbaruar në vitin 2025 dhe jo në 2027 siç </w:t>
      </w:r>
      <w:r w:rsidRPr="007503A7">
        <w:rPr>
          <w:bCs/>
          <w:noProof/>
          <w:lang w:val="sq-AL"/>
        </w:rPr>
        <w:t>konkludon</w:t>
      </w:r>
      <w:r w:rsidR="00FE172E" w:rsidRPr="007503A7">
        <w:rPr>
          <w:bCs/>
          <w:noProof/>
          <w:lang w:val="sq-AL"/>
        </w:rPr>
        <w:t xml:space="preserve"> Gjykata e Apelit në vendimin </w:t>
      </w:r>
      <w:r w:rsidRPr="007503A7">
        <w:rPr>
          <w:bCs/>
          <w:noProof/>
          <w:lang w:val="sq-AL"/>
        </w:rPr>
        <w:t>objekt</w:t>
      </w:r>
      <w:r w:rsidR="00FE172E" w:rsidRPr="007503A7">
        <w:rPr>
          <w:bCs/>
          <w:noProof/>
          <w:lang w:val="sq-AL"/>
        </w:rPr>
        <w:t>j rekursi.</w:t>
      </w:r>
    </w:p>
    <w:p w14:paraId="4A17A7F9" w14:textId="17A049F0" w:rsidR="00FE172E" w:rsidRPr="007503A7" w:rsidRDefault="00FE172E" w:rsidP="00473B82">
      <w:pPr>
        <w:pStyle w:val="NormalWeb"/>
        <w:numPr>
          <w:ilvl w:val="0"/>
          <w:numId w:val="11"/>
        </w:numPr>
        <w:ind w:left="360"/>
        <w:jc w:val="both"/>
        <w:rPr>
          <w:bCs/>
          <w:noProof/>
          <w:lang w:val="sq-AL"/>
        </w:rPr>
      </w:pPr>
      <w:r w:rsidRPr="007503A7">
        <w:rPr>
          <w:bCs/>
          <w:noProof/>
          <w:lang w:val="sq-AL"/>
        </w:rPr>
        <w:t>Është fakt i padiskutueshëm tashmë që shtetasja Evadiola Doko ka filluar shërbimin e provës në vitin 2017 dhe, s’ka se si ky afat shërbim prove, të zgjasë për 10 vjet rresht për të, pafundësisht deri sa Gjykata e Apelit ta kthejë më pas edhe të vuajë dënimin në I</w:t>
      </w:r>
      <w:r w:rsidR="00D82F9A" w:rsidRPr="007503A7">
        <w:rPr>
          <w:bCs/>
          <w:noProof/>
          <w:lang w:val="sq-AL"/>
        </w:rPr>
        <w:t>EVP.</w:t>
      </w:r>
    </w:p>
    <w:p w14:paraId="0893D1DA" w14:textId="77777777" w:rsidR="00FE172E" w:rsidRPr="007503A7" w:rsidRDefault="00FE172E" w:rsidP="00473B82">
      <w:pPr>
        <w:pStyle w:val="NormalWeb"/>
        <w:numPr>
          <w:ilvl w:val="0"/>
          <w:numId w:val="11"/>
        </w:numPr>
        <w:ind w:left="360"/>
        <w:jc w:val="both"/>
        <w:rPr>
          <w:bCs/>
          <w:noProof/>
          <w:lang w:val="sq-AL"/>
        </w:rPr>
      </w:pPr>
      <w:r w:rsidRPr="007503A7">
        <w:rPr>
          <w:bCs/>
          <w:noProof/>
          <w:lang w:val="sq-AL"/>
        </w:rPr>
        <w:t>A mundet të dënohet një person dy herë me dy dënime kryesore për të njëjtën vepër penale ? A është ky mosrespektim dhe zbatim i gabuar i nenit 29 dhe 30 të Kodit Penal?</w:t>
      </w:r>
    </w:p>
    <w:p w14:paraId="29E65C3B" w14:textId="7B413222" w:rsidR="00FE172E" w:rsidRPr="007503A7" w:rsidRDefault="00FE172E" w:rsidP="00473B82">
      <w:pPr>
        <w:pStyle w:val="NormalWeb"/>
        <w:numPr>
          <w:ilvl w:val="0"/>
          <w:numId w:val="11"/>
        </w:numPr>
        <w:ind w:left="360"/>
        <w:jc w:val="both"/>
        <w:rPr>
          <w:bCs/>
          <w:noProof/>
          <w:lang w:val="sq-AL"/>
        </w:rPr>
      </w:pPr>
      <w:r w:rsidRPr="007503A7">
        <w:rPr>
          <w:bCs/>
          <w:noProof/>
          <w:lang w:val="sq-AL"/>
        </w:rPr>
        <w:t>Në kuptim të nenit 29 dhe 30 të Kodit Penal për të pandehurin ka një dënim kryesor dhe sipas rastit mund të ketë një ose disa dënime plotësuese, por kurrsesi nuk mund të ketë për të njëjtin fakt dy dënime kryesore si në rastin tonë kur gjykata e dënon me dënim alternativ dhe pas 8 viteve nga dënimi alternativ që është kryesor si dënim edhe pse i ezauruar tashmë gjykata i jep një dënim tjetër kryesor, dënimin me burgim.</w:t>
      </w:r>
    </w:p>
    <w:p w14:paraId="59A7307B" w14:textId="77777777" w:rsidR="00D82F9A" w:rsidRPr="007503A7" w:rsidRDefault="00FE172E" w:rsidP="00473B82">
      <w:pPr>
        <w:pStyle w:val="NormalWeb"/>
        <w:numPr>
          <w:ilvl w:val="0"/>
          <w:numId w:val="11"/>
        </w:numPr>
        <w:ind w:left="360"/>
        <w:jc w:val="both"/>
        <w:rPr>
          <w:bCs/>
          <w:noProof/>
          <w:lang w:val="sq-AL"/>
        </w:rPr>
      </w:pPr>
      <w:r w:rsidRPr="007503A7">
        <w:rPr>
          <w:bCs/>
          <w:noProof/>
          <w:lang w:val="sq-AL"/>
        </w:rPr>
        <w:t xml:space="preserve">Shtetasja Evadiola Doko e ka kryer dënimin e saj alternativ të dhënë nga Gjykata e Apelit Vlorë në vitin 2017, dhe që nga ky vit deri në vitin 2025 ajo e ka kryer plotësisht 5 vjet mbikëqyrje dhe shërbim prove sipas vendimit të Gjykatës Apelit Vlorë të vitit 2017, plus dhe 3 vjet zgjatje afat mbikëqyrje që i është bërë nga Gjykata e Tiranës. </w:t>
      </w:r>
    </w:p>
    <w:p w14:paraId="056D1A94" w14:textId="63EDDEDC" w:rsidR="00FE172E" w:rsidRPr="007503A7" w:rsidRDefault="00D82F9A" w:rsidP="00473B82">
      <w:pPr>
        <w:pStyle w:val="NormalWeb"/>
        <w:numPr>
          <w:ilvl w:val="0"/>
          <w:numId w:val="11"/>
        </w:numPr>
        <w:ind w:left="360"/>
        <w:jc w:val="both"/>
        <w:rPr>
          <w:bCs/>
          <w:noProof/>
          <w:lang w:val="sq-AL"/>
        </w:rPr>
      </w:pPr>
      <w:r w:rsidRPr="007503A7">
        <w:rPr>
          <w:bCs/>
          <w:noProof/>
          <w:lang w:val="sq-AL"/>
        </w:rPr>
        <w:t>N</w:t>
      </w:r>
      <w:r w:rsidR="00FE172E" w:rsidRPr="007503A7">
        <w:rPr>
          <w:bCs/>
          <w:noProof/>
          <w:lang w:val="sq-AL"/>
        </w:rPr>
        <w:t xml:space="preserve">ë total ajo ka kryer prej vitit 2017, 8 (tetë) vjet shërbim prove, një kohë kjo ekstrem e gjatë. </w:t>
      </w:r>
    </w:p>
    <w:p w14:paraId="45A15CC2" w14:textId="0C2934CB" w:rsidR="00FE172E" w:rsidRPr="007503A7" w:rsidRDefault="00D82F9A" w:rsidP="00473B82">
      <w:pPr>
        <w:pStyle w:val="NormalWeb"/>
        <w:numPr>
          <w:ilvl w:val="0"/>
          <w:numId w:val="11"/>
        </w:numPr>
        <w:ind w:left="360"/>
        <w:jc w:val="both"/>
        <w:rPr>
          <w:bCs/>
          <w:noProof/>
          <w:lang w:val="sq-AL"/>
        </w:rPr>
      </w:pPr>
      <w:r w:rsidRPr="007503A7">
        <w:rPr>
          <w:bCs/>
          <w:noProof/>
          <w:lang w:val="sq-AL"/>
        </w:rPr>
        <w:t>E</w:t>
      </w:r>
      <w:r w:rsidR="00FE172E" w:rsidRPr="007503A7">
        <w:rPr>
          <w:bCs/>
          <w:noProof/>
          <w:lang w:val="sq-AL"/>
        </w:rPr>
        <w:t xml:space="preserve">dhe nëse do të ishte e saktë aritmetika në vendimin </w:t>
      </w:r>
      <w:r w:rsidRPr="007503A7">
        <w:rPr>
          <w:bCs/>
          <w:noProof/>
          <w:lang w:val="sq-AL"/>
        </w:rPr>
        <w:t>objekt rekursi</w:t>
      </w:r>
      <w:r w:rsidR="00FE172E" w:rsidRPr="007503A7">
        <w:rPr>
          <w:bCs/>
          <w:noProof/>
          <w:lang w:val="sq-AL"/>
        </w:rPr>
        <w:t xml:space="preserve">, </w:t>
      </w:r>
      <w:r w:rsidRPr="007503A7">
        <w:rPr>
          <w:bCs/>
          <w:noProof/>
          <w:lang w:val="sq-AL"/>
        </w:rPr>
        <w:t>nuk mundet gjykata q</w:t>
      </w:r>
      <w:r w:rsidR="00BA753A" w:rsidRPr="007503A7">
        <w:rPr>
          <w:bCs/>
          <w:noProof/>
          <w:lang w:val="sq-AL"/>
        </w:rPr>
        <w:t>ë</w:t>
      </w:r>
      <w:r w:rsidR="00FE172E" w:rsidRPr="007503A7">
        <w:rPr>
          <w:bCs/>
          <w:noProof/>
          <w:lang w:val="sq-AL"/>
        </w:rPr>
        <w:t xml:space="preserve"> për një person që ka kryer 8 vjet mbikëqyrje shërbim prove të kthejë sërish atë të vuajë dënimin në </w:t>
      </w:r>
      <w:r w:rsidRPr="007503A7">
        <w:rPr>
          <w:bCs/>
          <w:noProof/>
          <w:lang w:val="sq-AL"/>
        </w:rPr>
        <w:t>burg,</w:t>
      </w:r>
      <w:r w:rsidR="00FE172E" w:rsidRPr="007503A7">
        <w:rPr>
          <w:bCs/>
          <w:noProof/>
          <w:lang w:val="sq-AL"/>
        </w:rPr>
        <w:t xml:space="preserve"> duke ja zeruar të gjithë periudhën 8 vjeçare të shërbimit të provës të kryer prej saj</w:t>
      </w:r>
      <w:r w:rsidRPr="007503A7">
        <w:rPr>
          <w:bCs/>
          <w:noProof/>
          <w:lang w:val="sq-AL"/>
        </w:rPr>
        <w:t>.</w:t>
      </w:r>
    </w:p>
    <w:p w14:paraId="5A7052C5" w14:textId="1BADBAC1" w:rsidR="00FE172E" w:rsidRPr="007503A7" w:rsidRDefault="00FE172E" w:rsidP="00473B82">
      <w:pPr>
        <w:pStyle w:val="NormalWeb"/>
        <w:numPr>
          <w:ilvl w:val="0"/>
          <w:numId w:val="11"/>
        </w:numPr>
        <w:ind w:left="360"/>
        <w:jc w:val="both"/>
        <w:rPr>
          <w:bCs/>
          <w:noProof/>
          <w:lang w:val="sq-AL"/>
        </w:rPr>
      </w:pPr>
      <w:r w:rsidRPr="007503A7">
        <w:rPr>
          <w:bCs/>
          <w:noProof/>
          <w:lang w:val="sq-AL"/>
        </w:rPr>
        <w:t xml:space="preserve">Në rastin tonë konkret, sipas vendimit </w:t>
      </w:r>
      <w:r w:rsidR="00D82F9A" w:rsidRPr="007503A7">
        <w:rPr>
          <w:bCs/>
          <w:noProof/>
          <w:lang w:val="sq-AL"/>
        </w:rPr>
        <w:t xml:space="preserve">nr. 301, datë 27.05.2017 </w:t>
      </w:r>
      <w:r w:rsidRPr="007503A7">
        <w:rPr>
          <w:bCs/>
          <w:noProof/>
          <w:lang w:val="sq-AL"/>
        </w:rPr>
        <w:t>të Gjykatës së Apelit Vlorë, i vetmi detyrim i vënë ndaj shtetases Doko është mbajtja e kontakteve me shërbimin e provës.</w:t>
      </w:r>
    </w:p>
    <w:p w14:paraId="222436AB" w14:textId="3F4D727B" w:rsidR="00FE172E" w:rsidRPr="007503A7" w:rsidRDefault="00FE172E" w:rsidP="00473B82">
      <w:pPr>
        <w:pStyle w:val="NormalWeb"/>
        <w:numPr>
          <w:ilvl w:val="0"/>
          <w:numId w:val="11"/>
        </w:numPr>
        <w:ind w:left="360"/>
        <w:jc w:val="both"/>
        <w:rPr>
          <w:bCs/>
          <w:noProof/>
          <w:lang w:val="sq-AL"/>
        </w:rPr>
      </w:pPr>
      <w:r w:rsidRPr="007503A7">
        <w:rPr>
          <w:bCs/>
          <w:noProof/>
          <w:lang w:val="sq-AL"/>
        </w:rPr>
        <w:t xml:space="preserve">Gjatë gjykimit u provua që ajo i kishte humbur kontaktet me shërbimin e provës dhe për këtë arsye me kërkesë të prokurorisë, </w:t>
      </w:r>
      <w:r w:rsidR="00D82F9A" w:rsidRPr="007503A7">
        <w:rPr>
          <w:bCs/>
          <w:noProof/>
          <w:lang w:val="sq-AL"/>
        </w:rPr>
        <w:t>gjykata me vendimin</w:t>
      </w:r>
      <w:r w:rsidRPr="007503A7">
        <w:rPr>
          <w:bCs/>
          <w:noProof/>
          <w:lang w:val="sq-AL"/>
        </w:rPr>
        <w:t xml:space="preserve"> </w:t>
      </w:r>
      <w:r w:rsidR="00D82F9A" w:rsidRPr="007503A7">
        <w:rPr>
          <w:bCs/>
          <w:noProof/>
          <w:lang w:val="sq-AL"/>
        </w:rPr>
        <w:t>n</w:t>
      </w:r>
      <w:r w:rsidRPr="007503A7">
        <w:rPr>
          <w:bCs/>
          <w:noProof/>
          <w:lang w:val="sq-AL"/>
        </w:rPr>
        <w:t>r.</w:t>
      </w:r>
      <w:r w:rsidR="00D82F9A" w:rsidRPr="007503A7">
        <w:rPr>
          <w:bCs/>
          <w:noProof/>
          <w:lang w:val="sq-AL"/>
        </w:rPr>
        <w:t xml:space="preserve"> </w:t>
      </w:r>
      <w:r w:rsidRPr="007503A7">
        <w:rPr>
          <w:bCs/>
          <w:noProof/>
          <w:lang w:val="sq-AL"/>
        </w:rPr>
        <w:t>689</w:t>
      </w:r>
      <w:r w:rsidR="00D82F9A" w:rsidRPr="007503A7">
        <w:rPr>
          <w:bCs/>
          <w:noProof/>
          <w:lang w:val="sq-AL"/>
        </w:rPr>
        <w:t>,</w:t>
      </w:r>
      <w:r w:rsidRPr="007503A7">
        <w:rPr>
          <w:bCs/>
          <w:noProof/>
          <w:lang w:val="sq-AL"/>
        </w:rPr>
        <w:t xml:space="preserve"> datë 25.11.2019 i ka zgjatur afatin e periudhës së mbikëqyrjes me 3 vjet</w:t>
      </w:r>
      <w:r w:rsidR="00D82F9A" w:rsidRPr="007503A7">
        <w:rPr>
          <w:bCs/>
          <w:noProof/>
          <w:lang w:val="sq-AL"/>
        </w:rPr>
        <w:t>. Sipas informacionit t</w:t>
      </w:r>
      <w:r w:rsidR="00BA753A" w:rsidRPr="007503A7">
        <w:rPr>
          <w:bCs/>
          <w:noProof/>
          <w:lang w:val="sq-AL"/>
        </w:rPr>
        <w:t>ë</w:t>
      </w:r>
      <w:r w:rsidR="00D82F9A" w:rsidRPr="007503A7">
        <w:rPr>
          <w:bCs/>
          <w:noProof/>
          <w:lang w:val="sq-AL"/>
        </w:rPr>
        <w:t xml:space="preserve"> Sh</w:t>
      </w:r>
      <w:r w:rsidR="00BA753A" w:rsidRPr="007503A7">
        <w:rPr>
          <w:bCs/>
          <w:noProof/>
          <w:lang w:val="sq-AL"/>
        </w:rPr>
        <w:t>ë</w:t>
      </w:r>
      <w:r w:rsidR="00D82F9A" w:rsidRPr="007503A7">
        <w:rPr>
          <w:bCs/>
          <w:noProof/>
          <w:lang w:val="sq-AL"/>
        </w:rPr>
        <w:t>rbimit t</w:t>
      </w:r>
      <w:r w:rsidR="00BA753A" w:rsidRPr="007503A7">
        <w:rPr>
          <w:bCs/>
          <w:noProof/>
          <w:lang w:val="sq-AL"/>
        </w:rPr>
        <w:t>ë</w:t>
      </w:r>
      <w:r w:rsidR="00D82F9A" w:rsidRPr="007503A7">
        <w:rPr>
          <w:bCs/>
          <w:noProof/>
          <w:lang w:val="sq-AL"/>
        </w:rPr>
        <w:t xml:space="preserve"> Prov</w:t>
      </w:r>
      <w:r w:rsidR="00BA753A" w:rsidRPr="007503A7">
        <w:rPr>
          <w:bCs/>
          <w:noProof/>
          <w:lang w:val="sq-AL"/>
        </w:rPr>
        <w:t>ë</w:t>
      </w:r>
      <w:r w:rsidR="00D82F9A" w:rsidRPr="007503A7">
        <w:rPr>
          <w:bCs/>
          <w:noProof/>
          <w:lang w:val="sq-AL"/>
        </w:rPr>
        <w:t>s Tiran</w:t>
      </w:r>
      <w:r w:rsidR="00BA753A" w:rsidRPr="007503A7">
        <w:rPr>
          <w:bCs/>
          <w:noProof/>
          <w:lang w:val="sq-AL"/>
        </w:rPr>
        <w:t>ë</w:t>
      </w:r>
      <w:r w:rsidR="00D82F9A" w:rsidRPr="007503A7">
        <w:rPr>
          <w:bCs/>
          <w:noProof/>
          <w:lang w:val="sq-AL"/>
        </w:rPr>
        <w:t xml:space="preserve"> </w:t>
      </w:r>
      <w:r w:rsidRPr="007503A7">
        <w:rPr>
          <w:bCs/>
          <w:noProof/>
          <w:lang w:val="sq-AL"/>
        </w:rPr>
        <w:t xml:space="preserve"> </w:t>
      </w:r>
      <w:r w:rsidR="00F35854" w:rsidRPr="007503A7">
        <w:rPr>
          <w:bCs/>
          <w:noProof/>
          <w:lang w:val="sq-AL"/>
        </w:rPr>
        <w:t xml:space="preserve">drejtuar prokurorit </w:t>
      </w:r>
      <w:r w:rsidR="00BA753A" w:rsidRPr="007503A7">
        <w:rPr>
          <w:bCs/>
          <w:noProof/>
          <w:lang w:val="sq-AL"/>
        </w:rPr>
        <w:t>ë</w:t>
      </w:r>
      <w:r w:rsidR="00F35854" w:rsidRPr="007503A7">
        <w:rPr>
          <w:bCs/>
          <w:noProof/>
          <w:lang w:val="sq-AL"/>
        </w:rPr>
        <w:t>sht</w:t>
      </w:r>
      <w:r w:rsidR="00BA753A" w:rsidRPr="007503A7">
        <w:rPr>
          <w:bCs/>
          <w:noProof/>
          <w:lang w:val="sq-AL"/>
        </w:rPr>
        <w:t>ë</w:t>
      </w:r>
      <w:r w:rsidR="00F35854" w:rsidRPr="007503A7">
        <w:rPr>
          <w:bCs/>
          <w:noProof/>
          <w:lang w:val="sq-AL"/>
        </w:rPr>
        <w:t xml:space="preserve"> vler</w:t>
      </w:r>
      <w:r w:rsidR="00BA753A" w:rsidRPr="007503A7">
        <w:rPr>
          <w:bCs/>
          <w:noProof/>
          <w:lang w:val="sq-AL"/>
        </w:rPr>
        <w:t>ë</w:t>
      </w:r>
      <w:r w:rsidR="00F35854" w:rsidRPr="007503A7">
        <w:rPr>
          <w:bCs/>
          <w:noProof/>
          <w:lang w:val="sq-AL"/>
        </w:rPr>
        <w:t xml:space="preserve">suar </w:t>
      </w:r>
      <w:r w:rsidRPr="007503A7">
        <w:rPr>
          <w:bCs/>
          <w:noProof/>
          <w:lang w:val="sq-AL"/>
        </w:rPr>
        <w:t>se periudha gjatë së cilës janë ndërprerë kontaktet me shërbimin e provës janë 1 vit e 11 muaj e 2 ditë</w:t>
      </w:r>
      <w:r w:rsidR="00F35854" w:rsidRPr="007503A7">
        <w:rPr>
          <w:bCs/>
          <w:noProof/>
          <w:lang w:val="sq-AL"/>
        </w:rPr>
        <w:t>; kjo periudh</w:t>
      </w:r>
      <w:r w:rsidR="00BA753A" w:rsidRPr="007503A7">
        <w:rPr>
          <w:bCs/>
          <w:noProof/>
          <w:lang w:val="sq-AL"/>
        </w:rPr>
        <w:t>ë</w:t>
      </w:r>
      <w:r w:rsidRPr="007503A7">
        <w:rPr>
          <w:bCs/>
          <w:noProof/>
          <w:lang w:val="sq-AL"/>
        </w:rPr>
        <w:t xml:space="preserve"> do t’i bashkohet periudhës së pavuajtur të shërbimit të provës si dhe periudhës prej 3 viteve sipas zgjatjes me vendimin </w:t>
      </w:r>
      <w:r w:rsidR="00F35854" w:rsidRPr="007503A7">
        <w:rPr>
          <w:bCs/>
          <w:noProof/>
          <w:lang w:val="sq-AL"/>
        </w:rPr>
        <w:t>n</w:t>
      </w:r>
      <w:r w:rsidRPr="007503A7">
        <w:rPr>
          <w:bCs/>
          <w:noProof/>
          <w:lang w:val="sq-AL"/>
        </w:rPr>
        <w:t xml:space="preserve">r.689 të Gjykatës së Tiranës dhe bazuar në këto të dhëna periudha e provës për shtetasen Evadiola Doko përfundon sipas tyre në 27.03.2027. Pikërisht te kjo llogaritje ka gabuar Gjykata e Apelit në vendimin </w:t>
      </w:r>
      <w:r w:rsidR="00F35854" w:rsidRPr="007503A7">
        <w:rPr>
          <w:bCs/>
          <w:noProof/>
          <w:lang w:val="sq-AL"/>
        </w:rPr>
        <w:t>objekt rekursi</w:t>
      </w:r>
      <w:r w:rsidRPr="007503A7">
        <w:rPr>
          <w:bCs/>
          <w:noProof/>
          <w:lang w:val="sq-AL"/>
        </w:rPr>
        <w:t>.</w:t>
      </w:r>
    </w:p>
    <w:p w14:paraId="33DBA651" w14:textId="77777777" w:rsidR="00F35854" w:rsidRPr="007503A7" w:rsidRDefault="00FE172E" w:rsidP="00473B82">
      <w:pPr>
        <w:pStyle w:val="NormalWeb"/>
        <w:numPr>
          <w:ilvl w:val="0"/>
          <w:numId w:val="11"/>
        </w:numPr>
        <w:ind w:left="360"/>
        <w:jc w:val="both"/>
        <w:rPr>
          <w:bCs/>
          <w:noProof/>
          <w:lang w:val="sq-AL"/>
        </w:rPr>
      </w:pPr>
      <w:r w:rsidRPr="007503A7">
        <w:rPr>
          <w:bCs/>
          <w:noProof/>
          <w:lang w:val="sq-AL"/>
        </w:rPr>
        <w:t>Në kuptim të paragrafit të pestë të nenit 59 të Kodit Penal</w:t>
      </w:r>
      <w:r w:rsidR="00F35854" w:rsidRPr="007503A7">
        <w:rPr>
          <w:bCs/>
          <w:noProof/>
          <w:lang w:val="sq-AL"/>
        </w:rPr>
        <w:t xml:space="preserve"> zgjatja</w:t>
      </w:r>
      <w:r w:rsidRPr="007503A7">
        <w:rPr>
          <w:bCs/>
          <w:noProof/>
          <w:lang w:val="sq-AL"/>
        </w:rPr>
        <w:t xml:space="preserve"> e afatit të mbikëqyrjes duhet të jetë brenda periudhës së provës</w:t>
      </w:r>
      <w:r w:rsidR="00F35854" w:rsidRPr="007503A7">
        <w:rPr>
          <w:bCs/>
          <w:noProof/>
          <w:lang w:val="sq-AL"/>
        </w:rPr>
        <w:t>.</w:t>
      </w:r>
    </w:p>
    <w:p w14:paraId="62521590" w14:textId="14774AE8" w:rsidR="00FE172E" w:rsidRPr="007503A7" w:rsidRDefault="00F35854" w:rsidP="00473B82">
      <w:pPr>
        <w:pStyle w:val="NormalWeb"/>
        <w:numPr>
          <w:ilvl w:val="0"/>
          <w:numId w:val="11"/>
        </w:numPr>
        <w:ind w:left="360"/>
        <w:jc w:val="both"/>
        <w:rPr>
          <w:bCs/>
          <w:noProof/>
          <w:lang w:val="sq-AL"/>
        </w:rPr>
      </w:pPr>
      <w:r w:rsidRPr="007503A7">
        <w:rPr>
          <w:bCs/>
          <w:noProof/>
          <w:lang w:val="sq-AL"/>
        </w:rPr>
        <w:t>S</w:t>
      </w:r>
      <w:r w:rsidR="00FE172E" w:rsidRPr="007503A7">
        <w:rPr>
          <w:bCs/>
          <w:noProof/>
          <w:lang w:val="sq-AL"/>
        </w:rPr>
        <w:t>htetasja Evadiola Doko është dënuar me dënim alternativ kontakt me shërbimin e provës për 5 vjet</w:t>
      </w:r>
      <w:r w:rsidRPr="007503A7">
        <w:rPr>
          <w:bCs/>
          <w:noProof/>
          <w:lang w:val="sq-AL"/>
        </w:rPr>
        <w:t>. E</w:t>
      </w:r>
      <w:r w:rsidR="00FE172E" w:rsidRPr="007503A7">
        <w:rPr>
          <w:bCs/>
          <w:noProof/>
          <w:lang w:val="sq-AL"/>
        </w:rPr>
        <w:t>dhe zgjatja prej 3 vitesh që i është bërë duhet të jetë brenda limiteve prej 5 viteve kohë kontakt me shërbimin e provës, pra brenda periudhës 5 vjet efektive kontakte me shërbimin e provës dhe jo bashkim aritmetik 5 vjet + 3 vjet zgjatje + 1 vit e 11 muaj e 2 ditë që të mbledhura së bashku bëjnë vitin 2027</w:t>
      </w:r>
      <w:r w:rsidRPr="007503A7">
        <w:rPr>
          <w:bCs/>
          <w:noProof/>
          <w:lang w:val="sq-AL"/>
        </w:rPr>
        <w:t>,</w:t>
      </w:r>
      <w:r w:rsidR="00FE172E" w:rsidRPr="007503A7">
        <w:rPr>
          <w:bCs/>
          <w:noProof/>
          <w:lang w:val="sq-AL"/>
        </w:rPr>
        <w:t xml:space="preserve"> ashtu siç gabimisht llogarit Gjykata e Apelit.</w:t>
      </w:r>
    </w:p>
    <w:p w14:paraId="02120E2E" w14:textId="77777777" w:rsidR="00FE172E" w:rsidRPr="007503A7" w:rsidRDefault="00FE172E" w:rsidP="00473B82">
      <w:pPr>
        <w:pStyle w:val="NormalWeb"/>
        <w:numPr>
          <w:ilvl w:val="0"/>
          <w:numId w:val="11"/>
        </w:numPr>
        <w:ind w:left="360"/>
        <w:jc w:val="both"/>
        <w:rPr>
          <w:bCs/>
          <w:noProof/>
          <w:lang w:val="sq-AL"/>
        </w:rPr>
      </w:pPr>
      <w:r w:rsidRPr="007503A7">
        <w:rPr>
          <w:bCs/>
          <w:noProof/>
          <w:lang w:val="sq-AL"/>
        </w:rPr>
        <w:lastRenderedPageBreak/>
        <w:t>Në kuptim të paragrafit të pestë në nenit 59 të Kodit Penal zgjatjet janë për efekt të mosmbajtjes së kontakteve dhe këto zgjatje afati synojnë që koha efektive e kontakteve me shërbimin e provës duhet të jetë 5 vjet, dhe për këtë arsye legjislatori ka përdorur shprehjen " brenda periudhës së provës". Dhe në këtë kuptim, në interpretim të nenit 59 paragrafi i pestë, shërbimi i provës së shtetases Evadiola Doko mbaron ose më saktë ka mbaruar që në vitin 2023.</w:t>
      </w:r>
    </w:p>
    <w:p w14:paraId="09B6BE86" w14:textId="5FB680A6" w:rsidR="00FE172E" w:rsidRPr="007503A7" w:rsidRDefault="00F35854" w:rsidP="00473B82">
      <w:pPr>
        <w:pStyle w:val="NormalWeb"/>
        <w:numPr>
          <w:ilvl w:val="0"/>
          <w:numId w:val="11"/>
        </w:numPr>
        <w:ind w:left="360"/>
        <w:jc w:val="both"/>
        <w:rPr>
          <w:bCs/>
          <w:noProof/>
          <w:lang w:val="sq-AL"/>
        </w:rPr>
      </w:pPr>
      <w:r w:rsidRPr="007503A7">
        <w:rPr>
          <w:bCs/>
          <w:noProof/>
          <w:lang w:val="sq-AL"/>
        </w:rPr>
        <w:t>E</w:t>
      </w:r>
      <w:r w:rsidR="00FE172E" w:rsidRPr="007503A7">
        <w:rPr>
          <w:bCs/>
          <w:noProof/>
          <w:lang w:val="sq-AL"/>
        </w:rPr>
        <w:t>dhe nëse ai nuk ka mbaruar totalisht, definitivisht në muaj apo ditë të sakta apo nëse kësaj shtetaseje i kanë mbetur pa vuajtur nga dënimi alternativ sipas neni 59 të Kodit Penal 4 apo 5 muaj, kjo nuk do të thotë që për këto muaj ende të paezauruara, Gjykata e Apelit, duhet t’i japë asaj një dënim tjetër kryesor, atë me burgim dhe ta kthejë në IEVP sikur të ishte gjykuar rishtas pa marrë parasysh që kjo shtetase është dënuar me një vendim të formës së prerë që në vitin 2017 dhe që prej atij viti deri në vitin 2023 ka ndjekur detyrimet për kontakte me shërbimin e provës.</w:t>
      </w:r>
    </w:p>
    <w:p w14:paraId="42B7DCEB" w14:textId="77777777" w:rsidR="00FE172E" w:rsidRPr="007503A7" w:rsidRDefault="00FE172E" w:rsidP="00473B82">
      <w:pPr>
        <w:pStyle w:val="NormalWeb"/>
        <w:numPr>
          <w:ilvl w:val="0"/>
          <w:numId w:val="11"/>
        </w:numPr>
        <w:ind w:left="360"/>
        <w:jc w:val="both"/>
        <w:rPr>
          <w:bCs/>
          <w:noProof/>
          <w:lang w:val="sq-AL"/>
        </w:rPr>
      </w:pPr>
      <w:r w:rsidRPr="007503A7">
        <w:rPr>
          <w:bCs/>
          <w:noProof/>
          <w:lang w:val="sq-AL"/>
        </w:rPr>
        <w:t>Gjykata e Apelit gabon në zbatimin e nenit 59 të Kodit Penal edhe për faktin që, ky nen zbatohet vetëm për dënime të dhëna deri në 5 vjet burgim, dhe në këtë logjikë të pastër të asaj çka ka dashur legjislatori të thotë në këtë dispozitë, periudha e shërbimit të provës nuk mundet kurrsesi të jetë më e gjatë se sa 5 vjet.</w:t>
      </w:r>
    </w:p>
    <w:p w14:paraId="756F60A0" w14:textId="77777777" w:rsidR="00F35854" w:rsidRPr="007503A7" w:rsidRDefault="00FE172E" w:rsidP="00473B82">
      <w:pPr>
        <w:pStyle w:val="NormalWeb"/>
        <w:numPr>
          <w:ilvl w:val="0"/>
          <w:numId w:val="11"/>
        </w:numPr>
        <w:ind w:left="360"/>
        <w:jc w:val="both"/>
        <w:rPr>
          <w:bCs/>
          <w:noProof/>
          <w:lang w:val="sq-AL"/>
        </w:rPr>
      </w:pPr>
      <w:r w:rsidRPr="007503A7">
        <w:rPr>
          <w:bCs/>
          <w:noProof/>
          <w:lang w:val="sq-AL"/>
        </w:rPr>
        <w:t xml:space="preserve">Me përmbushjen e detyrimeve të caktuara gjatë kohës së provës, vendimi i dënimit alternativ është ekzekutuar sipas ligjit. Në këtë mënyrë, shtetasja Evadiola Doko ka vuajtur pothuaj tërësisht dënimin e caktuar ndaj saj. </w:t>
      </w:r>
    </w:p>
    <w:p w14:paraId="22A303B9" w14:textId="02BD1CDA" w:rsidR="00FE172E" w:rsidRPr="007503A7" w:rsidRDefault="00F35854" w:rsidP="00473B82">
      <w:pPr>
        <w:pStyle w:val="NormalWeb"/>
        <w:numPr>
          <w:ilvl w:val="0"/>
          <w:numId w:val="11"/>
        </w:numPr>
        <w:ind w:left="360"/>
        <w:jc w:val="both"/>
        <w:rPr>
          <w:bCs/>
          <w:noProof/>
          <w:lang w:val="sq-AL"/>
        </w:rPr>
      </w:pPr>
      <w:r w:rsidRPr="007503A7">
        <w:rPr>
          <w:bCs/>
          <w:noProof/>
          <w:lang w:val="sq-AL"/>
        </w:rPr>
        <w:t>P</w:t>
      </w:r>
      <w:r w:rsidR="00FE172E" w:rsidRPr="007503A7">
        <w:rPr>
          <w:bCs/>
          <w:noProof/>
          <w:lang w:val="sq-AL"/>
        </w:rPr>
        <w:t>aralelisht me ekzekutimin e vendimit të dënimit alternativ, ka vijuar edhe gjykimi i çështjes ndaj shtetases Evadiola Doko, ku pas ekzekutimit në vazhdimësi të vendimit të dënimit alternativ, mbi bazën e rekursit të prokurorit, gati pas 6 vjetësh nga dhënia dhe 2 vjetësh nga vuajtja e tij, ky vendim është prishur nga Gjykata e Lartë, e cila ka kthyer çështjen për rigjykim, ndërkohë që shtetasja e dënuar vazhdonte kontaktet e saj me shërbimin e provës.</w:t>
      </w:r>
    </w:p>
    <w:p w14:paraId="422C5593" w14:textId="3E77E339" w:rsidR="00FE172E" w:rsidRPr="007503A7" w:rsidRDefault="00F35854" w:rsidP="00473B82">
      <w:pPr>
        <w:pStyle w:val="NormalWeb"/>
        <w:numPr>
          <w:ilvl w:val="0"/>
          <w:numId w:val="11"/>
        </w:numPr>
        <w:ind w:left="360"/>
        <w:jc w:val="both"/>
        <w:rPr>
          <w:bCs/>
          <w:noProof/>
          <w:lang w:val="sq-AL"/>
        </w:rPr>
      </w:pPr>
      <w:r w:rsidRPr="007503A7">
        <w:rPr>
          <w:bCs/>
          <w:noProof/>
          <w:lang w:val="sq-AL"/>
        </w:rPr>
        <w:t>V</w:t>
      </w:r>
      <w:r w:rsidR="00FE172E" w:rsidRPr="007503A7">
        <w:rPr>
          <w:bCs/>
          <w:noProof/>
          <w:lang w:val="sq-AL"/>
        </w:rPr>
        <w:t xml:space="preserve">endimi </w:t>
      </w:r>
      <w:r w:rsidRPr="007503A7">
        <w:rPr>
          <w:bCs/>
          <w:noProof/>
          <w:lang w:val="sq-AL"/>
        </w:rPr>
        <w:t>objekt rekursi</w:t>
      </w:r>
      <w:r w:rsidR="00FE172E" w:rsidRPr="007503A7">
        <w:rPr>
          <w:bCs/>
          <w:noProof/>
          <w:lang w:val="sq-AL"/>
        </w:rPr>
        <w:t xml:space="preserve"> nuk ka marrë fare parasysh që në momentin që është dhënë ky vendim e dënuara kishte mbajtur kontakte me shërbimin e provës prej 8 vitesh.</w:t>
      </w:r>
    </w:p>
    <w:p w14:paraId="39DBAD90" w14:textId="469DD9BF" w:rsidR="00FE172E" w:rsidRPr="007503A7" w:rsidRDefault="00F35854" w:rsidP="00473B82">
      <w:pPr>
        <w:pStyle w:val="NormalWeb"/>
        <w:numPr>
          <w:ilvl w:val="0"/>
          <w:numId w:val="11"/>
        </w:numPr>
        <w:ind w:left="360"/>
        <w:jc w:val="both"/>
        <w:rPr>
          <w:bCs/>
          <w:noProof/>
          <w:lang w:val="sq-AL"/>
        </w:rPr>
      </w:pPr>
      <w:r w:rsidRPr="007503A7">
        <w:rPr>
          <w:bCs/>
          <w:noProof/>
          <w:lang w:val="sq-AL"/>
        </w:rPr>
        <w:t>Gjykatat kishin p</w:t>
      </w:r>
      <w:r w:rsidR="00BA753A" w:rsidRPr="007503A7">
        <w:rPr>
          <w:bCs/>
          <w:noProof/>
          <w:lang w:val="sq-AL"/>
        </w:rPr>
        <w:t>ë</w:t>
      </w:r>
      <w:r w:rsidRPr="007503A7">
        <w:rPr>
          <w:bCs/>
          <w:noProof/>
          <w:lang w:val="sq-AL"/>
        </w:rPr>
        <w:t>r detyrim edhe</w:t>
      </w:r>
      <w:r w:rsidR="00FE172E" w:rsidRPr="007503A7">
        <w:rPr>
          <w:bCs/>
          <w:noProof/>
          <w:lang w:val="sq-AL"/>
        </w:rPr>
        <w:t xml:space="preserve"> zbatim</w:t>
      </w:r>
      <w:r w:rsidRPr="007503A7">
        <w:rPr>
          <w:bCs/>
          <w:noProof/>
          <w:lang w:val="sq-AL"/>
        </w:rPr>
        <w:t>in</w:t>
      </w:r>
      <w:r w:rsidR="00FE172E" w:rsidRPr="007503A7">
        <w:rPr>
          <w:bCs/>
          <w:noProof/>
          <w:lang w:val="sq-AL"/>
        </w:rPr>
        <w:t xml:space="preserve"> </w:t>
      </w:r>
      <w:r w:rsidRPr="007503A7">
        <w:rPr>
          <w:bCs/>
          <w:noProof/>
          <w:lang w:val="sq-AL"/>
        </w:rPr>
        <w:t xml:space="preserve">e </w:t>
      </w:r>
      <w:r w:rsidR="00FE172E" w:rsidRPr="007503A7">
        <w:rPr>
          <w:bCs/>
          <w:noProof/>
          <w:lang w:val="sq-AL"/>
        </w:rPr>
        <w:t xml:space="preserve">vendimit </w:t>
      </w:r>
      <w:r w:rsidRPr="007503A7">
        <w:rPr>
          <w:bCs/>
          <w:noProof/>
          <w:lang w:val="sq-AL"/>
        </w:rPr>
        <w:t xml:space="preserve">nr. 24, datë 27.04.2023 </w:t>
      </w:r>
      <w:r w:rsidR="00FE172E" w:rsidRPr="007503A7">
        <w:rPr>
          <w:bCs/>
          <w:noProof/>
          <w:lang w:val="sq-AL"/>
        </w:rPr>
        <w:t>të Gjykatës Kushtetuese</w:t>
      </w:r>
      <w:r w:rsidRPr="007503A7">
        <w:rPr>
          <w:bCs/>
          <w:noProof/>
          <w:lang w:val="sq-AL"/>
        </w:rPr>
        <w:t>, jurisprudenc</w:t>
      </w:r>
      <w:r w:rsidR="00BA753A" w:rsidRPr="007503A7">
        <w:rPr>
          <w:bCs/>
          <w:noProof/>
          <w:lang w:val="sq-AL"/>
        </w:rPr>
        <w:t>ë</w:t>
      </w:r>
      <w:r w:rsidRPr="007503A7">
        <w:rPr>
          <w:bCs/>
          <w:noProof/>
          <w:lang w:val="sq-AL"/>
        </w:rPr>
        <w:t>n e Gjykat</w:t>
      </w:r>
      <w:r w:rsidR="00BA753A" w:rsidRPr="007503A7">
        <w:rPr>
          <w:bCs/>
          <w:noProof/>
          <w:lang w:val="sq-AL"/>
        </w:rPr>
        <w:t>ë</w:t>
      </w:r>
      <w:r w:rsidRPr="007503A7">
        <w:rPr>
          <w:bCs/>
          <w:noProof/>
          <w:lang w:val="sq-AL"/>
        </w:rPr>
        <w:t>s Evropiane p</w:t>
      </w:r>
      <w:r w:rsidR="00BA753A" w:rsidRPr="007503A7">
        <w:rPr>
          <w:bCs/>
          <w:noProof/>
          <w:lang w:val="sq-AL"/>
        </w:rPr>
        <w:t>ë</w:t>
      </w:r>
      <w:r w:rsidRPr="007503A7">
        <w:rPr>
          <w:bCs/>
          <w:noProof/>
          <w:lang w:val="sq-AL"/>
        </w:rPr>
        <w:t>r t</w:t>
      </w:r>
      <w:r w:rsidR="00BA753A" w:rsidRPr="007503A7">
        <w:rPr>
          <w:bCs/>
          <w:noProof/>
          <w:lang w:val="sq-AL"/>
        </w:rPr>
        <w:t>ë</w:t>
      </w:r>
      <w:r w:rsidRPr="007503A7">
        <w:rPr>
          <w:bCs/>
          <w:noProof/>
          <w:lang w:val="sq-AL"/>
        </w:rPr>
        <w:t xml:space="preserve"> Drejtat e Njeriut. </w:t>
      </w:r>
    </w:p>
    <w:p w14:paraId="47CDD56A" w14:textId="231E9FEC" w:rsidR="00FE172E" w:rsidRPr="007503A7" w:rsidRDefault="00F35854" w:rsidP="00F35854">
      <w:pPr>
        <w:pStyle w:val="NormalWeb"/>
        <w:numPr>
          <w:ilvl w:val="0"/>
          <w:numId w:val="11"/>
        </w:numPr>
        <w:ind w:left="360"/>
        <w:jc w:val="both"/>
        <w:rPr>
          <w:bCs/>
          <w:noProof/>
          <w:lang w:val="sq-AL"/>
        </w:rPr>
      </w:pPr>
      <w:r w:rsidRPr="007503A7">
        <w:rPr>
          <w:bCs/>
          <w:noProof/>
          <w:lang w:val="sq-AL"/>
        </w:rPr>
        <w:t>N</w:t>
      </w:r>
      <w:r w:rsidR="00BA753A" w:rsidRPr="007503A7">
        <w:rPr>
          <w:bCs/>
          <w:noProof/>
          <w:lang w:val="sq-AL"/>
        </w:rPr>
        <w:t>ë</w:t>
      </w:r>
      <w:r w:rsidRPr="007503A7">
        <w:rPr>
          <w:bCs/>
          <w:noProof/>
          <w:lang w:val="sq-AL"/>
        </w:rPr>
        <w:t xml:space="preserve"> zbatim edhe t</w:t>
      </w:r>
      <w:r w:rsidR="00BA753A" w:rsidRPr="007503A7">
        <w:rPr>
          <w:bCs/>
          <w:noProof/>
          <w:lang w:val="sq-AL"/>
        </w:rPr>
        <w:t>ë</w:t>
      </w:r>
      <w:r w:rsidRPr="007503A7">
        <w:rPr>
          <w:bCs/>
          <w:noProof/>
          <w:lang w:val="sq-AL"/>
        </w:rPr>
        <w:t xml:space="preserve"> praktik</w:t>
      </w:r>
      <w:r w:rsidR="00BA753A" w:rsidRPr="007503A7">
        <w:rPr>
          <w:bCs/>
          <w:noProof/>
          <w:lang w:val="sq-AL"/>
        </w:rPr>
        <w:t>ë</w:t>
      </w:r>
      <w:r w:rsidRPr="007503A7">
        <w:rPr>
          <w:bCs/>
          <w:noProof/>
          <w:lang w:val="sq-AL"/>
        </w:rPr>
        <w:t>s s</w:t>
      </w:r>
      <w:r w:rsidR="00BA753A" w:rsidRPr="007503A7">
        <w:rPr>
          <w:bCs/>
          <w:noProof/>
          <w:lang w:val="sq-AL"/>
        </w:rPr>
        <w:t>ë</w:t>
      </w:r>
      <w:r w:rsidRPr="007503A7">
        <w:rPr>
          <w:bCs/>
          <w:noProof/>
          <w:lang w:val="sq-AL"/>
        </w:rPr>
        <w:t xml:space="preserve"> Gjykat</w:t>
      </w:r>
      <w:r w:rsidR="00BA753A" w:rsidRPr="007503A7">
        <w:rPr>
          <w:bCs/>
          <w:noProof/>
          <w:lang w:val="sq-AL"/>
        </w:rPr>
        <w:t>ë</w:t>
      </w:r>
      <w:r w:rsidRPr="007503A7">
        <w:rPr>
          <w:bCs/>
          <w:noProof/>
          <w:lang w:val="sq-AL"/>
        </w:rPr>
        <w:t>s Evropiane p</w:t>
      </w:r>
      <w:r w:rsidR="00BA753A" w:rsidRPr="007503A7">
        <w:rPr>
          <w:bCs/>
          <w:noProof/>
          <w:lang w:val="sq-AL"/>
        </w:rPr>
        <w:t>ë</w:t>
      </w:r>
      <w:r w:rsidRPr="007503A7">
        <w:rPr>
          <w:bCs/>
          <w:noProof/>
          <w:lang w:val="sq-AL"/>
        </w:rPr>
        <w:t>r t</w:t>
      </w:r>
      <w:r w:rsidR="00BA753A" w:rsidRPr="007503A7">
        <w:rPr>
          <w:bCs/>
          <w:noProof/>
          <w:lang w:val="sq-AL"/>
        </w:rPr>
        <w:t>ë</w:t>
      </w:r>
      <w:r w:rsidRPr="007503A7">
        <w:rPr>
          <w:bCs/>
          <w:noProof/>
          <w:lang w:val="sq-AL"/>
        </w:rPr>
        <w:t xml:space="preserve"> Drejtat e Njeriut, n</w:t>
      </w:r>
      <w:r w:rsidR="00FE172E" w:rsidRPr="007503A7">
        <w:rPr>
          <w:bCs/>
          <w:noProof/>
          <w:lang w:val="sq-AL"/>
        </w:rPr>
        <w:t xml:space="preserve">ë rastin e shtetases Evadiola Doko, burgimi i </w:t>
      </w:r>
      <w:r w:rsidRPr="007503A7">
        <w:rPr>
          <w:bCs/>
          <w:noProof/>
          <w:lang w:val="sq-AL"/>
        </w:rPr>
        <w:t>saj</w:t>
      </w:r>
      <w:r w:rsidR="00FE172E" w:rsidRPr="007503A7">
        <w:rPr>
          <w:bCs/>
          <w:noProof/>
          <w:lang w:val="sq-AL"/>
        </w:rPr>
        <w:t xml:space="preserve"> pas përfundimit të provës është dënim pa funksion rehabilitues dhe bie ndesh me standardin e humanizmit.</w:t>
      </w:r>
      <w:r w:rsidRPr="007503A7">
        <w:rPr>
          <w:bCs/>
          <w:noProof/>
          <w:lang w:val="sq-AL"/>
        </w:rPr>
        <w:t xml:space="preserve"> N</w:t>
      </w:r>
      <w:r w:rsidR="00FE172E" w:rsidRPr="007503A7">
        <w:rPr>
          <w:bCs/>
          <w:noProof/>
          <w:lang w:val="sq-AL"/>
        </w:rPr>
        <w:t>dryshimi i pezullimit në burg efektiv pas shumë vitesh është zbatim retroaktiv dhe ndryshim i natyrës së dënimit.</w:t>
      </w:r>
      <w:r w:rsidRPr="007503A7">
        <w:rPr>
          <w:bCs/>
          <w:noProof/>
          <w:lang w:val="sq-AL"/>
        </w:rPr>
        <w:t xml:space="preserve"> K</w:t>
      </w:r>
      <w:r w:rsidR="00FE172E" w:rsidRPr="007503A7">
        <w:rPr>
          <w:bCs/>
          <w:noProof/>
          <w:lang w:val="sq-AL"/>
        </w:rPr>
        <w:t xml:space="preserve">thimi i shtetases </w:t>
      </w:r>
      <w:r w:rsidRPr="007503A7">
        <w:rPr>
          <w:bCs/>
          <w:noProof/>
          <w:lang w:val="sq-AL"/>
        </w:rPr>
        <w:t xml:space="preserve">Evadiola </w:t>
      </w:r>
      <w:r w:rsidR="00FE172E" w:rsidRPr="007503A7">
        <w:rPr>
          <w:bCs/>
          <w:noProof/>
          <w:lang w:val="sq-AL"/>
        </w:rPr>
        <w:t>Doko në burg pas përfundimit të provës bie ndesh me qëllimin rehabilitues që shteti duhet të garantojë</w:t>
      </w:r>
      <w:r w:rsidRPr="007503A7">
        <w:rPr>
          <w:bCs/>
          <w:noProof/>
          <w:lang w:val="sq-AL"/>
        </w:rPr>
        <w:t xml:space="preserve">. </w:t>
      </w:r>
      <w:r w:rsidR="00FE172E" w:rsidRPr="007503A7">
        <w:rPr>
          <w:bCs/>
          <w:noProof/>
          <w:lang w:val="sq-AL"/>
        </w:rPr>
        <w:t xml:space="preserve">Në rastin e shtetases </w:t>
      </w:r>
      <w:r w:rsidRPr="007503A7">
        <w:rPr>
          <w:bCs/>
          <w:noProof/>
          <w:lang w:val="sq-AL"/>
        </w:rPr>
        <w:t xml:space="preserve">Evadiola </w:t>
      </w:r>
      <w:r w:rsidR="00FE172E" w:rsidRPr="007503A7">
        <w:rPr>
          <w:bCs/>
          <w:noProof/>
          <w:lang w:val="sq-AL"/>
        </w:rPr>
        <w:t xml:space="preserve">Doko </w:t>
      </w:r>
      <w:r w:rsidR="00BA753A" w:rsidRPr="007503A7">
        <w:rPr>
          <w:bCs/>
          <w:noProof/>
          <w:lang w:val="sq-AL"/>
        </w:rPr>
        <w:t>ë</w:t>
      </w:r>
      <w:r w:rsidRPr="007503A7">
        <w:rPr>
          <w:bCs/>
          <w:noProof/>
          <w:lang w:val="sq-AL"/>
        </w:rPr>
        <w:t>sht</w:t>
      </w:r>
      <w:r w:rsidR="00BA753A" w:rsidRPr="007503A7">
        <w:rPr>
          <w:bCs/>
          <w:noProof/>
          <w:lang w:val="sq-AL"/>
        </w:rPr>
        <w:t>ë</w:t>
      </w:r>
      <w:r w:rsidRPr="007503A7">
        <w:rPr>
          <w:bCs/>
          <w:noProof/>
          <w:lang w:val="sq-AL"/>
        </w:rPr>
        <w:t xml:space="preserve"> </w:t>
      </w:r>
      <w:r w:rsidR="00FE172E" w:rsidRPr="007503A7">
        <w:rPr>
          <w:bCs/>
          <w:noProof/>
          <w:lang w:val="sq-AL"/>
        </w:rPr>
        <w:t>ndëshkua</w:t>
      </w:r>
      <w:r w:rsidRPr="007503A7">
        <w:rPr>
          <w:bCs/>
          <w:noProof/>
          <w:lang w:val="sq-AL"/>
        </w:rPr>
        <w:t>r</w:t>
      </w:r>
      <w:r w:rsidR="00FE172E" w:rsidRPr="007503A7">
        <w:rPr>
          <w:bCs/>
          <w:noProof/>
          <w:lang w:val="sq-AL"/>
        </w:rPr>
        <w:t xml:space="preserve"> për të njëjtën çështje.</w:t>
      </w:r>
    </w:p>
    <w:p w14:paraId="7C5239DA" w14:textId="27D4D6FB" w:rsidR="00FE172E" w:rsidRPr="007503A7" w:rsidRDefault="00FE172E" w:rsidP="00473B82">
      <w:pPr>
        <w:pStyle w:val="NormalWeb"/>
        <w:numPr>
          <w:ilvl w:val="0"/>
          <w:numId w:val="11"/>
        </w:numPr>
        <w:ind w:left="360"/>
        <w:jc w:val="both"/>
        <w:rPr>
          <w:bCs/>
          <w:noProof/>
          <w:lang w:val="sq-AL"/>
        </w:rPr>
      </w:pPr>
      <w:r w:rsidRPr="007503A7">
        <w:rPr>
          <w:bCs/>
          <w:noProof/>
          <w:lang w:val="sq-AL"/>
        </w:rPr>
        <w:t>Vendimi përbën cenim të sigurisë juridike, parimit të proporcionalitetit dhe të rehabilitimit të dënimit, në kundërshtim me standardet e konfirmuara në çështjet Brumărescu, Del Río Prada, Kafkaris, Vinter, Scordino, Mastromatteo dhe Sud Fondi.</w:t>
      </w:r>
    </w:p>
    <w:p w14:paraId="6CA2AA7B" w14:textId="0D5147AA" w:rsidR="00FE172E" w:rsidRPr="007503A7" w:rsidRDefault="00F35854" w:rsidP="00473B82">
      <w:pPr>
        <w:pStyle w:val="NormalWeb"/>
        <w:numPr>
          <w:ilvl w:val="0"/>
          <w:numId w:val="11"/>
        </w:numPr>
        <w:ind w:left="360"/>
        <w:jc w:val="both"/>
        <w:rPr>
          <w:bCs/>
          <w:noProof/>
          <w:lang w:val="sq-AL"/>
        </w:rPr>
      </w:pPr>
      <w:r w:rsidRPr="007503A7">
        <w:rPr>
          <w:bCs/>
          <w:noProof/>
          <w:lang w:val="sq-AL"/>
        </w:rPr>
        <w:t>S</w:t>
      </w:r>
      <w:r w:rsidR="00FE172E" w:rsidRPr="007503A7">
        <w:rPr>
          <w:bCs/>
          <w:noProof/>
          <w:lang w:val="sq-AL"/>
        </w:rPr>
        <w:t>htetasja Evadiola Doko është dënuar në vitin 2017, ka kryer pothuajse plotësisht periudhën e provës, ka respektuar detyrimet e vendimit dhe nuk ka kryer vepra të reja. Ajo ka jetuar për 8 (tetë) vite në një status të qëndrueshëm juridik, duke besuar me të drejtë se dënimi ishte përfundimtar. Prishja e pezullimit dhe urdhërimi i burgimit efektiv në vitin 2025 përbën një ndërhyrje të pajustifikuar dhe joproporcionale që cenon besimin legjitim.</w:t>
      </w:r>
    </w:p>
    <w:p w14:paraId="1514AA5D" w14:textId="3DB5F130" w:rsidR="00FE172E" w:rsidRPr="007503A7" w:rsidRDefault="00E94DE8" w:rsidP="00473B82">
      <w:pPr>
        <w:pStyle w:val="NormalWeb"/>
        <w:numPr>
          <w:ilvl w:val="0"/>
          <w:numId w:val="11"/>
        </w:numPr>
        <w:ind w:left="360"/>
        <w:jc w:val="both"/>
        <w:rPr>
          <w:bCs/>
          <w:noProof/>
          <w:lang w:val="sq-AL"/>
        </w:rPr>
      </w:pPr>
      <w:r w:rsidRPr="007503A7">
        <w:rPr>
          <w:bCs/>
          <w:noProof/>
          <w:lang w:val="sq-AL"/>
        </w:rPr>
        <w:t>K</w:t>
      </w:r>
      <w:r w:rsidR="00FE172E" w:rsidRPr="007503A7">
        <w:rPr>
          <w:bCs/>
          <w:noProof/>
          <w:lang w:val="sq-AL"/>
        </w:rPr>
        <w:t>thimi pas dhe ekzekutimi i burgut pas përfundimit të provës shkatërron qëllimin rehabilitues të dënimit. Ai përbën një masë çnjerëzore dhe joproporcionale, që nuk ka funksion preventiv apo edukues. Ky veprim bie ndesh me parimet e nenit 3 të KEDNJ dhe me jurisprudencën e GJEDNJ në çështjet Vinter and Others v. UK (2013), Mastromatteo v. Italy (2002) dhe Khoroshenko v. Russia (2015).</w:t>
      </w:r>
    </w:p>
    <w:p w14:paraId="54D85D8B" w14:textId="7E75A83B" w:rsidR="00FE172E" w:rsidRPr="007503A7" w:rsidRDefault="00E94DE8" w:rsidP="00473B82">
      <w:pPr>
        <w:pStyle w:val="NormalWeb"/>
        <w:numPr>
          <w:ilvl w:val="0"/>
          <w:numId w:val="11"/>
        </w:numPr>
        <w:ind w:left="360"/>
        <w:jc w:val="both"/>
        <w:rPr>
          <w:bCs/>
          <w:noProof/>
          <w:lang w:val="sq-AL"/>
        </w:rPr>
      </w:pPr>
      <w:r w:rsidRPr="007503A7">
        <w:rPr>
          <w:bCs/>
          <w:noProof/>
          <w:lang w:val="sq-AL"/>
        </w:rPr>
        <w:lastRenderedPageBreak/>
        <w:t>V</w:t>
      </w:r>
      <w:r w:rsidR="00FE172E" w:rsidRPr="007503A7">
        <w:rPr>
          <w:bCs/>
          <w:noProof/>
          <w:lang w:val="sq-AL"/>
        </w:rPr>
        <w:t>endimi për ekzekutimin e dënimit pas përfundimit të provës është jo vetëm proceduralisht i padrejtë, por edhe materialisht antihuman, duke përmbysur logjikën e sistemit penal modern që synon rehabilitimin e të dënuarit.</w:t>
      </w:r>
    </w:p>
    <w:p w14:paraId="54084906" w14:textId="30FECC07" w:rsidR="00FE172E" w:rsidRPr="007503A7" w:rsidRDefault="00E94DE8" w:rsidP="00473B82">
      <w:pPr>
        <w:pStyle w:val="NormalWeb"/>
        <w:numPr>
          <w:ilvl w:val="0"/>
          <w:numId w:val="11"/>
        </w:numPr>
        <w:ind w:left="360"/>
        <w:jc w:val="both"/>
        <w:rPr>
          <w:bCs/>
          <w:noProof/>
          <w:lang w:val="sq-AL"/>
        </w:rPr>
      </w:pPr>
      <w:r w:rsidRPr="007503A7">
        <w:rPr>
          <w:bCs/>
          <w:noProof/>
          <w:lang w:val="sq-AL"/>
        </w:rPr>
        <w:t>V</w:t>
      </w:r>
      <w:r w:rsidR="00FE172E" w:rsidRPr="007503A7">
        <w:rPr>
          <w:bCs/>
          <w:noProof/>
          <w:lang w:val="sq-AL"/>
        </w:rPr>
        <w:t>endimi për të shfuqizuar pezullimin dhe për të urdhëruar ekzekutimin e burgut pas 8 vitesh krijon efekt retroaktiv, pasi vendimi i parë ishte ekzekutuar me sukses dhe kishte prodhuar pasoja juridike të përfunduara. Ky veprim përbën një dënim të ri në natyrë dhe efekt, në kundërshtim me parimin e non-retroaktivitetit dhe me parimin e lex mitior.</w:t>
      </w:r>
    </w:p>
    <w:p w14:paraId="5CE64864" w14:textId="43644FE9" w:rsidR="00FE172E" w:rsidRPr="007503A7" w:rsidRDefault="00E94DE8" w:rsidP="00473B82">
      <w:pPr>
        <w:pStyle w:val="NormalWeb"/>
        <w:numPr>
          <w:ilvl w:val="0"/>
          <w:numId w:val="11"/>
        </w:numPr>
        <w:ind w:left="360"/>
        <w:jc w:val="both"/>
        <w:rPr>
          <w:bCs/>
          <w:noProof/>
          <w:lang w:val="sq-AL"/>
        </w:rPr>
      </w:pPr>
      <w:r w:rsidRPr="007503A7">
        <w:rPr>
          <w:bCs/>
          <w:noProof/>
          <w:lang w:val="sq-AL"/>
        </w:rPr>
        <w:t>U</w:t>
      </w:r>
      <w:r w:rsidR="00FE172E" w:rsidRPr="007503A7">
        <w:rPr>
          <w:bCs/>
          <w:noProof/>
          <w:lang w:val="sq-AL"/>
        </w:rPr>
        <w:t>rdhërimi për vuajtjen e dënimit me burg pas kryerjes së provës është një zbatim retroaktiv i një mase.</w:t>
      </w:r>
    </w:p>
    <w:p w14:paraId="14623B8B" w14:textId="6BB02582" w:rsidR="00BA753A" w:rsidRPr="007503A7" w:rsidRDefault="00BA753A" w:rsidP="00BA753A">
      <w:pPr>
        <w:pStyle w:val="ListParagraph"/>
        <w:numPr>
          <w:ilvl w:val="0"/>
          <w:numId w:val="13"/>
        </w:numPr>
        <w:shd w:val="clear" w:color="auto" w:fill="FFFFFF"/>
        <w:tabs>
          <w:tab w:val="left" w:pos="540"/>
          <w:tab w:val="left" w:pos="720"/>
        </w:tabs>
        <w:ind w:left="0" w:firstLine="360"/>
        <w:jc w:val="both"/>
        <w:rPr>
          <w:rFonts w:ascii="Times New Roman" w:hAnsi="Times New Roman"/>
          <w:noProof/>
          <w:lang w:val="sq-AL" w:eastAsia="en-GB" w:bidi="ar-SA"/>
        </w:rPr>
      </w:pPr>
      <w:r w:rsidRPr="007503A7">
        <w:rPr>
          <w:rFonts w:ascii="Times New Roman" w:eastAsia="MS Mincho" w:hAnsi="Times New Roman"/>
          <w:noProof/>
          <w:lang w:val="sq-AL" w:bidi="ar-SA"/>
        </w:rPr>
        <w:t>Gjatë shqyrtimit të çështjes në dhomë këshillimi në datë 21.04.2026, Kolegji Penal i Gjykatës së Lartë, d</w:t>
      </w:r>
      <w:r w:rsidRPr="007503A7">
        <w:rPr>
          <w:rFonts w:ascii="Times New Roman" w:hAnsi="Times New Roman"/>
          <w:noProof/>
          <w:lang w:val="sq-AL" w:eastAsia="en-GB" w:bidi="ar-SA"/>
        </w:rPr>
        <w:t xml:space="preserve">uke mbajtur në konsideratë pretendimet e parashtruara në rekurs, të cilat në thelb lidhen me interpretimin dhe zbatimin e gabuar të nenit 59 të Kodit Penal, si dhe faktin që Prokuroria e Përgjithshme nuk kishte paraqitur mendim lidhur me këtë rekurs, në mbështetje të pikës 2 të nenit 432 të Kodit të Procedurës Penale, </w:t>
      </w:r>
      <w:r w:rsidR="006E4920" w:rsidRPr="007503A7">
        <w:rPr>
          <w:rFonts w:ascii="Times New Roman" w:hAnsi="Times New Roman"/>
          <w:noProof/>
          <w:lang w:val="sq-AL" w:eastAsia="en-GB" w:bidi="ar-SA"/>
        </w:rPr>
        <w:t>ç</w:t>
      </w:r>
      <w:r w:rsidRPr="007503A7">
        <w:rPr>
          <w:rFonts w:ascii="Times New Roman" w:hAnsi="Times New Roman"/>
          <w:noProof/>
          <w:lang w:val="sq-AL" w:eastAsia="en-GB" w:bidi="ar-SA"/>
        </w:rPr>
        <w:t>moi të kërkojë nga Prokuroria e Përgjithshme paraqitjen e një memorieje me shkrim. Në këtë kontekst, Kolegji vuri në diskutim dhe kërkoi mendimin e Prokuroris</w:t>
      </w:r>
      <w:r w:rsidR="006E4920" w:rsidRPr="007503A7">
        <w:rPr>
          <w:rFonts w:ascii="Times New Roman" w:hAnsi="Times New Roman"/>
          <w:noProof/>
          <w:lang w:val="sq-AL" w:eastAsia="en-GB" w:bidi="ar-SA"/>
        </w:rPr>
        <w:t>ë</w:t>
      </w:r>
      <w:r w:rsidRPr="007503A7">
        <w:rPr>
          <w:rFonts w:ascii="Times New Roman" w:hAnsi="Times New Roman"/>
          <w:noProof/>
          <w:lang w:val="sq-AL" w:eastAsia="en-GB" w:bidi="ar-SA"/>
        </w:rPr>
        <w:t xml:space="preserve"> s</w:t>
      </w:r>
      <w:r w:rsidR="006E4920" w:rsidRPr="007503A7">
        <w:rPr>
          <w:rFonts w:ascii="Times New Roman" w:hAnsi="Times New Roman"/>
          <w:noProof/>
          <w:lang w:val="sq-AL" w:eastAsia="en-GB" w:bidi="ar-SA"/>
        </w:rPr>
        <w:t>ë</w:t>
      </w:r>
      <w:r w:rsidRPr="007503A7">
        <w:rPr>
          <w:rFonts w:ascii="Times New Roman" w:hAnsi="Times New Roman"/>
          <w:noProof/>
          <w:lang w:val="sq-AL" w:eastAsia="en-GB" w:bidi="ar-SA"/>
        </w:rPr>
        <w:t xml:space="preserve"> P</w:t>
      </w:r>
      <w:r w:rsidR="006E4920" w:rsidRPr="007503A7">
        <w:rPr>
          <w:rFonts w:ascii="Times New Roman" w:hAnsi="Times New Roman"/>
          <w:noProof/>
          <w:lang w:val="sq-AL" w:eastAsia="en-GB" w:bidi="ar-SA"/>
        </w:rPr>
        <w:t>ë</w:t>
      </w:r>
      <w:r w:rsidRPr="007503A7">
        <w:rPr>
          <w:rFonts w:ascii="Times New Roman" w:hAnsi="Times New Roman"/>
          <w:noProof/>
          <w:lang w:val="sq-AL" w:eastAsia="en-GB" w:bidi="ar-SA"/>
        </w:rPr>
        <w:t xml:space="preserve">rgjithshme për çështjet si vijojnë: </w:t>
      </w:r>
    </w:p>
    <w:p w14:paraId="6BCDC3AB" w14:textId="77777777" w:rsidR="00BA753A" w:rsidRPr="007503A7" w:rsidRDefault="00BA753A" w:rsidP="00BA753A">
      <w:pPr>
        <w:shd w:val="clear" w:color="auto" w:fill="FFFFFF"/>
        <w:tabs>
          <w:tab w:val="left" w:pos="360"/>
        </w:tabs>
        <w:contextualSpacing/>
        <w:jc w:val="both"/>
        <w:rPr>
          <w:rFonts w:ascii="Times New Roman" w:hAnsi="Times New Roman"/>
          <w:noProof/>
          <w:lang w:eastAsia="en-GB" w:bidi="ar-SA"/>
        </w:rPr>
      </w:pPr>
      <w:r w:rsidRPr="007503A7">
        <w:rPr>
          <w:rFonts w:ascii="Times New Roman" w:hAnsi="Times New Roman"/>
          <w:bCs/>
        </w:rPr>
        <w:tab/>
      </w:r>
      <w:r w:rsidRPr="007503A7">
        <w:rPr>
          <w:rFonts w:ascii="Times New Roman" w:hAnsi="Times New Roman"/>
          <w:noProof/>
          <w:lang w:eastAsia="en-GB" w:bidi="ar-SA"/>
        </w:rPr>
        <w:t>Së pari, s</w:t>
      </w:r>
      <w:r w:rsidRPr="007503A7">
        <w:rPr>
          <w:rFonts w:ascii="Times New Roman" w:eastAsia="Calibri" w:hAnsi="Times New Roman"/>
          <w:lang w:bidi="ar-SA"/>
        </w:rPr>
        <w:t>i duhet interpretuar shprehja “brenda periudhës së provës” në pikën 5 të nenit 59 të Kodit Penal: a nënkupton ajo periudhën</w:t>
      </w:r>
      <w:r w:rsidRPr="007503A7">
        <w:rPr>
          <w:rFonts w:ascii="Times New Roman" w:hAnsi="Times New Roman"/>
          <w:color w:val="000000"/>
          <w:lang w:eastAsia="en-GB" w:bidi="ar-SA"/>
        </w:rPr>
        <w:t xml:space="preserve"> </w:t>
      </w:r>
      <w:r w:rsidRPr="007503A7">
        <w:rPr>
          <w:rFonts w:ascii="Times New Roman" w:hAnsi="Times New Roman"/>
          <w:lang w:eastAsia="en-GB" w:bidi="ar-SA"/>
        </w:rPr>
        <w:t xml:space="preserve">24 muaj deri në 5 vjet sipas pikës 4 të kësaj </w:t>
      </w:r>
      <w:r w:rsidRPr="007503A7">
        <w:rPr>
          <w:rFonts w:ascii="Times New Roman" w:hAnsi="Times New Roman"/>
          <w:color w:val="000000"/>
          <w:lang w:eastAsia="en-GB" w:bidi="ar-SA"/>
        </w:rPr>
        <w:t>dispozite</w:t>
      </w:r>
      <w:r w:rsidRPr="007503A7">
        <w:rPr>
          <w:rFonts w:ascii="Times New Roman" w:eastAsia="Calibri" w:hAnsi="Times New Roman"/>
          <w:lang w:bidi="ar-SA"/>
        </w:rPr>
        <w:t xml:space="preserve">, apo lejon zgjatje efektive të periudhës së provës përtej këtij kufiri për shkak të ndërprerjeve ose mosrespektimit të detyrimeve? </w:t>
      </w:r>
    </w:p>
    <w:p w14:paraId="0C4C9C04" w14:textId="77777777" w:rsidR="00BA753A" w:rsidRPr="007503A7" w:rsidRDefault="00BA753A" w:rsidP="00BA753A">
      <w:pPr>
        <w:shd w:val="clear" w:color="auto" w:fill="FFFFFF"/>
        <w:tabs>
          <w:tab w:val="left" w:pos="360"/>
        </w:tabs>
        <w:contextualSpacing/>
        <w:jc w:val="both"/>
        <w:rPr>
          <w:rFonts w:ascii="Times New Roman" w:eastAsia="Calibri" w:hAnsi="Times New Roman"/>
          <w:lang w:bidi="ar-SA"/>
        </w:rPr>
      </w:pPr>
      <w:r w:rsidRPr="007503A7">
        <w:rPr>
          <w:rFonts w:ascii="Times New Roman" w:hAnsi="Times New Roman"/>
          <w:noProof/>
          <w:lang w:eastAsia="en-GB" w:bidi="ar-SA"/>
        </w:rPr>
        <w:tab/>
      </w:r>
      <w:r w:rsidRPr="007503A7">
        <w:rPr>
          <w:rFonts w:ascii="Times New Roman" w:eastAsia="Calibri" w:hAnsi="Times New Roman"/>
          <w:lang w:bidi="ar-SA"/>
        </w:rPr>
        <w:t>Së dyti, a lejon neni 59 i Kodit Penal që periudhat e ndërprerjes së kontakteve me shërbimin e provës dhe zgjatjet e afatit të mbikëqyrjes të llogariten në mënyrë kumulative (pra, të mblidhen matematikisht), duke e tejkaluar kufirin maksimal prej 5 vjetësh të parashikuar në pikën 4 të këtij neni, apo kjo mënyrë llogaritjeje duhet të mbetet brenda këtij kufiri maksimal, pavarësisht këtyre situatave faktike?</w:t>
      </w:r>
    </w:p>
    <w:p w14:paraId="5DECDEF5" w14:textId="77777777" w:rsidR="00BA753A" w:rsidRPr="007503A7" w:rsidRDefault="00BA753A" w:rsidP="00BA753A">
      <w:pPr>
        <w:shd w:val="clear" w:color="auto" w:fill="FFFFFF"/>
        <w:tabs>
          <w:tab w:val="left" w:pos="360"/>
        </w:tabs>
        <w:contextualSpacing/>
        <w:jc w:val="both"/>
        <w:rPr>
          <w:rFonts w:ascii="Times New Roman" w:hAnsi="Times New Roman"/>
          <w:noProof/>
          <w:lang w:eastAsia="en-GB" w:bidi="ar-SA"/>
        </w:rPr>
      </w:pPr>
      <w:r w:rsidRPr="007503A7">
        <w:rPr>
          <w:rFonts w:ascii="Times New Roman" w:eastAsia="Calibri" w:hAnsi="Times New Roman"/>
          <w:lang w:bidi="ar-SA"/>
        </w:rPr>
        <w:tab/>
        <w:t>Së treti, në një situatë kur në momentin fillestar nuk kanë qenë të përmbushura kushtet për aplikimin e nenit 59 të Kodit Penal, por megjithatë dënimi me burgim është ekzekutuar për një periudhë të konsiderueshme përmes shërbimit të provës si dënim alternativ, a mundet gjykata e apelit ose gjykata e rigjykimit të vendosë rikthimin e të pandehurit në vuajtjen e plotë të dënimit me burgim efektiv, pa marrë në konsideratë kohëzgjatjen dhe mënyrën e përmbushjes të dënimit alternativ, afërsinë e përfundimit të periudhës së provës, si dhe realizimin në praktikë të qëllimit riedukativ të dënimit?</w:t>
      </w:r>
    </w:p>
    <w:p w14:paraId="56A65B42" w14:textId="77777777" w:rsidR="00BA753A" w:rsidRPr="007503A7" w:rsidRDefault="00BA753A" w:rsidP="00BA753A">
      <w:pPr>
        <w:shd w:val="clear" w:color="auto" w:fill="FFFFFF"/>
        <w:tabs>
          <w:tab w:val="left" w:pos="360"/>
        </w:tabs>
        <w:contextualSpacing/>
        <w:jc w:val="both"/>
        <w:rPr>
          <w:rFonts w:ascii="Times New Roman" w:hAnsi="Times New Roman"/>
          <w:noProof/>
          <w:lang w:eastAsia="en-GB" w:bidi="ar-SA"/>
        </w:rPr>
      </w:pPr>
      <w:r w:rsidRPr="007503A7">
        <w:rPr>
          <w:rFonts w:ascii="Times New Roman" w:hAnsi="Times New Roman"/>
          <w:noProof/>
          <w:lang w:eastAsia="en-GB" w:bidi="ar-SA"/>
        </w:rPr>
        <w:tab/>
      </w:r>
      <w:r w:rsidRPr="007503A7">
        <w:rPr>
          <w:rFonts w:ascii="Times New Roman" w:eastAsia="Calibri" w:hAnsi="Times New Roman"/>
          <w:lang w:bidi="ar-SA"/>
        </w:rPr>
        <w:t>Së katërti, duke marrë në konsideratë rrethanat konkrete të çështjes së të gjykuarës Evadiola Doko, në veçanti kohëzgjatjen faktike të vuajtjes së dënimit alternativ përmes shërbimit të provës, zgjatjen e afatit të mbikëqyrjes dhe fazën e avancuar të ekzekutimit të këtij dënimi, si dhe duke iu referuar parashikimeve të nenit 59 të Kodit Penal, standardeve kushtetuese dhe jurisprudencës së Gjykatës Evropiane për të Drejtat e Njeriut mbi sigurinë juridike, proporcionalitetin dhe ndalimin e rindëshkimit, cili është qëndrimi i Prokurorisë së Përgjithshme lidhur me shkaqet e rekursit në raport me vendimin nr. (403) 30-2025-1294, datë 20.02.2025 të Gjykatës së Apelit të Juridiksionit të Përgjithshëm, si dhe mbi ligjshmërinë e rikthimit të të gjykuarës në vuajtjen e dënimit me 2 (dy) vjet burgim efektiv, dhe nëse, në këtë rast, duhet të merret në konsideratë efekti i ekzekutimit të deritanishëm të dënimit alternativ dhe qëllimi rehabilitues i tij?</w:t>
      </w:r>
    </w:p>
    <w:p w14:paraId="639D711D" w14:textId="05188D21" w:rsidR="00FE172E" w:rsidRPr="007503A7" w:rsidRDefault="00BA753A" w:rsidP="00493C12">
      <w:pPr>
        <w:shd w:val="clear" w:color="auto" w:fill="FFFFFF"/>
        <w:tabs>
          <w:tab w:val="left" w:pos="360"/>
        </w:tabs>
        <w:contextualSpacing/>
        <w:jc w:val="both"/>
        <w:rPr>
          <w:rFonts w:ascii="Times New Roman" w:hAnsi="Times New Roman"/>
          <w:noProof/>
          <w:lang w:eastAsia="en-GB" w:bidi="ar-SA"/>
        </w:rPr>
      </w:pPr>
      <w:r w:rsidRPr="007503A7">
        <w:rPr>
          <w:rFonts w:ascii="Times New Roman" w:hAnsi="Times New Roman"/>
          <w:noProof/>
          <w:lang w:eastAsia="en-GB" w:bidi="ar-SA"/>
        </w:rPr>
        <w:tab/>
      </w:r>
      <w:r w:rsidRPr="007503A7">
        <w:rPr>
          <w:rFonts w:ascii="Times New Roman" w:hAnsi="Times New Roman"/>
          <w:lang w:eastAsia="en-GB" w:bidi="ar-SA"/>
        </w:rPr>
        <w:t>Së pesti, në referim të shkaqeve të rekursit të parashikuara në nenin 432 të Kodit të Procedurës Penale, cili është qëndrimi i Prokurorisë së Përgjithshme lidhur me zgjidhjen konkrete që duhet të japë Gjykata e Lartë për rekursin e paraqitur nga e gjykuara Evadiola Doko në këtë çështje?</w:t>
      </w:r>
    </w:p>
    <w:p w14:paraId="60EC2C3D" w14:textId="7A9E629D" w:rsidR="00BD760F" w:rsidRPr="007503A7" w:rsidRDefault="00493C12" w:rsidP="00BD760F">
      <w:pPr>
        <w:pStyle w:val="ListParagraph"/>
        <w:numPr>
          <w:ilvl w:val="0"/>
          <w:numId w:val="13"/>
        </w:numPr>
        <w:tabs>
          <w:tab w:val="left" w:pos="540"/>
        </w:tabs>
        <w:ind w:left="0" w:firstLine="360"/>
        <w:jc w:val="both"/>
        <w:rPr>
          <w:rFonts w:ascii="Times New Roman" w:eastAsia="Calibri" w:hAnsi="Times New Roman"/>
          <w:bCs/>
          <w:i/>
          <w:iCs/>
          <w:noProof/>
          <w:lang w:val="sq-AL" w:bidi="ar-SA"/>
        </w:rPr>
      </w:pPr>
      <w:r w:rsidRPr="007503A7">
        <w:rPr>
          <w:rFonts w:ascii="Times New Roman" w:hAnsi="Times New Roman"/>
          <w:b/>
          <w:noProof/>
          <w:shd w:val="clear" w:color="auto" w:fill="FFFFFF"/>
          <w:lang w:val="sq-AL" w:bidi="ar-SA"/>
        </w:rPr>
        <w:t>Prokuroria e Përgjithshme,</w:t>
      </w:r>
      <w:r w:rsidRPr="007503A7">
        <w:rPr>
          <w:rFonts w:ascii="Times New Roman" w:hAnsi="Times New Roman"/>
          <w:bCs/>
          <w:noProof/>
          <w:shd w:val="clear" w:color="auto" w:fill="FFFFFF"/>
          <w:lang w:val="sq-AL" w:bidi="ar-SA"/>
        </w:rPr>
        <w:t xml:space="preserve"> </w:t>
      </w:r>
      <w:r w:rsidR="00FE49D4" w:rsidRPr="007503A7">
        <w:rPr>
          <w:rFonts w:ascii="Times New Roman" w:hAnsi="Times New Roman"/>
          <w:bCs/>
          <w:noProof/>
          <w:shd w:val="clear" w:color="auto" w:fill="FFFFFF"/>
          <w:lang w:val="sq-AL" w:bidi="ar-SA"/>
        </w:rPr>
        <w:t>p</w:t>
      </w:r>
      <w:r w:rsidR="006E4920" w:rsidRPr="007503A7">
        <w:rPr>
          <w:rFonts w:ascii="Times New Roman" w:hAnsi="Times New Roman"/>
          <w:bCs/>
          <w:noProof/>
          <w:shd w:val="clear" w:color="auto" w:fill="FFFFFF"/>
          <w:lang w:val="sq-AL" w:bidi="ar-SA"/>
        </w:rPr>
        <w:t>ë</w:t>
      </w:r>
      <w:r w:rsidR="00FE49D4" w:rsidRPr="007503A7">
        <w:rPr>
          <w:rFonts w:ascii="Times New Roman" w:hAnsi="Times New Roman"/>
          <w:bCs/>
          <w:noProof/>
          <w:shd w:val="clear" w:color="auto" w:fill="FFFFFF"/>
          <w:lang w:val="sq-AL" w:bidi="ar-SA"/>
        </w:rPr>
        <w:t>rfundimisht</w:t>
      </w:r>
      <w:r w:rsidRPr="007503A7">
        <w:rPr>
          <w:rFonts w:ascii="Times New Roman" w:hAnsi="Times New Roman"/>
          <w:bCs/>
          <w:noProof/>
          <w:shd w:val="clear" w:color="auto" w:fill="FFFFFF"/>
          <w:lang w:val="sq-AL" w:bidi="ar-SA"/>
        </w:rPr>
        <w:t xml:space="preserve"> k</w:t>
      </w:r>
      <w:r w:rsidR="006E4920" w:rsidRPr="007503A7">
        <w:rPr>
          <w:rFonts w:ascii="Times New Roman" w:hAnsi="Times New Roman"/>
          <w:bCs/>
          <w:noProof/>
          <w:shd w:val="clear" w:color="auto" w:fill="FFFFFF"/>
          <w:lang w:val="sq-AL" w:bidi="ar-SA"/>
        </w:rPr>
        <w:t>ë</w:t>
      </w:r>
      <w:r w:rsidRPr="007503A7">
        <w:rPr>
          <w:rFonts w:ascii="Times New Roman" w:hAnsi="Times New Roman"/>
          <w:bCs/>
          <w:noProof/>
          <w:shd w:val="clear" w:color="auto" w:fill="FFFFFF"/>
          <w:lang w:val="sq-AL" w:bidi="ar-SA"/>
        </w:rPr>
        <w:t xml:space="preserve">rkoi: </w:t>
      </w:r>
      <w:r w:rsidRPr="007503A7">
        <w:rPr>
          <w:rFonts w:ascii="Times New Roman" w:hAnsi="Times New Roman"/>
          <w:bCs/>
          <w:i/>
          <w:iCs/>
          <w:noProof/>
          <w:shd w:val="clear" w:color="auto" w:fill="FFFFFF"/>
          <w:lang w:val="sq-AL" w:bidi="ar-SA"/>
        </w:rPr>
        <w:t>“</w:t>
      </w:r>
      <w:r w:rsidRPr="007503A7">
        <w:rPr>
          <w:rFonts w:ascii="Times New Roman" w:hAnsi="Times New Roman"/>
          <w:bCs/>
          <w:i/>
          <w:iCs/>
          <w:lang w:val="sq-AL" w:bidi="ar-SA"/>
        </w:rPr>
        <w:t>Prishjen e vendimit nr.</w:t>
      </w:r>
      <w:r w:rsidR="000745C8" w:rsidRPr="007503A7">
        <w:rPr>
          <w:rFonts w:ascii="Times New Roman" w:hAnsi="Times New Roman"/>
          <w:bCs/>
          <w:i/>
          <w:iCs/>
          <w:lang w:val="sq-AL" w:bidi="ar-SA"/>
        </w:rPr>
        <w:t xml:space="preserve"> </w:t>
      </w:r>
      <w:r w:rsidRPr="007503A7">
        <w:rPr>
          <w:rFonts w:ascii="Times New Roman" w:hAnsi="Times New Roman"/>
          <w:bCs/>
          <w:i/>
          <w:iCs/>
          <w:lang w:val="sq-AL" w:bidi="ar-SA"/>
        </w:rPr>
        <w:t xml:space="preserve">(403) 30-2025-1294, datë 20.02.2025 të Gjykatës së Apelit të Juridiksionit të Përgjithshëm dhe dërgimin </w:t>
      </w:r>
      <w:r w:rsidRPr="007503A7">
        <w:rPr>
          <w:rFonts w:ascii="Times New Roman" w:hAnsi="Times New Roman"/>
          <w:bCs/>
          <w:i/>
          <w:iCs/>
          <w:lang w:val="sq-AL" w:bidi="ar-SA"/>
        </w:rPr>
        <w:lastRenderedPageBreak/>
        <w:t>e çështjes për rishqyrtim në këtë gjykatë me tjetër trup gjykues.</w:t>
      </w:r>
      <w:r w:rsidR="000745C8" w:rsidRPr="007503A7">
        <w:rPr>
          <w:rFonts w:ascii="Times New Roman" w:hAnsi="Times New Roman"/>
          <w:bCs/>
          <w:i/>
          <w:iCs/>
          <w:lang w:val="sq-AL" w:bidi="ar-SA"/>
        </w:rPr>
        <w:t xml:space="preserve">” </w:t>
      </w:r>
      <w:r w:rsidR="000745C8" w:rsidRPr="007503A7">
        <w:rPr>
          <w:rFonts w:ascii="Times New Roman" w:hAnsi="Times New Roman"/>
          <w:bCs/>
          <w:noProof/>
          <w:shd w:val="clear" w:color="auto" w:fill="FFFFFF"/>
          <w:lang w:val="sq-AL" w:bidi="ar-SA"/>
        </w:rPr>
        <w:t>Nd</w:t>
      </w:r>
      <w:r w:rsidR="006E4920" w:rsidRPr="007503A7">
        <w:rPr>
          <w:rFonts w:ascii="Times New Roman" w:hAnsi="Times New Roman"/>
          <w:bCs/>
          <w:noProof/>
          <w:shd w:val="clear" w:color="auto" w:fill="FFFFFF"/>
          <w:lang w:val="sq-AL" w:bidi="ar-SA"/>
        </w:rPr>
        <w:t>ë</w:t>
      </w:r>
      <w:r w:rsidR="000745C8" w:rsidRPr="007503A7">
        <w:rPr>
          <w:rFonts w:ascii="Times New Roman" w:hAnsi="Times New Roman"/>
          <w:bCs/>
          <w:noProof/>
          <w:shd w:val="clear" w:color="auto" w:fill="FFFFFF"/>
          <w:lang w:val="sq-AL" w:bidi="ar-SA"/>
        </w:rPr>
        <w:t xml:space="preserve">rsa lidhur </w:t>
      </w:r>
      <w:r w:rsidRPr="007503A7">
        <w:rPr>
          <w:rFonts w:ascii="Times New Roman" w:hAnsi="Times New Roman"/>
          <w:bCs/>
          <w:noProof/>
          <w:shd w:val="clear" w:color="auto" w:fill="FFFFFF"/>
          <w:lang w:val="sq-AL" w:bidi="ar-SA"/>
        </w:rPr>
        <w:t>çështjet e ngritura për diskutim paraqiti mendimin e saj, duke parashtruar në mënyrë të përmbledhur</w:t>
      </w:r>
      <w:r w:rsidR="00BD760F" w:rsidRPr="007503A7">
        <w:rPr>
          <w:rFonts w:ascii="Times New Roman" w:hAnsi="Times New Roman"/>
          <w:bCs/>
          <w:noProof/>
          <w:shd w:val="clear" w:color="auto" w:fill="FFFFFF"/>
          <w:lang w:val="sq-AL" w:bidi="ar-SA"/>
        </w:rPr>
        <w:t xml:space="preserve"> se</w:t>
      </w:r>
      <w:r w:rsidRPr="007503A7">
        <w:rPr>
          <w:rFonts w:ascii="Times New Roman" w:hAnsi="Times New Roman"/>
          <w:bCs/>
          <w:noProof/>
          <w:shd w:val="clear" w:color="auto" w:fill="FFFFFF"/>
          <w:lang w:val="sq-AL" w:bidi="ar-SA"/>
        </w:rPr>
        <w:t>:</w:t>
      </w:r>
    </w:p>
    <w:p w14:paraId="7650D60E" w14:textId="7D1643B0" w:rsidR="00BD760F" w:rsidRPr="007503A7" w:rsidRDefault="00BD760F" w:rsidP="000745C8">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bCs/>
          <w:i/>
          <w:iCs/>
          <w:noProof/>
          <w:shd w:val="clear" w:color="auto" w:fill="FFFFFF"/>
          <w:lang w:val="sq-AL" w:bidi="ar-SA"/>
        </w:rPr>
        <w:t xml:space="preserve">Lidhur me </w:t>
      </w:r>
      <w:r w:rsidR="00FE49D4" w:rsidRPr="007503A7">
        <w:rPr>
          <w:rFonts w:ascii="Times New Roman" w:hAnsi="Times New Roman"/>
          <w:bCs/>
          <w:i/>
          <w:iCs/>
          <w:noProof/>
          <w:shd w:val="clear" w:color="auto" w:fill="FFFFFF"/>
          <w:lang w:val="sq-AL" w:bidi="ar-SA"/>
        </w:rPr>
        <w:t>ç</w:t>
      </w:r>
      <w:r w:rsidR="006E4920" w:rsidRPr="007503A7">
        <w:rPr>
          <w:rFonts w:ascii="Times New Roman" w:hAnsi="Times New Roman"/>
          <w:bCs/>
          <w:i/>
          <w:iCs/>
          <w:noProof/>
          <w:shd w:val="clear" w:color="auto" w:fill="FFFFFF"/>
          <w:lang w:val="sq-AL" w:bidi="ar-SA"/>
        </w:rPr>
        <w:t>ë</w:t>
      </w:r>
      <w:r w:rsidR="00FE49D4" w:rsidRPr="007503A7">
        <w:rPr>
          <w:rFonts w:ascii="Times New Roman" w:hAnsi="Times New Roman"/>
          <w:bCs/>
          <w:i/>
          <w:iCs/>
          <w:noProof/>
          <w:shd w:val="clear" w:color="auto" w:fill="FFFFFF"/>
          <w:lang w:val="sq-AL" w:bidi="ar-SA"/>
        </w:rPr>
        <w:t>shtjen</w:t>
      </w:r>
      <w:r w:rsidRPr="007503A7">
        <w:rPr>
          <w:rFonts w:ascii="Times New Roman" w:hAnsi="Times New Roman"/>
          <w:bCs/>
          <w:i/>
          <w:iCs/>
          <w:noProof/>
          <w:shd w:val="clear" w:color="auto" w:fill="FFFFFF"/>
          <w:lang w:val="sq-AL" w:bidi="ar-SA"/>
        </w:rPr>
        <w:t xml:space="preserve"> e par</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 mbajti q</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ndrimin se:</w:t>
      </w:r>
      <w:r w:rsidRPr="007503A7">
        <w:rPr>
          <w:rFonts w:ascii="Times New Roman" w:hAnsi="Times New Roman"/>
          <w:bCs/>
          <w:noProof/>
          <w:shd w:val="clear" w:color="auto" w:fill="FFFFFF"/>
          <w:lang w:val="sq-AL" w:bidi="ar-SA"/>
        </w:rPr>
        <w:t xml:space="preserve"> Z</w:t>
      </w:r>
      <w:r w:rsidRPr="007503A7">
        <w:rPr>
          <w:rFonts w:ascii="Times New Roman" w:eastAsia="Calibri" w:hAnsi="Times New Roman"/>
          <w:bCs/>
          <w:noProof/>
          <w:lang w:val="sq-AL" w:bidi="ar-SA"/>
        </w:rPr>
        <w:t xml:space="preserve">gjatja e afatit të mbikëqyrjes sipas paragrafit 5 të nenit 59 të Kodit Penal nuk mund të kalojë kufirin maksimal prej 5 vjetësh të parashikuar nga paragrafi 4 i së njëjtës dispozitë. Kur situata e mospërmbushjes së detyrimeve nuk mund të riparohet brenda këtij kufiri kohor, gjykata duhet të zgjedhë alternativën tjetër të dispozitës, pra revokimin e pezullimit të ekzekutimit të vendimit. </w:t>
      </w:r>
      <w:r w:rsidRPr="007503A7">
        <w:rPr>
          <w:rFonts w:ascii="Times New Roman" w:hAnsi="Times New Roman"/>
          <w:lang w:val="sq-AL" w:bidi="ar-SA"/>
        </w:rPr>
        <w:t xml:space="preserve">Nëse personi shkel detyrimet ose kryen një vepër tjetër penale, ligji lejon zgjatjen efektive të periudhës së provës dhe parashikon pasoja si: revokimi i pezullimit të dënimit, ose masa të tjera (p.sh. ndryshim i detyrimeve), ose zgjatje e afatit të mbikqyrjes. Por jo zgjatje automatike dhe e pakufizuar e periudhës së provës përtej 5 viteve. </w:t>
      </w:r>
    </w:p>
    <w:p w14:paraId="45E442A8" w14:textId="77777777" w:rsidR="00BD760F" w:rsidRPr="007503A7" w:rsidRDefault="00BD760F"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Ka praktikë gjyqësore mbi nenin 59 të Kodit Penal në përgjithësi, por shumë pak (ose pothuajse aspak) e konsoliduar specifikisht mbi interpretimin e shprehjes “brenda periudhës së provës).</w:t>
      </w:r>
    </w:p>
    <w:p w14:paraId="72AC1EB9" w14:textId="77777777" w:rsidR="00BD760F" w:rsidRPr="007503A7" w:rsidRDefault="00BD760F" w:rsidP="00BD760F">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eastAsia="Calibri" w:hAnsi="Times New Roman"/>
          <w:bCs/>
          <w:noProof/>
          <w:lang w:val="sq-AL" w:bidi="ar-SA"/>
        </w:rPr>
        <w:t>Nga analizat mbi sistemin e dënimeve alternative rezulton se këto masa nuk kanë një praktikë të unifikuar dhe ka mungesë standardizimi në disa elemente të zbatimit. Edhe praktika mbi interpretimin “brenda periudhës së provës” nuk është e konsoliduar me vendime njësuese apo zhvilluese.</w:t>
      </w:r>
    </w:p>
    <w:p w14:paraId="7D88EF66" w14:textId="77777777" w:rsidR="00BD760F" w:rsidRPr="007503A7" w:rsidRDefault="00BD760F" w:rsidP="00BD760F">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Nga vendimet e gjykatave të shkallës së parë dhe apelit, kur i dënuari nuk paraqitet te Shërbimi i Provës, ose shkel detyrimet, gjykatat zakonisht revokojnë pezullimin e ekzekutimit të dënimit ose ndryshojnë detyrimet/ forcojnë mbikqyrjen. Ndërsa zgjatja e afatit të mbikqyrjes përdoret vetëm brenda afatit të vendosur, jo si krijim i një afati të ri përtej maksimumit.  Kjo është në përputhje me tekstin e nenit 59, pika 4 dhe 5 të Kodit Penal.</w:t>
      </w:r>
    </w:p>
    <w:p w14:paraId="31F54400" w14:textId="77777777" w:rsidR="00BD760F" w:rsidRPr="007503A7" w:rsidRDefault="00BD760F"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Por ndodh që gjykata të veprojë edhe në tejkalim të afatit të parashikuar në këtë dispozitë, sikurse është edhe vendimi Nr.681 Akti datë 25.11.2019, me anë të të cilit Gjykata e Rrethit Gjyqësor Tiranë të vendos zgjatjen për tre vite të afatit të periudhës së mbikqyrjes për të dënuarën, lidhur me dënimin e dhënë ndaj saj me vendimin Nr.2029, datë 27.04.2015, të Gjykatës së Rrethit Gjyqësor Fier.</w:t>
      </w:r>
    </w:p>
    <w:p w14:paraId="22452A77" w14:textId="77777777" w:rsidR="00BD760F" w:rsidRPr="007503A7" w:rsidRDefault="00BD760F"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Ligji përdor një formulim të hapur: “zgjatjen e afatit të mbikqyrjes, brenda periudhës së provës”, por nuk sqaron nëse ka pezullim të rrjedhjes së afatit të mbikqyrjes. Duke qenë se nuk ka vendim njësues/zhvillues nga Gjykata e Lartë për këtë pikë, krijohen hapësira për interpretime të ndryshme. Praktika gjyqësore në shumë raste kur disponon për zgjatjen e afatit të mbikqyrjes e ka interpretuar këtë dispozitë si lejuese të tejkalimit të 5 viteve. Ajo e përdor pikën 5 të nenit 59 të Kodit Penal si instrument për zgjatjen e afatit brenda afatit ekzistues të provës jo vetëm për periudha prove më të shkurtra se 5 vjet, por edhe për periudha prove përtej tij.</w:t>
      </w:r>
    </w:p>
    <w:p w14:paraId="16B53993" w14:textId="1142EBC5" w:rsidR="00BD760F" w:rsidRPr="007503A7" w:rsidRDefault="00BD760F" w:rsidP="00BD760F">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bCs/>
          <w:i/>
          <w:iCs/>
          <w:noProof/>
          <w:shd w:val="clear" w:color="auto" w:fill="FFFFFF"/>
          <w:lang w:val="sq-AL" w:bidi="ar-SA"/>
        </w:rPr>
        <w:t xml:space="preserve">Lidhur me </w:t>
      </w:r>
      <w:r w:rsidR="00FE49D4" w:rsidRPr="007503A7">
        <w:rPr>
          <w:rFonts w:ascii="Times New Roman" w:hAnsi="Times New Roman"/>
          <w:bCs/>
          <w:i/>
          <w:iCs/>
          <w:noProof/>
          <w:shd w:val="clear" w:color="auto" w:fill="FFFFFF"/>
          <w:lang w:val="sq-AL" w:bidi="ar-SA"/>
        </w:rPr>
        <w:t>ç</w:t>
      </w:r>
      <w:r w:rsidR="006E4920" w:rsidRPr="007503A7">
        <w:rPr>
          <w:rFonts w:ascii="Times New Roman" w:hAnsi="Times New Roman"/>
          <w:bCs/>
          <w:i/>
          <w:iCs/>
          <w:noProof/>
          <w:shd w:val="clear" w:color="auto" w:fill="FFFFFF"/>
          <w:lang w:val="sq-AL" w:bidi="ar-SA"/>
        </w:rPr>
        <w:t>ë</w:t>
      </w:r>
      <w:r w:rsidR="00FE49D4" w:rsidRPr="007503A7">
        <w:rPr>
          <w:rFonts w:ascii="Times New Roman" w:hAnsi="Times New Roman"/>
          <w:bCs/>
          <w:i/>
          <w:iCs/>
          <w:noProof/>
          <w:shd w:val="clear" w:color="auto" w:fill="FFFFFF"/>
          <w:lang w:val="sq-AL" w:bidi="ar-SA"/>
        </w:rPr>
        <w:t>shtjen</w:t>
      </w:r>
      <w:r w:rsidRPr="007503A7">
        <w:rPr>
          <w:rFonts w:ascii="Times New Roman" w:hAnsi="Times New Roman"/>
          <w:bCs/>
          <w:i/>
          <w:iCs/>
          <w:noProof/>
          <w:shd w:val="clear" w:color="auto" w:fill="FFFFFF"/>
          <w:lang w:val="sq-AL" w:bidi="ar-SA"/>
        </w:rPr>
        <w:t xml:space="preserve"> e dyt</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 mbajti q</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ndrimin se:</w:t>
      </w:r>
      <w:r w:rsidRPr="007503A7">
        <w:rPr>
          <w:rFonts w:ascii="Times New Roman" w:hAnsi="Times New Roman"/>
          <w:bCs/>
          <w:noProof/>
          <w:shd w:val="clear" w:color="auto" w:fill="FFFFFF"/>
          <w:lang w:val="sq-AL" w:bidi="ar-SA"/>
        </w:rPr>
        <w:t xml:space="preserve"> N</w:t>
      </w:r>
      <w:r w:rsidRPr="007503A7">
        <w:rPr>
          <w:rFonts w:ascii="Times New Roman" w:eastAsia="Calibri" w:hAnsi="Times New Roman"/>
          <w:bCs/>
          <w:noProof/>
          <w:lang w:val="sq-AL" w:bidi="ar-SA"/>
        </w:rPr>
        <w:t xml:space="preserve">eni 59 i Kodit Penal nuk lejon llogaritjen kumulative aritmetike të periudhave të ndërprerjes së kontakteve me Shërbimin e Provës dhe të zgjatjeve të afatit të mbikëqyrjes, kur kjo llogaritje do të rezultonte në një periudhë faktike që tejkalon kufirin maksimal prej 5 vjetësh të parashikuar nga paragrafi 4 i nenit 59. </w:t>
      </w:r>
      <w:r w:rsidRPr="007503A7">
        <w:rPr>
          <w:rFonts w:ascii="Times New Roman" w:hAnsi="Times New Roman"/>
          <w:lang w:val="sq-AL" w:bidi="ar-SA"/>
        </w:rPr>
        <w:t>Çdo zgjatje, qoftë për shkak të ndërprerjes së kontakteve, qoftë për shkak të mospërmbushjes së detyrimeve, duhet të mbetet brenda kornizës ligjore të caktuar nga paragrafi 4. Përtej këtij kufiri, alternativa e duhur juridike është revokimi i pezullimit dhe vuajtja e dënimit në burg.</w:t>
      </w:r>
    </w:p>
    <w:p w14:paraId="5ABEF2E8" w14:textId="77777777" w:rsidR="00BD760F" w:rsidRPr="007503A7" w:rsidRDefault="00BD760F" w:rsidP="00BD760F">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Së pari, kufiri 24 muaj deri në 5 vjet është limit material. Pika 4 e nenit 59 të Kodit Penal vendos tavan absolut ligjor për periudhën e provës. Ky është një kufi imperativ: gjykata duhet të qëndrojë brenda tij kur cakton periudhën dhe, nuk ka bazë ligjore për ta tejkaluar më pas me operacione “aritmetike”.</w:t>
      </w:r>
    </w:p>
    <w:p w14:paraId="3BC35D9A" w14:textId="77777777" w:rsidR="00BD760F" w:rsidRPr="007503A7" w:rsidRDefault="00BD760F" w:rsidP="00BD760F">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lastRenderedPageBreak/>
        <w:t>Së dyti, “zgjatja e e afatit të mbikqyrjes”, në pikën 5 të nenit 59 të Kodit Penal ka kuptim të kufizuar. Shprehja e pikës 5 të këtij neni nuk krijon një afat të ri, por lejon rregullim brenda periudhës ekzistuese. Pra, mund të zgjatet mbikqyrja deri në kufirin e vendosur, por jo përtej kufirit maksimal ligjor prej 5 vjetësh.</w:t>
      </w:r>
    </w:p>
    <w:p w14:paraId="01B4CD8D" w14:textId="77777777" w:rsidR="00BD760F" w:rsidRPr="007503A7" w:rsidRDefault="00BD760F"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Së treti, nuk ekziston mekanizëm ligjor për “pezullim të kohës së provës”. Kodi Penal nuk parashikon ndërprerje/suspension të rrjedhjes së afatit të provës, pra nuk ka bazë që “koha të ndalet” kur i dënuari shkëput kontaktet. Kjo është thelbësore, pasi pa një normë të tillë, koha vazhdon të rrjedhë normalisht dhe nuk mund të rikuperohet më pas duke u shtuar mbi afatin maksimal.</w:t>
      </w:r>
    </w:p>
    <w:p w14:paraId="6A1A9CFC" w14:textId="77777777" w:rsidR="00BD760F" w:rsidRPr="007503A7" w:rsidRDefault="00BD760F"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Periudha e provës e parashikuar në pikën 4 të nenit 59 të Kodit Penal 24 muaj deri në 5 vjet është tavan maksimal i pakapërcyeshëm. Zgjatjet e mbikqyrjes mund të bëhen vetëm brenda këtij tavani. Ndërprerjet faktike të kontaktit nuk pezullojnë, nuk zgjasin afatin ligjor dhe nuk lejohet llogaritje kumulative që çon përtej afatit ligjor prej 5 viteve</w:t>
      </w:r>
    </w:p>
    <w:p w14:paraId="6A673F41" w14:textId="77777777" w:rsidR="00FE49D4" w:rsidRPr="007503A7" w:rsidRDefault="00BD760F"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Kjo nuk do të thotë se ndërprerjet pa shkaqe të arsyeshme mbeten pa pasoja për të dënuarin. Ato vlerësohen nga gjykata si tregues të mospërmbushjes së kushteve substanciale të nenit 59 të Kodit Penal dhe mund të shërbejnë si bazë për revokimin e pezullimit të ekzekutimit të dënimit, sipas alternativës së fundit të paragrafit 5 dhe afati i mbikqyrjes të llogaritet në mënyrë kumulative duke e tejkaluar kufirin maksimal të parashikuar në pikën 5 të nenit 59 të Kodit Penal.</w:t>
      </w:r>
    </w:p>
    <w:p w14:paraId="4CC660BF" w14:textId="6D3B3C5D" w:rsidR="00FE49D4" w:rsidRPr="007503A7" w:rsidRDefault="00BD760F"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bCs/>
          <w:i/>
          <w:iCs/>
          <w:noProof/>
          <w:shd w:val="clear" w:color="auto" w:fill="FFFFFF"/>
          <w:lang w:val="sq-AL" w:bidi="ar-SA"/>
        </w:rPr>
        <w:t xml:space="preserve">Lidhur me </w:t>
      </w:r>
      <w:r w:rsidR="00FE49D4" w:rsidRPr="007503A7">
        <w:rPr>
          <w:rFonts w:ascii="Times New Roman" w:hAnsi="Times New Roman"/>
          <w:bCs/>
          <w:i/>
          <w:iCs/>
          <w:noProof/>
          <w:shd w:val="clear" w:color="auto" w:fill="FFFFFF"/>
          <w:lang w:val="sq-AL" w:bidi="ar-SA"/>
        </w:rPr>
        <w:t>ç</w:t>
      </w:r>
      <w:r w:rsidR="006E4920" w:rsidRPr="007503A7">
        <w:rPr>
          <w:rFonts w:ascii="Times New Roman" w:hAnsi="Times New Roman"/>
          <w:bCs/>
          <w:i/>
          <w:iCs/>
          <w:noProof/>
          <w:shd w:val="clear" w:color="auto" w:fill="FFFFFF"/>
          <w:lang w:val="sq-AL" w:bidi="ar-SA"/>
        </w:rPr>
        <w:t>ë</w:t>
      </w:r>
      <w:r w:rsidR="00FE49D4" w:rsidRPr="007503A7">
        <w:rPr>
          <w:rFonts w:ascii="Times New Roman" w:hAnsi="Times New Roman"/>
          <w:bCs/>
          <w:i/>
          <w:iCs/>
          <w:noProof/>
          <w:shd w:val="clear" w:color="auto" w:fill="FFFFFF"/>
          <w:lang w:val="sq-AL" w:bidi="ar-SA"/>
        </w:rPr>
        <w:t>shtjen</w:t>
      </w:r>
      <w:r w:rsidRPr="007503A7">
        <w:rPr>
          <w:rFonts w:ascii="Times New Roman" w:hAnsi="Times New Roman"/>
          <w:bCs/>
          <w:i/>
          <w:iCs/>
          <w:noProof/>
          <w:shd w:val="clear" w:color="auto" w:fill="FFFFFF"/>
          <w:lang w:val="sq-AL" w:bidi="ar-SA"/>
        </w:rPr>
        <w:t xml:space="preserve"> e tret</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 mbajti q</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ndrimin se:</w:t>
      </w:r>
      <w:r w:rsidR="00FE49D4" w:rsidRPr="007503A7">
        <w:rPr>
          <w:rFonts w:ascii="Times New Roman" w:hAnsi="Times New Roman"/>
          <w:bCs/>
          <w:i/>
          <w:iCs/>
          <w:noProof/>
          <w:shd w:val="clear" w:color="auto" w:fill="FFFFFF"/>
          <w:lang w:val="sq-AL" w:bidi="ar-SA"/>
        </w:rPr>
        <w:t xml:space="preserve"> </w:t>
      </w:r>
      <w:r w:rsidR="00FE49D4" w:rsidRPr="007503A7">
        <w:rPr>
          <w:rFonts w:ascii="Times New Roman" w:hAnsi="Times New Roman"/>
          <w:lang w:val="sq-AL" w:bidi="ar-SA"/>
        </w:rPr>
        <w:t>Kjo situatë duhet analizuar duke dalluar mes dy aspekteve: aspekti i fazës së gjykimit në themel dhe aspekti i fazës së ekzekutimit. Në fazën e gjykimit në themel, që është faza në të cilën ndodhemi në rastin konkret, fakti që një dënim alternativ ka qenë i ekzekutuar mbi bazën e një vendimi që më pas u prish nga Gjykata e Lartë, nuk mund të krijojë në vetvete të drejta substanciale që pengojnë gjykatën e rigjykimit nga rivlerësimi i kushteve për aplikimin e dënimit alternativ. Sikurse parashikon neni 440 i K.Pr.Penale, gjykata e rigjykimit i përmbahet konkluzioneve të Gjykatës së Lartë mbi çdo çështje të së drejtës. Kur Gjykata e Lartë konstaton që në rigjykim Gjykata e Apelit, duhet të arsyetojë në lidhje me kushtet që përmbush e gjykuara për t’u aplikuar ndaj saj dënimi alternativ i parashikuar nga neni 59, gjykata e rigjykimit duhet t’i vlerësojë sërish ato kushte, qoftë edhe duke u mbështetur në kohëzgjatjen e ekzekutimit faktik të mëparshëm.</w:t>
      </w:r>
    </w:p>
    <w:p w14:paraId="5B9A21C5" w14:textId="77777777" w:rsidR="00FE49D4" w:rsidRPr="007503A7" w:rsidRDefault="00FE49D4"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 xml:space="preserve">Periudha gjatë së cilës e dënuara ka qenë faktikisht nën mbikëqyrjen e Shërbimit të Provës nuk mund të shpërfillet, por ajo nuk mund të barazohet automatikisht me një kohë që zbritet mekanikisht nga dënimi me burgim, pasi ligji nuk parashikon një formulë të tillë të drejtpërdrejtë. </w:t>
      </w:r>
    </w:p>
    <w:p w14:paraId="7EB47128" w14:textId="77777777"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Ndodhur në një situatë të njëjtë Gjykata e Apelit Durrës i është drejtuar Gjykatës Kushtetuese me kërkesën që të shfuqizohet si antikushtetues neni 57 i Kodit Penal dhe neni 109 i Kodit të Drejtësisë Penale për të Mitur në lidhje me paragrafin e katërt të nenit 62 të Kodit Penal, në pjesën që nuk parashikohet konvertimi i dënimeve alternative në dënime kryesore.</w:t>
      </w:r>
      <w:r w:rsidRPr="007503A7">
        <w:rPr>
          <w:rFonts w:ascii="Times New Roman" w:eastAsia="Calibri" w:hAnsi="Times New Roman"/>
          <w:b/>
          <w:noProof/>
          <w:lang w:val="sq-AL" w:bidi="ar-SA"/>
        </w:rPr>
        <w:t xml:space="preserve"> </w:t>
      </w:r>
      <w:r w:rsidRPr="007503A7">
        <w:rPr>
          <w:rFonts w:ascii="Times New Roman" w:hAnsi="Times New Roman"/>
          <w:lang w:val="sq-AL" w:bidi="ar-SA"/>
        </w:rPr>
        <w:t>Me vendimin nr. 75 të datës 12.05.2021, Gjykata Kushtetuese nuk e ka konsideruar këtë kërkesë.</w:t>
      </w:r>
    </w:p>
    <w:p w14:paraId="4A96C150" w14:textId="77777777"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Tek çështja e të gjykuarës Doko, kjo periudhë nuk mund të merret në konsideratë në fazën e ekzekutimit të vendimit penal, nga prokurori kompetent dhe, në rast kundërshtimi, nga gjykata e ekzekutimit, sipas neneve 462, 463, 470 dhe 471 të Kodit të Procedurës Penale, si dhe dispozitave të ligjit nr. 79/2020 “Për ekzekutimin e vendimeve penale”, pa u shprehur më parë gjykata për faktet dhe rrethanat e shqyrtuara prej saj. Në këtë kuptim, vlerësimi i kohës së ekzekutuar në Shërbimin e Provës nuk lidhet me përcaktimin e pasojave konkrete të ekzekutimit të mëparshëm të dënimit alternativ dhe me mënyrën e ekzekutimit të vendimit përfundimtar, por me shmangien apo rishikimin e vetë dënimit të caktuar nga gjykata.</w:t>
      </w:r>
    </w:p>
    <w:p w14:paraId="58E1CCDD" w14:textId="77777777" w:rsidR="00FE49D4" w:rsidRPr="007503A7" w:rsidRDefault="00FE49D4"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lastRenderedPageBreak/>
        <w:t>Lidhur me rrezikun e “rindëshkimit”, të cilit i referohet edhe vendimi nr. 24, datë 27.04.2023, i Gjykatës Kushtetuese, theksojmë se ky rrezik nuk mund të shmanget plotësisht përmes mekanizmave ekzekutivë të zbritjes së kohës së vuajtur si dënim alternativ nga dënimi përfundimtar, pasi mungon baza ligjore e zbatueshme. Megjithatë, ky vlerësim është i ndryshëm nga vendimmarrja mbi caktimin dhe mënyrën e dënimit, që përbën objektin e shqyrtimit aktual të Gjykatës së Lartë.</w:t>
      </w:r>
    </w:p>
    <w:p w14:paraId="48EA4E64" w14:textId="77777777"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Në rastin konkret të të gjykuarës Doko, baza juridike për ekzekutimin e dënimit alternativ, ka qenë një vendim i formës së prerë. Pas prishjes së tij më datë 17.01.2023, ekzekutimi i mëtejshëm ka qenë i pabazuar ligjërisht.</w:t>
      </w:r>
    </w:p>
    <w:p w14:paraId="4A223C24" w14:textId="77777777" w:rsidR="00FE49D4" w:rsidRPr="007503A7" w:rsidRDefault="00FE49D4"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Gjykata e Apelit ka patur detyrimin të arsyetojë në vendimin e saj në lidhje me faktin se e gjykuara ka qenë nën masën alternative të dënimit me burgim për një periudhë të caktuar kohe, afërsinë e përfundimit të periudhës së provës, si dhe realizimit në praktikë të qëllimit riedukativ që ka dënimi.</w:t>
      </w:r>
    </w:p>
    <w:p w14:paraId="161A9671" w14:textId="71472EFC"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bCs/>
          <w:i/>
          <w:iCs/>
          <w:noProof/>
          <w:shd w:val="clear" w:color="auto" w:fill="FFFFFF"/>
          <w:lang w:val="sq-AL" w:bidi="ar-SA"/>
        </w:rPr>
        <w:t>Lidhur me ç</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shtjen e kat</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rt, mbajti q</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ndrimin se:</w:t>
      </w:r>
      <w:r w:rsidRPr="007503A7">
        <w:rPr>
          <w:rFonts w:ascii="Times New Roman" w:eastAsia="Calibri" w:hAnsi="Times New Roman"/>
          <w:b/>
          <w:noProof/>
          <w:lang w:val="sq-AL" w:bidi="ar-SA"/>
        </w:rPr>
        <w:t xml:space="preserve"> </w:t>
      </w:r>
      <w:r w:rsidRPr="007503A7">
        <w:rPr>
          <w:rFonts w:ascii="Times New Roman" w:hAnsi="Times New Roman"/>
          <w:lang w:val="sq-AL" w:bidi="ar-SA"/>
        </w:rPr>
        <w:t>Nga shkaqet e ngritura nga e gjykuara, plotësohen kushtet e nenit 432, paragrafi 1, të Kodit t</w:t>
      </w:r>
      <w:r w:rsidR="006E4920" w:rsidRPr="007503A7">
        <w:rPr>
          <w:rFonts w:ascii="Times New Roman" w:hAnsi="Times New Roman"/>
          <w:lang w:val="sq-AL" w:bidi="ar-SA"/>
        </w:rPr>
        <w:t>ë</w:t>
      </w:r>
      <w:r w:rsidRPr="007503A7">
        <w:rPr>
          <w:rFonts w:ascii="Times New Roman" w:hAnsi="Times New Roman"/>
          <w:lang w:val="sq-AL" w:bidi="ar-SA"/>
        </w:rPr>
        <w:t xml:space="preserve"> Procedur</w:t>
      </w:r>
      <w:r w:rsidR="006E4920" w:rsidRPr="007503A7">
        <w:rPr>
          <w:rFonts w:ascii="Times New Roman" w:hAnsi="Times New Roman"/>
          <w:lang w:val="sq-AL" w:bidi="ar-SA"/>
        </w:rPr>
        <w:t>ë</w:t>
      </w:r>
      <w:r w:rsidRPr="007503A7">
        <w:rPr>
          <w:rFonts w:ascii="Times New Roman" w:hAnsi="Times New Roman"/>
          <w:lang w:val="sq-AL" w:bidi="ar-SA"/>
        </w:rPr>
        <w:t>s Penale.</w:t>
      </w:r>
    </w:p>
    <w:p w14:paraId="64AEB57A" w14:textId="77777777"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Vendimi i Gjykatës së Apelit përmban një arsyetim të plotë, koherent dhe të bazuar në provat dhe në ligjin material e procedural penal. Ai aplikon: (i) ligjin penal më të favorshëm sipas nenit 3 të Kodit Penal; (ii) dënimin sipas minimumit të dispozitës; (iii) parimet e individualizimit të dënimit sipas neneve 47-50 të Kodit Penal; dhe (iv) konkluzionet detyruese të Kolegjit Penal të Gjykatës së Lartë sipas neneve 440 dhe 447 të K.Pr.Penale.</w:t>
      </w:r>
    </w:p>
    <w:p w14:paraId="49CF72DB" w14:textId="77777777"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Lidhur me ligjshmërinë e rikthimit të së gjykuarës në vuajtjen e 2 (dy) vjet burgim efektiv, vlerësojmë se ky është rezultati ligjor jo i drejtë në kuadër të procedimit konkret, për disa arsye: (i) e gjykuara kishte vendosur kontaktin e parë me Shërbimin e Provës më datën 20.06.2017 dhe ka respektuar detyrimet e vendimit nr.301 datë 25.04.2017 të Gjykatës së Apelit Vlorë edhe pas rivendosjes së kontaktit me Shërbimin e Provës Tiranë 08.01.2020, në zbatim të vendimit nr.689, datë 25.11.2019 për zgjatjen me 3 vjet të afatit të mbikqyrjes, nga Gjykata e Rrethit Gjyqësor Tiranë (pas ndërprerjes së kontaktit më datën 08.09.2018); (ii) nga data 17.01.2023, vendimi që urdhëronte dënimin alternativ nuk ishte më në fuqi; (iii) për të gjykuarën duhej të verifikohej nëse plotësonte kushtet substanciale të nenit 59 të Kodit Penal, sikurse e ka konstatuar Kolegji Penal i Gjykatës së Lartë; (iv) vendimi i Prokurorisë Tiranë i datës 10.05.2024 për përjashtim nga amnistia është i pabazuar ligjërisht, për sa kohë në atë datë nuk ekzistonte një vendim dënimi i formës së prerë; (v) periudha faktike e provës, e cila nuk ishte përfunduar sipas raportimeve të Shërbimit të Provës; (vi) koha e kryerjes së veprës penale (vii) Gjykimi në Gjykatën e Apelit pas 10 vjetësh nga Gjykimi i zhvilluar në Gjykatën e Rrethit Gjyqësor Fier, (vii) sjellja e së gjykuarës pas kryerjes së veprës penale, të cilat nuk janë vlerësuar drejt për të parë nëse justifikohej aplikimi i dënimit alternativ.</w:t>
      </w:r>
    </w:p>
    <w:p w14:paraId="0A2219FA" w14:textId="77777777" w:rsidR="00FE49D4" w:rsidRPr="007503A7" w:rsidRDefault="00FE49D4" w:rsidP="00493C12">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Kohëzgjatja faktike e ekzekutimit të mëparshëm të dënimit alternativ, që mbetet e dokumentuar në aktet e Shërbimit të Provës, nuk mund të bëhet objekt vlerësimi në fazën e ekzekutimit të vendimit të formës së prerë, përmes mekanizmave të zbritjes së kohës që do të aplikohen nga organet kompetente, pasi e gjykuara është dënuar me dënim me burgim efektiv, pra kemi të bëjmë me dy dënime të ndryshme.</w:t>
      </w:r>
    </w:p>
    <w:p w14:paraId="337495FC" w14:textId="7E4DC6AB"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bCs/>
          <w:i/>
          <w:iCs/>
          <w:noProof/>
          <w:shd w:val="clear" w:color="auto" w:fill="FFFFFF"/>
          <w:lang w:val="sq-AL" w:bidi="ar-SA"/>
        </w:rPr>
        <w:t>Lidhur me ç</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shtjen e pest</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 mbajti q</w:t>
      </w:r>
      <w:r w:rsidR="006E4920" w:rsidRPr="007503A7">
        <w:rPr>
          <w:rFonts w:ascii="Times New Roman" w:hAnsi="Times New Roman"/>
          <w:bCs/>
          <w:i/>
          <w:iCs/>
          <w:noProof/>
          <w:shd w:val="clear" w:color="auto" w:fill="FFFFFF"/>
          <w:lang w:val="sq-AL" w:bidi="ar-SA"/>
        </w:rPr>
        <w:t>ë</w:t>
      </w:r>
      <w:r w:rsidRPr="007503A7">
        <w:rPr>
          <w:rFonts w:ascii="Times New Roman" w:hAnsi="Times New Roman"/>
          <w:bCs/>
          <w:i/>
          <w:iCs/>
          <w:noProof/>
          <w:shd w:val="clear" w:color="auto" w:fill="FFFFFF"/>
          <w:lang w:val="sq-AL" w:bidi="ar-SA"/>
        </w:rPr>
        <w:t xml:space="preserve">ndrimin se: </w:t>
      </w:r>
      <w:r w:rsidRPr="007503A7">
        <w:rPr>
          <w:rFonts w:ascii="Times New Roman" w:hAnsi="Times New Roman"/>
          <w:lang w:val="sq-AL" w:bidi="ar-SA"/>
        </w:rPr>
        <w:t xml:space="preserve">Rekursi i paraqitur nga e gjykuara Evadiola Doko </w:t>
      </w:r>
      <w:r w:rsidRPr="007503A7">
        <w:rPr>
          <w:rFonts w:ascii="Times New Roman" w:eastAsia="MS Mincho" w:hAnsi="Times New Roman"/>
          <w:lang w:val="sq-AL" w:bidi="ar-SA"/>
        </w:rPr>
        <w:t xml:space="preserve">përmban shkaqe nga ato të parashikuara nga neni 432 i KPP, pasi, lidhet me një çështje ligjore, e cila në vetvete mbart elementë të nevojshëm për një qëndrim njësues/zhvillues dhe që na është prezantuar dhe nga praktika. Çështja lidhet me rastin kur gjykimi në lidhje me bazueshmërinë e aplikimit të nenit 59 të K. Penal apo një alternative tjetër dënimi, bëhet pas përmbushjes pjesërisht të alternativës së dënimit me burgim nga e gjykuara për detyrimet e caktuara nga gjykata më e ulët, sikurse në rastin konkret. </w:t>
      </w:r>
    </w:p>
    <w:p w14:paraId="5B6EC6B1" w14:textId="7358D906"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eastAsia="MS Mincho" w:hAnsi="Times New Roman"/>
          <w:lang w:val="sq-AL" w:bidi="ar-SA"/>
        </w:rPr>
        <w:lastRenderedPageBreak/>
        <w:t xml:space="preserve">Në mënyrë më të përgjithshme çështja ligjore mund të formulohet: </w:t>
      </w:r>
      <w:r w:rsidRPr="007503A7">
        <w:rPr>
          <w:rFonts w:ascii="Times New Roman" w:eastAsia="MS Mincho" w:hAnsi="Times New Roman"/>
          <w:bCs/>
          <w:i/>
          <w:lang w:val="sq-AL" w:bidi="ar-SA"/>
        </w:rPr>
        <w:t>“A kemi c</w:t>
      </w:r>
      <w:r w:rsidR="00C27E88" w:rsidRPr="007503A7">
        <w:rPr>
          <w:rFonts w:ascii="Times New Roman" w:eastAsia="MS Mincho" w:hAnsi="Times New Roman"/>
          <w:bCs/>
          <w:i/>
          <w:lang w:val="sq-AL" w:bidi="ar-SA"/>
        </w:rPr>
        <w:t>e</w:t>
      </w:r>
      <w:r w:rsidRPr="007503A7">
        <w:rPr>
          <w:rFonts w:ascii="Times New Roman" w:eastAsia="MS Mincho" w:hAnsi="Times New Roman"/>
          <w:bCs/>
          <w:i/>
          <w:lang w:val="sq-AL" w:bidi="ar-SA"/>
        </w:rPr>
        <w:t xml:space="preserve">nim të të drejtave themelore të individit me rastin e caktimit ndaj të dënuarit të dënimit me burgim, pas përmbushjes pjesërisht të një alternative të dënimit me burgim”?  </w:t>
      </w:r>
      <w:r w:rsidRPr="007503A7">
        <w:rPr>
          <w:rFonts w:ascii="Times New Roman" w:eastAsia="MS Mincho" w:hAnsi="Times New Roman"/>
          <w:lang w:val="sq-AL" w:bidi="ar-SA"/>
        </w:rPr>
        <w:t>Për të mbajtur një qëndrim të njësuar në lidhje me sa më lart, ne kërkojmë që në lidhje me këtë çështje, të nisë procedura për njësimin/zhvillimin e praktikës gjyqësore konform nenit 438</w:t>
      </w:r>
      <w:r w:rsidRPr="007503A7">
        <w:rPr>
          <w:rFonts w:ascii="Times New Roman" w:eastAsia="MS Mincho" w:hAnsi="Times New Roman"/>
          <w:b/>
          <w:i/>
          <w:lang w:val="sq-AL" w:bidi="ar-SA"/>
        </w:rPr>
        <w:t>/</w:t>
      </w:r>
      <w:r w:rsidRPr="007503A7">
        <w:rPr>
          <w:rFonts w:ascii="Times New Roman" w:eastAsia="MS Mincho" w:hAnsi="Times New Roman"/>
          <w:lang w:val="sq-AL" w:bidi="ar-SA"/>
        </w:rPr>
        <w:t>1 të Kodit t</w:t>
      </w:r>
      <w:r w:rsidR="006E4920" w:rsidRPr="007503A7">
        <w:rPr>
          <w:rFonts w:ascii="Times New Roman" w:eastAsia="MS Mincho" w:hAnsi="Times New Roman"/>
          <w:lang w:val="sq-AL" w:bidi="ar-SA"/>
        </w:rPr>
        <w:t>ë</w:t>
      </w:r>
      <w:r w:rsidRPr="007503A7">
        <w:rPr>
          <w:rFonts w:ascii="Times New Roman" w:eastAsia="MS Mincho" w:hAnsi="Times New Roman"/>
          <w:lang w:val="sq-AL" w:bidi="ar-SA"/>
        </w:rPr>
        <w:t xml:space="preserve"> Procedur</w:t>
      </w:r>
      <w:r w:rsidR="006E4920" w:rsidRPr="007503A7">
        <w:rPr>
          <w:rFonts w:ascii="Times New Roman" w:eastAsia="MS Mincho" w:hAnsi="Times New Roman"/>
          <w:lang w:val="sq-AL" w:bidi="ar-SA"/>
        </w:rPr>
        <w:t>ë</w:t>
      </w:r>
      <w:r w:rsidRPr="007503A7">
        <w:rPr>
          <w:rFonts w:ascii="Times New Roman" w:eastAsia="MS Mincho" w:hAnsi="Times New Roman"/>
          <w:lang w:val="sq-AL" w:bidi="ar-SA"/>
        </w:rPr>
        <w:t>s Penale.</w:t>
      </w:r>
    </w:p>
    <w:p w14:paraId="31F235D7" w14:textId="42576A9A" w:rsidR="00FE49D4" w:rsidRPr="007503A7" w:rsidRDefault="00FE49D4" w:rsidP="00FE49D4">
      <w:pPr>
        <w:pStyle w:val="ListParagraph"/>
        <w:numPr>
          <w:ilvl w:val="0"/>
          <w:numId w:val="11"/>
        </w:numPr>
        <w:tabs>
          <w:tab w:val="left" w:pos="540"/>
        </w:tabs>
        <w:ind w:left="450"/>
        <w:jc w:val="both"/>
        <w:rPr>
          <w:rFonts w:ascii="Times New Roman" w:eastAsia="Calibri" w:hAnsi="Times New Roman"/>
          <w:bCs/>
          <w:i/>
          <w:iCs/>
          <w:noProof/>
          <w:lang w:val="sq-AL" w:bidi="ar-SA"/>
        </w:rPr>
      </w:pPr>
      <w:r w:rsidRPr="007503A7">
        <w:rPr>
          <w:rFonts w:ascii="Times New Roman" w:hAnsi="Times New Roman"/>
          <w:lang w:val="sq-AL" w:bidi="ar-SA"/>
        </w:rPr>
        <w:t>Nëse nuk do të çmohet nisja e procedurës për njësimin/zhvillimin e praktikës atëherë bazuar në nenin 441/ pika 1, shkronja “c” të Kodit t</w:t>
      </w:r>
      <w:r w:rsidR="006E4920" w:rsidRPr="007503A7">
        <w:rPr>
          <w:rFonts w:ascii="Times New Roman" w:hAnsi="Times New Roman"/>
          <w:lang w:val="sq-AL" w:bidi="ar-SA"/>
        </w:rPr>
        <w:t>ë</w:t>
      </w:r>
      <w:r w:rsidRPr="007503A7">
        <w:rPr>
          <w:rFonts w:ascii="Times New Roman" w:hAnsi="Times New Roman"/>
          <w:lang w:val="sq-AL" w:bidi="ar-SA"/>
        </w:rPr>
        <w:t xml:space="preserve"> Procedur</w:t>
      </w:r>
      <w:r w:rsidR="006E4920" w:rsidRPr="007503A7">
        <w:rPr>
          <w:rFonts w:ascii="Times New Roman" w:hAnsi="Times New Roman"/>
          <w:lang w:val="sq-AL" w:bidi="ar-SA"/>
        </w:rPr>
        <w:t>ë</w:t>
      </w:r>
      <w:r w:rsidRPr="007503A7">
        <w:rPr>
          <w:rFonts w:ascii="Times New Roman" w:hAnsi="Times New Roman"/>
          <w:lang w:val="sq-AL" w:bidi="ar-SA"/>
        </w:rPr>
        <w:t xml:space="preserve">s Penale kërkojmë të prishet vendimi dhe çështja të dërgohet për rishqyrtim në këtë gjykatë me tjetër trup gjykues, me qëllim vlerësimin e periudhës së </w:t>
      </w:r>
      <w:r w:rsidRPr="007503A7">
        <w:rPr>
          <w:rFonts w:ascii="Times New Roman" w:eastAsia="MS Mincho" w:hAnsi="Times New Roman"/>
          <w:lang w:val="sq-AL" w:bidi="ar-SA"/>
        </w:rPr>
        <w:t>përmbushjes pjesërisht së alternativës së dënimit me burgim të kryer prej kërkueses Evadiola Doko.</w:t>
      </w:r>
      <w:r w:rsidRPr="007503A7">
        <w:rPr>
          <w:rFonts w:ascii="Times New Roman" w:eastAsia="MS Mincho" w:hAnsi="Times New Roman"/>
          <w:b/>
          <w:i/>
          <w:lang w:val="sq-AL" w:bidi="ar-SA"/>
        </w:rPr>
        <w:t xml:space="preserve"> </w:t>
      </w:r>
    </w:p>
    <w:p w14:paraId="1045199A" w14:textId="77777777" w:rsidR="00FE49D4" w:rsidRPr="007503A7" w:rsidRDefault="00FE49D4" w:rsidP="00493C12">
      <w:pPr>
        <w:tabs>
          <w:tab w:val="left" w:pos="540"/>
        </w:tabs>
        <w:jc w:val="both"/>
        <w:rPr>
          <w:rFonts w:ascii="Times New Roman" w:eastAsia="Calibri" w:hAnsi="Times New Roman"/>
          <w:b/>
          <w:noProof/>
          <w:lang w:bidi="ar-SA"/>
        </w:rPr>
      </w:pPr>
    </w:p>
    <w:p w14:paraId="5C975D71" w14:textId="0A28C5F3" w:rsidR="00493C12" w:rsidRPr="007503A7" w:rsidRDefault="00493C12" w:rsidP="00493C12">
      <w:pPr>
        <w:pStyle w:val="ListParagraph"/>
        <w:numPr>
          <w:ilvl w:val="0"/>
          <w:numId w:val="10"/>
        </w:numPr>
        <w:tabs>
          <w:tab w:val="left" w:pos="540"/>
        </w:tabs>
        <w:jc w:val="both"/>
        <w:rPr>
          <w:rFonts w:ascii="Times New Roman" w:eastAsia="Calibri" w:hAnsi="Times New Roman"/>
          <w:b/>
          <w:noProof/>
          <w:lang w:val="sq-AL" w:bidi="ar-SA"/>
        </w:rPr>
      </w:pPr>
      <w:r w:rsidRPr="007503A7">
        <w:rPr>
          <w:rFonts w:ascii="Times New Roman" w:eastAsia="Calibri" w:hAnsi="Times New Roman"/>
          <w:b/>
          <w:noProof/>
          <w:lang w:val="sq-AL" w:bidi="ar-SA"/>
        </w:rPr>
        <w:t>Vlerësimi i Kolegjit Penal të Gjykatës së Lartë:</w:t>
      </w:r>
    </w:p>
    <w:p w14:paraId="25A268C2" w14:textId="77777777" w:rsidR="00493C12" w:rsidRPr="007503A7" w:rsidRDefault="00493C12" w:rsidP="00493C12">
      <w:pPr>
        <w:tabs>
          <w:tab w:val="left" w:pos="540"/>
        </w:tabs>
        <w:jc w:val="both"/>
        <w:rPr>
          <w:rFonts w:ascii="Times New Roman" w:eastAsia="Calibri" w:hAnsi="Times New Roman"/>
          <w:b/>
          <w:noProof/>
          <w:lang w:bidi="ar-SA"/>
        </w:rPr>
      </w:pPr>
    </w:p>
    <w:p w14:paraId="10A26093" w14:textId="21632128" w:rsidR="006E4920" w:rsidRPr="007503A7" w:rsidRDefault="00493C12" w:rsidP="006E4920">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MS Mincho" w:hAnsi="Times New Roman"/>
          <w:bCs/>
          <w:lang w:val="sq-AL" w:bidi="ar-SA"/>
        </w:rPr>
        <w:t xml:space="preserve">Kolegji Penal i Gjykatës së Lartë (në vijim Kolegji) vlerëson se rekursi nga </w:t>
      </w:r>
      <w:r w:rsidR="00304976" w:rsidRPr="007503A7">
        <w:rPr>
          <w:rFonts w:ascii="Times New Roman" w:eastAsia="MS Mincho" w:hAnsi="Times New Roman"/>
          <w:bCs/>
          <w:lang w:val="sq-AL" w:bidi="ar-SA"/>
        </w:rPr>
        <w:t>e gjykuara Evadiola Doko</w:t>
      </w:r>
      <w:r w:rsidRPr="007503A7">
        <w:rPr>
          <w:rFonts w:ascii="Times New Roman" w:eastAsia="MS Mincho" w:hAnsi="Times New Roman"/>
          <w:bCs/>
          <w:lang w:val="sq-AL" w:bidi="ar-SA"/>
        </w:rPr>
        <w:t xml:space="preserve"> është paraqitur brenda afatit ligjor</w:t>
      </w:r>
      <w:r w:rsidRPr="007503A7">
        <w:rPr>
          <w:rFonts w:ascii="Times New Roman" w:eastAsia="MS Mincho" w:hAnsi="Times New Roman"/>
          <w:lang w:val="sq-AL" w:bidi="ar-SA"/>
        </w:rPr>
        <w:t xml:space="preserve"> </w:t>
      </w:r>
      <w:r w:rsidRPr="007503A7">
        <w:rPr>
          <w:rFonts w:ascii="Times New Roman" w:eastAsia="MS Mincho" w:hAnsi="Times New Roman"/>
          <w:bCs/>
          <w:lang w:val="sq-AL" w:bidi="ar-SA"/>
        </w:rPr>
        <w:t>dhe në formën</w:t>
      </w:r>
      <w:r w:rsidRPr="007503A7">
        <w:rPr>
          <w:rFonts w:ascii="Times New Roman" w:eastAsia="MS Mincho" w:hAnsi="Times New Roman"/>
          <w:bCs/>
          <w:vertAlign w:val="superscript"/>
          <w:lang w:val="sq-AL" w:bidi="ar-SA"/>
        </w:rPr>
        <w:t xml:space="preserve"> </w:t>
      </w:r>
      <w:r w:rsidRPr="007503A7">
        <w:rPr>
          <w:rFonts w:ascii="Times New Roman" w:eastAsia="MS Mincho" w:hAnsi="Times New Roman"/>
          <w:bCs/>
          <w:lang w:val="sq-AL" w:bidi="ar-SA"/>
        </w:rPr>
        <w:t xml:space="preserve">e parashikuar në nenin 435 të Kodit të Procedurës Penale (në vijim KPP). Prokuroria </w:t>
      </w:r>
      <w:r w:rsidR="00304976" w:rsidRPr="007503A7">
        <w:rPr>
          <w:rFonts w:ascii="Times New Roman" w:eastAsia="MS Mincho" w:hAnsi="Times New Roman"/>
          <w:bCs/>
          <w:lang w:val="sq-AL" w:bidi="ar-SA"/>
        </w:rPr>
        <w:t>është</w:t>
      </w:r>
      <w:r w:rsidRPr="007503A7">
        <w:rPr>
          <w:rFonts w:ascii="Times New Roman" w:eastAsia="MS Mincho" w:hAnsi="Times New Roman"/>
          <w:bCs/>
          <w:lang w:val="sq-AL" w:bidi="ar-SA"/>
        </w:rPr>
        <w:t xml:space="preserve"> njoftuar për rekursin. Për sa më sipër, rekursi plotëson kriteret formale për t’u pranuar për shqyrtim.</w:t>
      </w:r>
    </w:p>
    <w:p w14:paraId="77A01B8D" w14:textId="10A9925C" w:rsidR="007B16DB" w:rsidRPr="007503A7" w:rsidRDefault="006E4920" w:rsidP="007B16DB">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MS Mincho" w:hAnsi="Times New Roman"/>
          <w:bCs/>
          <w:lang w:val="sq-AL" w:bidi="ar-SA"/>
        </w:rPr>
        <w:t xml:space="preserve">Shkaqet e rekursit në Gjykatën e Lartë parashikohen nga neni 432 i Kodit të Procedurës Penale (KPP), i cili parashikon se: </w:t>
      </w:r>
      <w:r w:rsidRPr="007503A7">
        <w:rPr>
          <w:rFonts w:ascii="Times New Roman" w:eastAsia="MS Mincho" w:hAnsi="Times New Roman"/>
          <w:bCs/>
          <w:i/>
          <w:iCs/>
          <w:lang w:val="sq-AL" w:bidi="ar-SA"/>
        </w:rPr>
        <w:t>“1. Rekursi në Gjykatën e Lartë kundër vendimeve të Gjykatës së Apelit mund të bëhet për këto shkaqe: a) për mosrespektimin ose zbatimin e gabuar të ligjit material ose procedural, me rëndësi për njësimin ose zhvillimin e praktikës gjyqësore; b) për mosrespektimin ose zbatimin e gabuar të ligjit procedural me pasojë pavlefshmërinë e vendimit, pavlefshmërinë absolute të akteve ose papërdorshmërinë e provave; c) kur vendimi i ankimuar vjen në kundërshtim me praktikën e Kolegjit Penal ose të Kolegjeve të Bashkuara të Gjykatës së Lartë”</w:t>
      </w:r>
      <w:r w:rsidRPr="007503A7">
        <w:rPr>
          <w:rFonts w:ascii="Times New Roman" w:eastAsia="MS Mincho" w:hAnsi="Times New Roman"/>
          <w:bCs/>
          <w:lang w:val="sq-AL" w:bidi="ar-SA"/>
        </w:rPr>
        <w:t xml:space="preserve">. </w:t>
      </w:r>
      <w:r w:rsidR="002D0833" w:rsidRPr="007503A7">
        <w:rPr>
          <w:rFonts w:ascii="Times New Roman" w:eastAsia="MS Mincho" w:hAnsi="Times New Roman"/>
          <w:bCs/>
          <w:lang w:val="sq-AL" w:bidi="ar-SA"/>
        </w:rPr>
        <w:t xml:space="preserve"> </w:t>
      </w:r>
      <w:r w:rsidR="00AC303A" w:rsidRPr="007503A7">
        <w:rPr>
          <w:rFonts w:ascii="Times New Roman" w:eastAsia="Calibri" w:hAnsi="Times New Roman"/>
          <w:bCs/>
          <w:noProof/>
          <w:lang w:val="sq-AL" w:bidi="ar-SA"/>
        </w:rPr>
        <w:t xml:space="preserve">Nga aktet rezulton se e </w:t>
      </w:r>
      <w:r w:rsidR="004D7BA4" w:rsidRPr="007503A7">
        <w:rPr>
          <w:rFonts w:ascii="Times New Roman" w:eastAsia="Calibri" w:hAnsi="Times New Roman"/>
          <w:bCs/>
          <w:noProof/>
          <w:lang w:val="sq-AL" w:bidi="ar-SA"/>
        </w:rPr>
        <w:t>gjykuara</w:t>
      </w:r>
      <w:r w:rsidR="00AC303A" w:rsidRPr="007503A7">
        <w:rPr>
          <w:rFonts w:ascii="Times New Roman" w:eastAsia="Calibri" w:hAnsi="Times New Roman"/>
          <w:bCs/>
          <w:noProof/>
          <w:lang w:val="sq-AL" w:bidi="ar-SA"/>
        </w:rPr>
        <w:t xml:space="preserve"> Evadiola Doko është deklaruar fajtore për veprën penale “Mashtrimi”, parashikuar nga neni 143/2 i Kodit Penal. Me vendimin </w:t>
      </w:r>
      <w:r w:rsidR="00AC303A" w:rsidRPr="007503A7">
        <w:rPr>
          <w:rFonts w:ascii="Times New Roman" w:hAnsi="Times New Roman"/>
          <w:bCs/>
          <w:lang w:val="sq-AL" w:bidi="ar-SA"/>
        </w:rPr>
        <w:t>nr. 301, datë 25.04.2017</w:t>
      </w:r>
      <w:r w:rsidR="00AC303A" w:rsidRPr="007503A7">
        <w:rPr>
          <w:rFonts w:ascii="Times New Roman" w:eastAsia="Calibri" w:hAnsi="Times New Roman"/>
          <w:bCs/>
          <w:noProof/>
          <w:lang w:val="sq-AL" w:bidi="ar-SA"/>
        </w:rPr>
        <w:t>, Gjykata e Apelit Vlorë ka l</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n</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 xml:space="preserve"> n</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 xml:space="preserve"> fuqi d</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 xml:space="preserve">nimin me 3 vjet e 6 muaj burgim dhe, në zbatim të nenit 59 të Kodit Penal, ka pezulluar ekzekutimin e dënimit </w:t>
      </w:r>
      <w:r w:rsidR="004D7BA4" w:rsidRPr="007503A7">
        <w:rPr>
          <w:rFonts w:ascii="Times New Roman" w:eastAsia="Calibri" w:hAnsi="Times New Roman"/>
          <w:bCs/>
          <w:noProof/>
          <w:lang w:val="sq-AL" w:bidi="ar-SA"/>
        </w:rPr>
        <w:t xml:space="preserve">me burgim, </w:t>
      </w:r>
      <w:r w:rsidR="00AC303A" w:rsidRPr="007503A7">
        <w:rPr>
          <w:rFonts w:ascii="Times New Roman" w:eastAsia="Calibri" w:hAnsi="Times New Roman"/>
          <w:bCs/>
          <w:noProof/>
          <w:lang w:val="sq-AL" w:bidi="ar-SA"/>
        </w:rPr>
        <w:t xml:space="preserve">duke caktuar një periudhë prove prej 5 vitesh. Me vendimin nr. 00-2023-79, datë 17.01.2023, Gjykata e Lartë ka prishur këtë vendim dhe ka kthyer </w:t>
      </w:r>
      <w:r w:rsidR="007746F8" w:rsidRPr="007503A7">
        <w:rPr>
          <w:rFonts w:ascii="Times New Roman" w:eastAsia="Calibri" w:hAnsi="Times New Roman"/>
          <w:bCs/>
          <w:noProof/>
          <w:lang w:val="sq-AL" w:bidi="ar-SA"/>
        </w:rPr>
        <w:t>çë</w:t>
      </w:r>
      <w:r w:rsidR="00AC303A" w:rsidRPr="007503A7">
        <w:rPr>
          <w:rFonts w:ascii="Times New Roman" w:eastAsia="Calibri" w:hAnsi="Times New Roman"/>
          <w:bCs/>
          <w:noProof/>
          <w:lang w:val="sq-AL" w:bidi="ar-SA"/>
        </w:rPr>
        <w:t>shtjen p</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r rigjykim. Në rigjykim, Gjykata e Apelit, me vendimin nr. (403) 30-2025-1294, datë 20.02.2025</w:t>
      </w:r>
      <w:r w:rsidR="0019627F" w:rsidRPr="007503A7">
        <w:rPr>
          <w:rFonts w:ascii="Times New Roman" w:eastAsia="Calibri" w:hAnsi="Times New Roman"/>
          <w:bCs/>
          <w:noProof/>
          <w:lang w:val="sq-AL" w:bidi="ar-SA"/>
        </w:rPr>
        <w:t xml:space="preserve"> (objekt rekursi)</w:t>
      </w:r>
      <w:r w:rsidR="00AC303A" w:rsidRPr="007503A7">
        <w:rPr>
          <w:rFonts w:ascii="Times New Roman" w:eastAsia="Calibri" w:hAnsi="Times New Roman"/>
          <w:bCs/>
          <w:noProof/>
          <w:lang w:val="sq-AL" w:bidi="ar-SA"/>
        </w:rPr>
        <w:t xml:space="preserve">, nuk ka </w:t>
      </w:r>
      <w:r w:rsidR="0019627F" w:rsidRPr="007503A7">
        <w:rPr>
          <w:rFonts w:ascii="Times New Roman" w:eastAsia="Calibri" w:hAnsi="Times New Roman"/>
          <w:bCs/>
          <w:noProof/>
          <w:lang w:val="sq-AL" w:bidi="ar-SA"/>
        </w:rPr>
        <w:t>zbatuar</w:t>
      </w:r>
      <w:r w:rsidR="00AC303A" w:rsidRPr="007503A7">
        <w:rPr>
          <w:rFonts w:ascii="Times New Roman" w:eastAsia="Calibri" w:hAnsi="Times New Roman"/>
          <w:bCs/>
          <w:noProof/>
          <w:lang w:val="sq-AL" w:bidi="ar-SA"/>
        </w:rPr>
        <w:t xml:space="preserve"> k</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t</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 xml:space="preserve"> alternativ</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 xml:space="preserve"> d</w:t>
      </w:r>
      <w:r w:rsidR="007746F8" w:rsidRPr="007503A7">
        <w:rPr>
          <w:rFonts w:ascii="Times New Roman" w:eastAsia="Calibri" w:hAnsi="Times New Roman"/>
          <w:bCs/>
          <w:noProof/>
          <w:lang w:val="sq-AL" w:bidi="ar-SA"/>
        </w:rPr>
        <w:t>ë</w:t>
      </w:r>
      <w:r w:rsidR="00AC303A" w:rsidRPr="007503A7">
        <w:rPr>
          <w:rFonts w:ascii="Times New Roman" w:eastAsia="Calibri" w:hAnsi="Times New Roman"/>
          <w:bCs/>
          <w:noProof/>
          <w:lang w:val="sq-AL" w:bidi="ar-SA"/>
        </w:rPr>
        <w:t xml:space="preserve">nimi por ka caktuar ndaj të </w:t>
      </w:r>
      <w:r w:rsidR="004D7BA4" w:rsidRPr="007503A7">
        <w:rPr>
          <w:rFonts w:ascii="Times New Roman" w:eastAsia="Calibri" w:hAnsi="Times New Roman"/>
          <w:bCs/>
          <w:noProof/>
          <w:lang w:val="sq-AL" w:bidi="ar-SA"/>
        </w:rPr>
        <w:t>gjykuar</w:t>
      </w:r>
      <w:r w:rsidR="00C86C78" w:rsidRPr="007503A7">
        <w:rPr>
          <w:rFonts w:ascii="Times New Roman" w:eastAsia="Calibri" w:hAnsi="Times New Roman"/>
          <w:bCs/>
          <w:noProof/>
          <w:lang w:val="sq-AL" w:bidi="ar-SA"/>
        </w:rPr>
        <w:t>ë</w:t>
      </w:r>
      <w:r w:rsidR="004D7BA4" w:rsidRPr="007503A7">
        <w:rPr>
          <w:rFonts w:ascii="Times New Roman" w:eastAsia="Calibri" w:hAnsi="Times New Roman"/>
          <w:bCs/>
          <w:noProof/>
          <w:lang w:val="sq-AL" w:bidi="ar-SA"/>
        </w:rPr>
        <w:t>s</w:t>
      </w:r>
      <w:r w:rsidR="00AC303A" w:rsidRPr="007503A7">
        <w:rPr>
          <w:rFonts w:ascii="Times New Roman" w:eastAsia="Calibri" w:hAnsi="Times New Roman"/>
          <w:bCs/>
          <w:noProof/>
          <w:lang w:val="sq-AL" w:bidi="ar-SA"/>
        </w:rPr>
        <w:t xml:space="preserve"> dënimin me 2 vjet burgim.</w:t>
      </w:r>
      <w:r w:rsidR="007B16DB" w:rsidRPr="007503A7">
        <w:rPr>
          <w:rFonts w:ascii="Times New Roman" w:eastAsia="Calibri" w:hAnsi="Times New Roman"/>
          <w:bCs/>
          <w:noProof/>
          <w:lang w:val="sq-AL" w:bidi="ar-SA"/>
        </w:rPr>
        <w:t xml:space="preserve"> Në rekurs pretendohet se Gjykata e Apelit ka zbatuar gabim nenin 59 të Kodit Penal, pasi nuk ka vlerësuar në mënyrë të plotë pasojat juridike që rrjedhin nga ekzekutimi faktik për një periudhë të gjatë kohore i d</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 xml:space="preserve">nimit alternativ të vendosur me vendimin </w:t>
      </w:r>
      <w:r w:rsidR="007B16DB" w:rsidRPr="007503A7">
        <w:rPr>
          <w:rFonts w:ascii="Times New Roman" w:hAnsi="Times New Roman"/>
          <w:bCs/>
          <w:lang w:val="sq-AL" w:bidi="ar-SA"/>
        </w:rPr>
        <w:t>nr. 301, datë 25.04.2017</w:t>
      </w:r>
      <w:r w:rsidR="007B16DB" w:rsidRPr="007503A7">
        <w:rPr>
          <w:rFonts w:ascii="Times New Roman" w:eastAsia="Calibri" w:hAnsi="Times New Roman"/>
          <w:bCs/>
          <w:noProof/>
          <w:lang w:val="sq-AL" w:bidi="ar-SA"/>
        </w:rPr>
        <w:t>. Sipas mbrojtjes, e gjykuara Evadiola Doko ka qenë për disa vite nën mbikëqyrjen e Shërbimit të Provës dhe rikthimi i saj në vuajtjen e dënimit me burgim përbën jo vet</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m rind</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 xml:space="preserve">shkim por edhe një ndërhyrje disproporcionale në raport me situatën faktike të krijuar. Gjithashtu, pretendohet se gjykata ka pranuar një metodë llogaritjeje të periudhës së provës </w:t>
      </w:r>
      <w:r w:rsidR="00E2010B" w:rsidRPr="007503A7">
        <w:rPr>
          <w:rFonts w:ascii="Times New Roman" w:eastAsia="Calibri" w:hAnsi="Times New Roman"/>
          <w:bCs/>
          <w:noProof/>
          <w:lang w:val="sq-AL" w:bidi="ar-SA"/>
        </w:rPr>
        <w:t>(af</w:t>
      </w:r>
      <w:r w:rsidR="009E1379" w:rsidRPr="007503A7">
        <w:rPr>
          <w:rFonts w:ascii="Times New Roman" w:eastAsia="Calibri" w:hAnsi="Times New Roman"/>
          <w:bCs/>
          <w:noProof/>
          <w:lang w:val="sq-AL" w:bidi="ar-SA"/>
        </w:rPr>
        <w:t>ë</w:t>
      </w:r>
      <w:r w:rsidR="00E2010B" w:rsidRPr="007503A7">
        <w:rPr>
          <w:rFonts w:ascii="Times New Roman" w:eastAsia="Calibri" w:hAnsi="Times New Roman"/>
          <w:bCs/>
          <w:noProof/>
          <w:lang w:val="sq-AL" w:bidi="ar-SA"/>
        </w:rPr>
        <w:t xml:space="preserve">rsisht 10 vite) </w:t>
      </w:r>
      <w:r w:rsidR="007B16DB" w:rsidRPr="007503A7">
        <w:rPr>
          <w:rFonts w:ascii="Times New Roman" w:eastAsia="Calibri" w:hAnsi="Times New Roman"/>
          <w:bCs/>
          <w:noProof/>
          <w:lang w:val="sq-AL" w:bidi="ar-SA"/>
        </w:rPr>
        <w:t>që çon në tejkalimin e kufirit maksimal ligjor të parashikuar nga neni 59 i Kodit Penal.</w:t>
      </w:r>
    </w:p>
    <w:p w14:paraId="4EFB89C4" w14:textId="30440B1F" w:rsidR="00E2010B" w:rsidRPr="007503A7" w:rsidRDefault="0019627F" w:rsidP="007B16DB">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Calibri" w:hAnsi="Times New Roman"/>
          <w:bCs/>
          <w:noProof/>
          <w:lang w:val="sq-AL" w:bidi="ar-SA"/>
        </w:rPr>
        <w:t>Kolegji vëren se me vendimin nr. 00-2023-79, datë 17.01.2023, Gjykata e Lartë ka prishur vendimin e mëparshëm të Gjykatës së Apelit dhe ka urdhëruar rigjykimin e çështjes, duke konstatuar mungesë arsyetimi mbi kushtet ligjore të zbatimit të nenit 59 të Kodit Penal për pezullimin e ekzekutimit të dënimit me burgim. Ky konkluzion p</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r mungesë arsyetimi përbën çështje të së drejtës tashmë të zgjidhur dhe detyruese për gjykatën e rigjykimit.</w:t>
      </w:r>
      <w:r w:rsidR="002D0833" w:rsidRPr="007503A7">
        <w:rPr>
          <w:rFonts w:ascii="Times New Roman" w:eastAsia="Calibri" w:hAnsi="Times New Roman"/>
          <w:bCs/>
          <w:noProof/>
          <w:lang w:val="sq-AL" w:bidi="ar-SA"/>
        </w:rPr>
        <w:t xml:space="preserve"> </w:t>
      </w:r>
      <w:r w:rsidR="007B16DB" w:rsidRPr="007503A7">
        <w:rPr>
          <w:rFonts w:ascii="Times New Roman" w:eastAsia="Calibri" w:hAnsi="Times New Roman"/>
          <w:bCs/>
          <w:noProof/>
          <w:lang w:val="sq-AL" w:bidi="ar-SA"/>
        </w:rPr>
        <w:t>Megjithat</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 Kolegji n</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 xml:space="preserve"> k</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t</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 xml:space="preserve"> vendim nuk ka kryer vlerësim në themel mbi përmbushjen ose jo të kushteve ligjore të nenit 59 të Kodit Penal në rastin konkret, nuk ka disponuar mbi zbatimin ose moszbatimin e kësaj dispozite dhe nuk ka analizuar pasojat juridike që mund të rrjedhin nga ekzekutimi i d</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 xml:space="preserve">nimit alternativ të vendosur me vendimin </w:t>
      </w:r>
      <w:r w:rsidR="007B16DB" w:rsidRPr="007503A7">
        <w:rPr>
          <w:rFonts w:ascii="Times New Roman" w:hAnsi="Times New Roman"/>
          <w:bCs/>
          <w:lang w:val="sq-AL" w:bidi="ar-SA"/>
        </w:rPr>
        <w:t>nr. 301, datë 25.04.2017</w:t>
      </w:r>
      <w:r w:rsidR="007B16DB" w:rsidRPr="007503A7">
        <w:rPr>
          <w:rFonts w:ascii="Times New Roman" w:eastAsia="Calibri" w:hAnsi="Times New Roman"/>
          <w:bCs/>
          <w:noProof/>
          <w:lang w:val="sq-AL" w:bidi="ar-SA"/>
        </w:rPr>
        <w:t xml:space="preserve">. Po </w:t>
      </w:r>
      <w:r w:rsidR="007B16DB" w:rsidRPr="007503A7">
        <w:rPr>
          <w:rFonts w:ascii="Times New Roman" w:eastAsia="Calibri" w:hAnsi="Times New Roman"/>
          <w:bCs/>
          <w:noProof/>
          <w:lang w:val="sq-AL" w:bidi="ar-SA"/>
        </w:rPr>
        <w:lastRenderedPageBreak/>
        <w:t>ashtu, Gjykata e Lartë nuk ka shqyrtuar dhe as ka mbajtur qëndrim lidhur me situatën faktike të krijuar gjatë periudhës së ekzekutimit të dënimit alternativ, që nga fillimi i mbikëqyrjes nga Shërbimi i Provës deri në kohën e dhënies së vendimit objekt rekursi. Për rrjedhojë detyrimi i Gjykatës së Apelit, në kuptim të nenit 440 të KPP, për t’iu përmbajtur detyrave dhe konkluzioneve të përcaktuara nga Gjykata e Lartë, nuk e përjashtonte atë nga detyrimi për të shqyrtuar dhe vlerësuar të gjitha rrethanat faktike dhe juridike me rëndësi për zgjidhjen e çështjes, përfshirë ato të krijuara gjatë periudhës së ekzekutimit të d</w:t>
      </w:r>
      <w:r w:rsidR="007746F8" w:rsidRPr="007503A7">
        <w:rPr>
          <w:rFonts w:ascii="Times New Roman" w:eastAsia="Calibri" w:hAnsi="Times New Roman"/>
          <w:bCs/>
          <w:noProof/>
          <w:lang w:val="sq-AL" w:bidi="ar-SA"/>
        </w:rPr>
        <w:t>ë</w:t>
      </w:r>
      <w:r w:rsidR="007B16DB" w:rsidRPr="007503A7">
        <w:rPr>
          <w:rFonts w:ascii="Times New Roman" w:eastAsia="Calibri" w:hAnsi="Times New Roman"/>
          <w:bCs/>
          <w:noProof/>
          <w:lang w:val="sq-AL" w:bidi="ar-SA"/>
        </w:rPr>
        <w:t>nimit deri në kohën e rigjykimit (2017-2025). Në këtë kuptim, objekti i shqyrtimit në çështjen konkrete nuk kufizohej vetëm në verifikimin formal të kushteve të nenit 59 të Kodit Penal, por shtrihej edhe në vlerësimin e pasojave juridike që rrjedhin nga fakti se vendimi i mëparshëm ka prodhuar efekte dhe është ekzekutuar për një periudhë të konsiderueshme kohore.</w:t>
      </w:r>
    </w:p>
    <w:p w14:paraId="18F203C6" w14:textId="535766BE" w:rsidR="00AD27E4" w:rsidRPr="007503A7" w:rsidRDefault="00E2010B" w:rsidP="00456604">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Calibri" w:hAnsi="Times New Roman"/>
          <w:lang w:val="sq-AL" w:bidi="ar-SA"/>
        </w:rPr>
        <w:t xml:space="preserve">Në rastin konkret, </w:t>
      </w:r>
      <w:r w:rsidR="00456604" w:rsidRPr="007503A7">
        <w:rPr>
          <w:rFonts w:ascii="Times New Roman" w:eastAsia="Calibri" w:hAnsi="Times New Roman"/>
          <w:lang w:val="sq-AL" w:bidi="ar-SA"/>
        </w:rPr>
        <w:t>nga aktet e dosjes, arsyetimi n</w:t>
      </w:r>
      <w:r w:rsidR="007746F8" w:rsidRPr="007503A7">
        <w:rPr>
          <w:rFonts w:ascii="Times New Roman" w:eastAsia="Calibri" w:hAnsi="Times New Roman"/>
          <w:lang w:val="sq-AL" w:bidi="ar-SA"/>
        </w:rPr>
        <w:t>ë</w:t>
      </w:r>
      <w:r w:rsidR="00456604" w:rsidRPr="007503A7">
        <w:rPr>
          <w:rFonts w:ascii="Times New Roman" w:eastAsia="Calibri" w:hAnsi="Times New Roman"/>
          <w:lang w:val="sq-AL" w:bidi="ar-SA"/>
        </w:rPr>
        <w:t xml:space="preserve"> vendimin objekt rekursi dhe informacioni i paraqitur nga Prokuroria e P</w:t>
      </w:r>
      <w:r w:rsidR="007746F8" w:rsidRPr="007503A7">
        <w:rPr>
          <w:rFonts w:ascii="Times New Roman" w:eastAsia="Calibri" w:hAnsi="Times New Roman"/>
          <w:lang w:val="sq-AL" w:bidi="ar-SA"/>
        </w:rPr>
        <w:t>ë</w:t>
      </w:r>
      <w:r w:rsidR="00456604" w:rsidRPr="007503A7">
        <w:rPr>
          <w:rFonts w:ascii="Times New Roman" w:eastAsia="Calibri" w:hAnsi="Times New Roman"/>
          <w:lang w:val="sq-AL" w:bidi="ar-SA"/>
        </w:rPr>
        <w:t>rgjithshm</w:t>
      </w:r>
      <w:r w:rsidR="00A6554E" w:rsidRPr="007503A7">
        <w:rPr>
          <w:rFonts w:ascii="Times New Roman" w:eastAsia="Calibri" w:hAnsi="Times New Roman"/>
          <w:lang w:val="sq-AL" w:bidi="ar-SA"/>
        </w:rPr>
        <w:t>e</w:t>
      </w:r>
      <w:r w:rsidR="00456604" w:rsidRPr="007503A7">
        <w:rPr>
          <w:rFonts w:ascii="Times New Roman" w:eastAsia="Calibri" w:hAnsi="Times New Roman"/>
          <w:lang w:val="sq-AL" w:bidi="ar-SA"/>
        </w:rPr>
        <w:t xml:space="preserve"> rezulton se </w:t>
      </w:r>
      <w:r w:rsidRPr="007503A7">
        <w:rPr>
          <w:rFonts w:ascii="Times New Roman" w:eastAsia="Calibri" w:hAnsi="Times New Roman"/>
          <w:lang w:val="sq-AL" w:bidi="ar-SA"/>
        </w:rPr>
        <w:t xml:space="preserve">me vendimin </w:t>
      </w:r>
      <w:r w:rsidRPr="007503A7">
        <w:rPr>
          <w:rFonts w:ascii="Times New Roman" w:hAnsi="Times New Roman"/>
          <w:bCs/>
          <w:lang w:val="sq-AL" w:bidi="ar-SA"/>
        </w:rPr>
        <w:t>nr. 301, datë 25.04.2017</w:t>
      </w:r>
      <w:r w:rsidRPr="007503A7">
        <w:rPr>
          <w:rFonts w:ascii="Times New Roman" w:eastAsia="Calibri" w:hAnsi="Times New Roman"/>
          <w:lang w:val="sq-AL" w:bidi="ar-SA"/>
        </w:rPr>
        <w:t>, ndaj të gjykuar</w:t>
      </w:r>
      <w:r w:rsidR="007746F8" w:rsidRPr="007503A7">
        <w:rPr>
          <w:rFonts w:ascii="Times New Roman" w:eastAsia="Calibri" w:hAnsi="Times New Roman"/>
          <w:lang w:val="sq-AL" w:bidi="ar-SA"/>
        </w:rPr>
        <w:t>ë</w:t>
      </w:r>
      <w:r w:rsidRPr="007503A7">
        <w:rPr>
          <w:rFonts w:ascii="Times New Roman" w:eastAsia="Calibri" w:hAnsi="Times New Roman"/>
          <w:lang w:val="sq-AL" w:bidi="ar-SA"/>
        </w:rPr>
        <w:t>s Evadiola Doko është dhënë dënim me burgim (3 vjet e 6 muaj), i cili është pezulluar sipas nenit 59 t</w:t>
      </w:r>
      <w:r w:rsidR="007746F8" w:rsidRPr="007503A7">
        <w:rPr>
          <w:rFonts w:ascii="Times New Roman" w:eastAsia="Calibri" w:hAnsi="Times New Roman"/>
          <w:lang w:val="sq-AL" w:bidi="ar-SA"/>
        </w:rPr>
        <w:t>ë</w:t>
      </w:r>
      <w:r w:rsidRPr="007503A7">
        <w:rPr>
          <w:rFonts w:ascii="Times New Roman" w:eastAsia="Calibri" w:hAnsi="Times New Roman"/>
          <w:lang w:val="sq-AL" w:bidi="ar-SA"/>
        </w:rPr>
        <w:t xml:space="preserve"> Kodit Penal, me 5 vjet shërbim prove dhe detyrim kontakti me Shërbimin e Provës. Ky është një dënim i vetëm, forma alternative e ekzekutimit të të cilit është shërbimi i provës, jo burgimi. Ekzekutimi i d</w:t>
      </w:r>
      <w:r w:rsidR="007746F8" w:rsidRPr="007503A7">
        <w:rPr>
          <w:rFonts w:ascii="Times New Roman" w:eastAsia="Calibri" w:hAnsi="Times New Roman"/>
          <w:lang w:val="sq-AL" w:bidi="ar-SA"/>
        </w:rPr>
        <w:t>ë</w:t>
      </w:r>
      <w:r w:rsidRPr="007503A7">
        <w:rPr>
          <w:rFonts w:ascii="Times New Roman" w:eastAsia="Calibri" w:hAnsi="Times New Roman"/>
          <w:lang w:val="sq-AL" w:bidi="ar-SA"/>
        </w:rPr>
        <w:t>nimit alternativ ka filluar më dat</w:t>
      </w:r>
      <w:r w:rsidR="007746F8" w:rsidRPr="007503A7">
        <w:rPr>
          <w:rFonts w:ascii="Times New Roman" w:eastAsia="Calibri" w:hAnsi="Times New Roman"/>
          <w:lang w:val="sq-AL" w:bidi="ar-SA"/>
        </w:rPr>
        <w:t>ë</w:t>
      </w:r>
      <w:r w:rsidRPr="007503A7">
        <w:rPr>
          <w:rFonts w:ascii="Times New Roman" w:eastAsia="Calibri" w:hAnsi="Times New Roman"/>
          <w:lang w:val="sq-AL" w:bidi="ar-SA"/>
        </w:rPr>
        <w:t xml:space="preserve"> 20.06.2017, kur e gjykuara Evadiola Doko, ka vendosur takimin e parë me institucionin e shërbimit të provës, ndërkohë që në takimin e datës 08.09.2018 nuk është paraqitur si dhe nuk ka informuar mbi arsyet penguese. </w:t>
      </w:r>
      <w:r w:rsidRPr="007503A7">
        <w:rPr>
          <w:rFonts w:ascii="Times New Roman" w:hAnsi="Times New Roman"/>
          <w:lang w:val="sq-AL"/>
        </w:rPr>
        <w:t>Në këto kushte, prokuroria p</w:t>
      </w:r>
      <w:r w:rsidR="007746F8" w:rsidRPr="007503A7">
        <w:rPr>
          <w:rFonts w:ascii="Times New Roman" w:hAnsi="Times New Roman"/>
          <w:lang w:val="sq-AL"/>
        </w:rPr>
        <w:t>ë</w:t>
      </w:r>
      <w:r w:rsidRPr="007503A7">
        <w:rPr>
          <w:rFonts w:ascii="Times New Roman" w:hAnsi="Times New Roman"/>
          <w:lang w:val="sq-AL"/>
        </w:rPr>
        <w:t>r shkak t</w:t>
      </w:r>
      <w:r w:rsidR="007746F8" w:rsidRPr="007503A7">
        <w:rPr>
          <w:rFonts w:ascii="Times New Roman" w:hAnsi="Times New Roman"/>
          <w:lang w:val="sq-AL"/>
        </w:rPr>
        <w:t>ë</w:t>
      </w:r>
      <w:r w:rsidRPr="007503A7">
        <w:rPr>
          <w:rFonts w:ascii="Times New Roman" w:hAnsi="Times New Roman"/>
          <w:lang w:val="sq-AL"/>
        </w:rPr>
        <w:t xml:space="preserve"> mospërmbushjes s</w:t>
      </w:r>
      <w:r w:rsidR="007746F8" w:rsidRPr="007503A7">
        <w:rPr>
          <w:rFonts w:ascii="Times New Roman" w:hAnsi="Times New Roman"/>
          <w:lang w:val="sq-AL"/>
        </w:rPr>
        <w:t>ë</w:t>
      </w:r>
      <w:r w:rsidRPr="007503A7">
        <w:rPr>
          <w:rFonts w:ascii="Times New Roman" w:hAnsi="Times New Roman"/>
          <w:lang w:val="sq-AL"/>
        </w:rPr>
        <w:t xml:space="preserve"> detyrimeve nga e </w:t>
      </w:r>
      <w:r w:rsidR="004D7BA4" w:rsidRPr="007503A7">
        <w:rPr>
          <w:rFonts w:ascii="Times New Roman" w:hAnsi="Times New Roman"/>
          <w:lang w:val="sq-AL"/>
        </w:rPr>
        <w:t>gjykuara</w:t>
      </w:r>
      <w:r w:rsidRPr="007503A7">
        <w:rPr>
          <w:rFonts w:ascii="Times New Roman" w:hAnsi="Times New Roman"/>
          <w:lang w:val="sq-AL"/>
        </w:rPr>
        <w:t xml:space="preserve"> Evadiola Doko</w:t>
      </w:r>
      <w:r w:rsidR="00456604" w:rsidRPr="007503A7">
        <w:rPr>
          <w:rFonts w:ascii="Times New Roman" w:hAnsi="Times New Roman"/>
          <w:lang w:val="sq-AL"/>
        </w:rPr>
        <w:t xml:space="preserve"> ka paraqitur k</w:t>
      </w:r>
      <w:r w:rsidR="007746F8" w:rsidRPr="007503A7">
        <w:rPr>
          <w:rFonts w:ascii="Times New Roman" w:hAnsi="Times New Roman"/>
          <w:lang w:val="sq-AL"/>
        </w:rPr>
        <w:t>ë</w:t>
      </w:r>
      <w:r w:rsidR="00456604" w:rsidRPr="007503A7">
        <w:rPr>
          <w:rFonts w:ascii="Times New Roman" w:hAnsi="Times New Roman"/>
          <w:lang w:val="sq-AL"/>
        </w:rPr>
        <w:t>rkes</w:t>
      </w:r>
      <w:r w:rsidR="007746F8" w:rsidRPr="007503A7">
        <w:rPr>
          <w:rFonts w:ascii="Times New Roman" w:hAnsi="Times New Roman"/>
          <w:lang w:val="sq-AL"/>
        </w:rPr>
        <w:t>ë</w:t>
      </w:r>
      <w:r w:rsidR="00456604" w:rsidRPr="007503A7">
        <w:rPr>
          <w:rFonts w:ascii="Times New Roman" w:hAnsi="Times New Roman"/>
          <w:lang w:val="sq-AL"/>
        </w:rPr>
        <w:t xml:space="preserve"> n</w:t>
      </w:r>
      <w:r w:rsidR="007746F8" w:rsidRPr="007503A7">
        <w:rPr>
          <w:rFonts w:ascii="Times New Roman" w:hAnsi="Times New Roman"/>
          <w:lang w:val="sq-AL"/>
        </w:rPr>
        <w:t>ë</w:t>
      </w:r>
      <w:r w:rsidR="00456604" w:rsidRPr="007503A7">
        <w:rPr>
          <w:rFonts w:ascii="Times New Roman" w:hAnsi="Times New Roman"/>
          <w:lang w:val="sq-AL"/>
        </w:rPr>
        <w:t xml:space="preserve"> gjykat</w:t>
      </w:r>
      <w:r w:rsidR="007746F8" w:rsidRPr="007503A7">
        <w:rPr>
          <w:rFonts w:ascii="Times New Roman" w:hAnsi="Times New Roman"/>
          <w:lang w:val="sq-AL"/>
        </w:rPr>
        <w:t>ë</w:t>
      </w:r>
      <w:r w:rsidR="00456604" w:rsidRPr="007503A7">
        <w:rPr>
          <w:rFonts w:ascii="Times New Roman" w:hAnsi="Times New Roman"/>
          <w:lang w:val="sq-AL"/>
        </w:rPr>
        <w:t xml:space="preserve"> p</w:t>
      </w:r>
      <w:r w:rsidR="007746F8" w:rsidRPr="007503A7">
        <w:rPr>
          <w:rFonts w:ascii="Times New Roman" w:hAnsi="Times New Roman"/>
          <w:lang w:val="sq-AL"/>
        </w:rPr>
        <w:t>ë</w:t>
      </w:r>
      <w:r w:rsidR="00456604" w:rsidRPr="007503A7">
        <w:rPr>
          <w:rFonts w:ascii="Times New Roman" w:hAnsi="Times New Roman"/>
          <w:lang w:val="sq-AL"/>
        </w:rPr>
        <w:t>r revokimin e pezullimit t</w:t>
      </w:r>
      <w:r w:rsidR="007746F8" w:rsidRPr="007503A7">
        <w:rPr>
          <w:rFonts w:ascii="Times New Roman" w:hAnsi="Times New Roman"/>
          <w:lang w:val="sq-AL"/>
        </w:rPr>
        <w:t>ë</w:t>
      </w:r>
      <w:r w:rsidR="00456604" w:rsidRPr="007503A7">
        <w:rPr>
          <w:rFonts w:ascii="Times New Roman" w:hAnsi="Times New Roman"/>
          <w:lang w:val="sq-AL"/>
        </w:rPr>
        <w:t xml:space="preserve"> d</w:t>
      </w:r>
      <w:r w:rsidR="007746F8" w:rsidRPr="007503A7">
        <w:rPr>
          <w:rFonts w:ascii="Times New Roman" w:hAnsi="Times New Roman"/>
          <w:lang w:val="sq-AL"/>
        </w:rPr>
        <w:t>ë</w:t>
      </w:r>
      <w:r w:rsidR="00456604" w:rsidRPr="007503A7">
        <w:rPr>
          <w:rFonts w:ascii="Times New Roman" w:hAnsi="Times New Roman"/>
          <w:lang w:val="sq-AL"/>
        </w:rPr>
        <w:t xml:space="preserve">nimit me burgim. </w:t>
      </w:r>
      <w:r w:rsidRPr="007503A7">
        <w:rPr>
          <w:rFonts w:ascii="Times New Roman" w:eastAsia="Calibri" w:hAnsi="Times New Roman"/>
          <w:lang w:val="sq-AL" w:bidi="ar-SA"/>
        </w:rPr>
        <w:t>Me vendimin nr. 689, datë 25.11.2019</w:t>
      </w:r>
      <w:r w:rsidR="002802B6" w:rsidRPr="007503A7">
        <w:rPr>
          <w:rFonts w:ascii="Times New Roman" w:eastAsia="Calibri" w:hAnsi="Times New Roman"/>
          <w:lang w:val="sq-AL" w:bidi="ar-SA"/>
        </w:rPr>
        <w:t>,</w:t>
      </w:r>
      <w:r w:rsidRPr="007503A7">
        <w:rPr>
          <w:rFonts w:ascii="Times New Roman" w:eastAsia="Calibri" w:hAnsi="Times New Roman"/>
          <w:lang w:val="sq-AL" w:bidi="ar-SA"/>
        </w:rPr>
        <w:t xml:space="preserve"> të Gjykatës së Rrethit Gjyqësor Tiranë është zgjatur afati i periudhës së mbik</w:t>
      </w:r>
      <w:r w:rsidR="00A6554E" w:rsidRPr="007503A7">
        <w:rPr>
          <w:rFonts w:ascii="Times New Roman" w:eastAsia="Calibri" w:hAnsi="Times New Roman"/>
          <w:lang w:val="sq-AL" w:bidi="ar-SA"/>
        </w:rPr>
        <w:t>ë</w:t>
      </w:r>
      <w:r w:rsidRPr="007503A7">
        <w:rPr>
          <w:rFonts w:ascii="Times New Roman" w:eastAsia="Calibri" w:hAnsi="Times New Roman"/>
          <w:lang w:val="sq-AL" w:bidi="ar-SA"/>
        </w:rPr>
        <w:t xml:space="preserve">qyrjes me 3 vite dhe për këtë vendim ka dalë urdhëri i ekzekutimit. Bazuar në këto disponime, e </w:t>
      </w:r>
      <w:r w:rsidR="004D7BA4" w:rsidRPr="007503A7">
        <w:rPr>
          <w:rFonts w:ascii="Times New Roman" w:eastAsia="Calibri" w:hAnsi="Times New Roman"/>
          <w:lang w:val="sq-AL" w:bidi="ar-SA"/>
        </w:rPr>
        <w:t>gjykuara</w:t>
      </w:r>
      <w:r w:rsidRPr="007503A7">
        <w:rPr>
          <w:rFonts w:ascii="Times New Roman" w:eastAsia="Calibri" w:hAnsi="Times New Roman"/>
          <w:lang w:val="sq-AL" w:bidi="ar-SA"/>
        </w:rPr>
        <w:t xml:space="preserve"> Evadiola Doko ka rivendosur kontaktet me shërbimin e provës në datën 08.01.2020</w:t>
      </w:r>
      <w:r w:rsidR="00456604" w:rsidRPr="007503A7">
        <w:rPr>
          <w:rFonts w:ascii="Times New Roman" w:eastAsia="Calibri" w:hAnsi="Times New Roman"/>
          <w:lang w:val="sq-AL" w:bidi="ar-SA"/>
        </w:rPr>
        <w:t>.</w:t>
      </w:r>
    </w:p>
    <w:p w14:paraId="7937E757" w14:textId="099DD66A" w:rsidR="009017C6" w:rsidRPr="007503A7" w:rsidRDefault="00456604" w:rsidP="009017C6">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Calibri" w:hAnsi="Times New Roman"/>
          <w:bCs/>
          <w:noProof/>
          <w:lang w:val="sq-AL" w:bidi="ar-SA"/>
        </w:rPr>
        <w:t xml:space="preserve">Kolegji konstaton se </w:t>
      </w:r>
      <w:r w:rsidR="00AD27E4" w:rsidRPr="007503A7">
        <w:rPr>
          <w:rFonts w:ascii="Times New Roman" w:hAnsi="Times New Roman"/>
          <w:lang w:val="sq-AL"/>
        </w:rPr>
        <w:t>m</w:t>
      </w:r>
      <w:r w:rsidRPr="007503A7">
        <w:rPr>
          <w:rFonts w:ascii="Times New Roman" w:hAnsi="Times New Roman"/>
          <w:lang w:val="sq-AL"/>
        </w:rPr>
        <w:t>e shkresën nr. 6987 prot., datë 15.09.2022</w:t>
      </w:r>
      <w:r w:rsidR="00AD27E4" w:rsidRPr="007503A7">
        <w:rPr>
          <w:rFonts w:ascii="Times New Roman" w:hAnsi="Times New Roman"/>
          <w:lang w:val="sq-AL"/>
        </w:rPr>
        <w:t>,</w:t>
      </w:r>
      <w:r w:rsidRPr="007503A7">
        <w:rPr>
          <w:rFonts w:ascii="Times New Roman" w:hAnsi="Times New Roman"/>
          <w:lang w:val="sq-AL"/>
        </w:rPr>
        <w:t xml:space="preserve"> Dega Territoriale e Shërbimit të Provës Tiranë </w:t>
      </w:r>
      <w:r w:rsidR="00AD27E4" w:rsidRPr="007503A7">
        <w:rPr>
          <w:rFonts w:ascii="Times New Roman" w:hAnsi="Times New Roman"/>
          <w:lang w:val="sq-AL"/>
        </w:rPr>
        <w:t xml:space="preserve">ka </w:t>
      </w:r>
      <w:r w:rsidRPr="007503A7">
        <w:rPr>
          <w:rFonts w:ascii="Times New Roman" w:hAnsi="Times New Roman"/>
          <w:lang w:val="sq-AL"/>
        </w:rPr>
        <w:t>njoft</w:t>
      </w:r>
      <w:r w:rsidR="00AD27E4" w:rsidRPr="007503A7">
        <w:rPr>
          <w:rFonts w:ascii="Times New Roman" w:hAnsi="Times New Roman"/>
          <w:lang w:val="sq-AL"/>
        </w:rPr>
        <w:t xml:space="preserve">uar </w:t>
      </w:r>
      <w:r w:rsidRPr="007503A7">
        <w:rPr>
          <w:rFonts w:ascii="Times New Roman" w:hAnsi="Times New Roman"/>
          <w:lang w:val="sq-AL"/>
        </w:rPr>
        <w:t>Prokurorinë, se periudha gjatë të cilës janë ndërprerë kontaktet me Shërbimin e Provës prej 1 vit</w:t>
      </w:r>
      <w:r w:rsidR="004D7BA4" w:rsidRPr="007503A7">
        <w:rPr>
          <w:rFonts w:ascii="Times New Roman" w:hAnsi="Times New Roman"/>
          <w:lang w:val="sq-AL"/>
        </w:rPr>
        <w:t>,</w:t>
      </w:r>
      <w:r w:rsidRPr="007503A7">
        <w:rPr>
          <w:rFonts w:ascii="Times New Roman" w:hAnsi="Times New Roman"/>
          <w:lang w:val="sq-AL"/>
        </w:rPr>
        <w:t xml:space="preserve"> 11 muaj </w:t>
      </w:r>
      <w:r w:rsidR="004D7BA4" w:rsidRPr="007503A7">
        <w:rPr>
          <w:rFonts w:ascii="Times New Roman" w:hAnsi="Times New Roman"/>
          <w:lang w:val="sq-AL"/>
        </w:rPr>
        <w:t>dhe</w:t>
      </w:r>
      <w:r w:rsidRPr="007503A7">
        <w:rPr>
          <w:rFonts w:ascii="Times New Roman" w:hAnsi="Times New Roman"/>
          <w:lang w:val="sq-AL"/>
        </w:rPr>
        <w:t xml:space="preserve"> 2 ditë, do t’i bashkohet periudhës së pavuajtur të dënimit penal</w:t>
      </w:r>
      <w:r w:rsidR="00AD27E4" w:rsidRPr="007503A7">
        <w:rPr>
          <w:rFonts w:ascii="Times New Roman" w:hAnsi="Times New Roman"/>
          <w:lang w:val="sq-AL"/>
        </w:rPr>
        <w:t>,</w:t>
      </w:r>
      <w:r w:rsidRPr="007503A7">
        <w:rPr>
          <w:rFonts w:ascii="Times New Roman" w:hAnsi="Times New Roman"/>
          <w:lang w:val="sq-AL"/>
        </w:rPr>
        <w:t xml:space="preserve"> si dhe periudhës së provës prej 3 vjet sipas zgjatjes me vendimin </w:t>
      </w:r>
      <w:r w:rsidR="00AD27E4" w:rsidRPr="007503A7">
        <w:rPr>
          <w:rFonts w:ascii="Times New Roman" w:eastAsia="Calibri" w:hAnsi="Times New Roman"/>
          <w:lang w:val="sq-AL" w:bidi="ar-SA"/>
        </w:rPr>
        <w:t>datë 25.11.2019 të Gjykatës së Rrethit Gjyqësor Tiranë</w:t>
      </w:r>
      <w:r w:rsidR="00AD27E4" w:rsidRPr="007503A7">
        <w:rPr>
          <w:rFonts w:ascii="Times New Roman" w:hAnsi="Times New Roman"/>
          <w:lang w:val="sq-AL"/>
        </w:rPr>
        <w:t xml:space="preserve"> </w:t>
      </w:r>
      <w:r w:rsidRPr="007503A7">
        <w:rPr>
          <w:rFonts w:ascii="Times New Roman" w:hAnsi="Times New Roman"/>
          <w:lang w:val="sq-AL"/>
        </w:rPr>
        <w:t>dhe bazuar në këto të dhëna, periudha e provës për personin nën mbik</w:t>
      </w:r>
      <w:r w:rsidR="00A6554E" w:rsidRPr="007503A7">
        <w:rPr>
          <w:rFonts w:ascii="Times New Roman" w:hAnsi="Times New Roman"/>
          <w:lang w:val="sq-AL"/>
        </w:rPr>
        <w:t>ë</w:t>
      </w:r>
      <w:r w:rsidRPr="007503A7">
        <w:rPr>
          <w:rFonts w:ascii="Times New Roman" w:hAnsi="Times New Roman"/>
          <w:lang w:val="sq-AL"/>
        </w:rPr>
        <w:t>qyrje Evadiola Doko përfundon në datën 27.03.2027.</w:t>
      </w:r>
      <w:r w:rsidR="00AD27E4" w:rsidRPr="007503A7">
        <w:rPr>
          <w:rFonts w:ascii="Times New Roman" w:hAnsi="Times New Roman"/>
          <w:lang w:val="sq-AL"/>
        </w:rPr>
        <w:t xml:space="preserve"> Në rigjykim e gjykuara Evadiola Doko përmes mbrojtësve të saj, ka pretenduar se tashmë e ka përfunduar dënimin alternativ dhe si rrjedhojë nuk mund të dënohet dy herë për të njëjtin fakt penal. Lidhur me </w:t>
      </w:r>
      <w:r w:rsidR="009017C6" w:rsidRPr="007503A7">
        <w:rPr>
          <w:rFonts w:ascii="Times New Roman" w:hAnsi="Times New Roman"/>
          <w:lang w:val="sq-AL"/>
        </w:rPr>
        <w:t>k</w:t>
      </w:r>
      <w:r w:rsidR="007746F8" w:rsidRPr="007503A7">
        <w:rPr>
          <w:rFonts w:ascii="Times New Roman" w:hAnsi="Times New Roman"/>
          <w:lang w:val="sq-AL"/>
        </w:rPr>
        <w:t>ë</w:t>
      </w:r>
      <w:r w:rsidR="00AD27E4" w:rsidRPr="007503A7">
        <w:rPr>
          <w:rFonts w:ascii="Times New Roman" w:hAnsi="Times New Roman"/>
          <w:lang w:val="sq-AL"/>
        </w:rPr>
        <w:t>t</w:t>
      </w:r>
      <w:r w:rsidR="007746F8" w:rsidRPr="007503A7">
        <w:rPr>
          <w:rFonts w:ascii="Times New Roman" w:hAnsi="Times New Roman"/>
          <w:lang w:val="sq-AL"/>
        </w:rPr>
        <w:t>ë</w:t>
      </w:r>
      <w:r w:rsidR="00AD27E4" w:rsidRPr="007503A7">
        <w:rPr>
          <w:rFonts w:ascii="Times New Roman" w:hAnsi="Times New Roman"/>
          <w:lang w:val="sq-AL"/>
        </w:rPr>
        <w:t xml:space="preserve"> pretendim, Gjykata e Apelit n</w:t>
      </w:r>
      <w:r w:rsidR="007746F8" w:rsidRPr="007503A7">
        <w:rPr>
          <w:rFonts w:ascii="Times New Roman" w:hAnsi="Times New Roman"/>
          <w:lang w:val="sq-AL"/>
        </w:rPr>
        <w:t>ë</w:t>
      </w:r>
      <w:r w:rsidR="00AD27E4" w:rsidRPr="007503A7">
        <w:rPr>
          <w:rFonts w:ascii="Times New Roman" w:hAnsi="Times New Roman"/>
          <w:lang w:val="sq-AL"/>
        </w:rPr>
        <w:t xml:space="preserve"> rigjykim ka vler</w:t>
      </w:r>
      <w:r w:rsidR="007746F8" w:rsidRPr="007503A7">
        <w:rPr>
          <w:rFonts w:ascii="Times New Roman" w:hAnsi="Times New Roman"/>
          <w:lang w:val="sq-AL"/>
        </w:rPr>
        <w:t>ë</w:t>
      </w:r>
      <w:r w:rsidR="00AD27E4" w:rsidRPr="007503A7">
        <w:rPr>
          <w:rFonts w:ascii="Times New Roman" w:hAnsi="Times New Roman"/>
          <w:lang w:val="sq-AL"/>
        </w:rPr>
        <w:t>suar pabazueshm</w:t>
      </w:r>
      <w:r w:rsidR="007746F8" w:rsidRPr="007503A7">
        <w:rPr>
          <w:rFonts w:ascii="Times New Roman" w:hAnsi="Times New Roman"/>
          <w:lang w:val="sq-AL"/>
        </w:rPr>
        <w:t>ë</w:t>
      </w:r>
      <w:r w:rsidR="00AD27E4" w:rsidRPr="007503A7">
        <w:rPr>
          <w:rFonts w:ascii="Times New Roman" w:hAnsi="Times New Roman"/>
          <w:lang w:val="sq-AL"/>
        </w:rPr>
        <w:t>rin</w:t>
      </w:r>
      <w:r w:rsidR="007746F8" w:rsidRPr="007503A7">
        <w:rPr>
          <w:rFonts w:ascii="Times New Roman" w:hAnsi="Times New Roman"/>
          <w:lang w:val="sq-AL"/>
        </w:rPr>
        <w:t>ë</w:t>
      </w:r>
      <w:r w:rsidR="00AD27E4" w:rsidRPr="007503A7">
        <w:rPr>
          <w:rFonts w:ascii="Times New Roman" w:hAnsi="Times New Roman"/>
          <w:lang w:val="sq-AL"/>
        </w:rPr>
        <w:t xml:space="preserve"> e tij me arsyetimin: </w:t>
      </w:r>
      <w:r w:rsidR="00AD27E4" w:rsidRPr="007503A7">
        <w:rPr>
          <w:rFonts w:ascii="Times New Roman" w:hAnsi="Times New Roman"/>
          <w:i/>
          <w:iCs/>
          <w:lang w:val="sq-AL"/>
        </w:rPr>
        <w:t xml:space="preserve">“Vendimi i Gjykatës së Lartë që prish vendimin e Gjykatës së Apelit Vlorë dhe kthen çështjen për rigjykim mban datën 17.01.2023, që do të thotë se, prej kësaj date dhe në vijim, nuk kemi më vendim dënimi të formës së prerë dhe shtetasja Evadiola Doko është rikthyer në statusin e mëparshëm procedurial si «e pandehur».  Deri në këtë datë, në të kundërt të sa e pandehura dhe mbrojtja e saj pretendojnë, ajo nuk e ka përfunduar vuajtjen e dënimit alternativ, pasi periudha e provës konfirmohet nga aktet se do të përfundonte në datën 27.03.2027.”. </w:t>
      </w:r>
      <w:r w:rsidR="00AD27E4" w:rsidRPr="007503A7">
        <w:rPr>
          <w:rFonts w:ascii="Times New Roman" w:hAnsi="Times New Roman"/>
          <w:lang w:val="sq-AL"/>
        </w:rPr>
        <w:t>Në këtë drejtim, Kolegji konstaton se Gjykata e Apelit i është referuar si datë përfundimi të periudhës së provës datës 27.03.2027, duke u mbështetur në informacionin e përcjellë nga Shërbimi i Provës. Megjithatë, nga arsyetimi i vendimit nuk rezulton që gjykata të ketë kryer një vlerësim të pavarur mbi mënyrën e llogaritjes së kësaj periudhe, as të ketë analizuar nëse përllogaritja e kryer nga Shërbimi i Provës gjen mbështetje në parashikimet e nenit 59 të Kodit Penal. Në veçanti, gjykata nuk ka arsyetuar nëse periudhat e ndërprerjes së kontakteve me Shërbimin e Provës dhe periudha e zgjatjes së mbikëqyrjes mund të përfshihen në llogaritje në mënyrën e ndjekur nga ky organ, si dhe nëse një metodë e tillë është në përputhje me kufijtë kohorë të periudhës së provës të përcaktuar nga ligji.</w:t>
      </w:r>
      <w:r w:rsidR="00CA09DD" w:rsidRPr="007503A7">
        <w:rPr>
          <w:rFonts w:ascii="Times New Roman" w:hAnsi="Times New Roman"/>
          <w:lang w:val="sq-AL"/>
        </w:rPr>
        <w:t xml:space="preserve"> </w:t>
      </w:r>
      <w:r w:rsidR="00CA09DD" w:rsidRPr="007503A7">
        <w:rPr>
          <w:rFonts w:ascii="Times New Roman" w:eastAsia="Calibri" w:hAnsi="Times New Roman"/>
          <w:bCs/>
          <w:noProof/>
          <w:lang w:val="sq-AL" w:bidi="ar-SA"/>
        </w:rPr>
        <w:t>Për pasojë, arsyetimi i vendimit nuk mundëson kontrollin nga Gjykata e Lart</w:t>
      </w:r>
      <w:r w:rsidR="007746F8" w:rsidRPr="007503A7">
        <w:rPr>
          <w:rFonts w:ascii="Times New Roman" w:eastAsia="Calibri" w:hAnsi="Times New Roman"/>
          <w:bCs/>
          <w:noProof/>
          <w:lang w:val="sq-AL" w:bidi="ar-SA"/>
        </w:rPr>
        <w:t>ë</w:t>
      </w:r>
      <w:r w:rsidR="00CA09DD" w:rsidRPr="007503A7">
        <w:rPr>
          <w:rFonts w:ascii="Times New Roman" w:eastAsia="Calibri" w:hAnsi="Times New Roman"/>
          <w:bCs/>
          <w:noProof/>
          <w:lang w:val="sq-AL" w:bidi="ar-SA"/>
        </w:rPr>
        <w:t xml:space="preserve"> të përfundimit të arritur nga gjykata </w:t>
      </w:r>
      <w:r w:rsidR="00CA09DD" w:rsidRPr="007503A7">
        <w:rPr>
          <w:rFonts w:ascii="Times New Roman" w:eastAsia="Calibri" w:hAnsi="Times New Roman"/>
          <w:bCs/>
          <w:noProof/>
          <w:lang w:val="sq-AL" w:bidi="ar-SA"/>
        </w:rPr>
        <w:lastRenderedPageBreak/>
        <w:t>lidhur me vazhdimësinë e periudhës së provës deri në vitin 2027. Pikërisht për shkak të këtyre paqartësive dhe rëndësisë që ato paraqesin për zgjidhjen e çështjes, Kolegji çmoi të nevojshme të vinte në diskutim çështjet e mësipërme, duke kërkuar edhe mendimin e Prokurorisë së Përgjithshme lidhur me interpretimin dhe zbatimin e nenit 59 të Kodit Penal në rrethanat konkrete të rastit.</w:t>
      </w:r>
    </w:p>
    <w:p w14:paraId="79BD63BC" w14:textId="77777777" w:rsidR="008C3E26" w:rsidRPr="007503A7" w:rsidRDefault="00CA09DD" w:rsidP="008C3E26">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Calibri" w:hAnsi="Times New Roman"/>
          <w:bCs/>
          <w:noProof/>
          <w:lang w:val="sq-AL" w:bidi="ar-SA"/>
        </w:rPr>
        <w:t xml:space="preserve">Në lidhje me </w:t>
      </w:r>
      <w:r w:rsidR="007746F8" w:rsidRPr="007503A7">
        <w:rPr>
          <w:rFonts w:ascii="Times New Roman" w:eastAsia="Calibri" w:hAnsi="Times New Roman"/>
          <w:bCs/>
          <w:noProof/>
          <w:lang w:val="sq-AL" w:bidi="ar-SA"/>
        </w:rPr>
        <w:t>çë</w:t>
      </w:r>
      <w:r w:rsidRPr="007503A7">
        <w:rPr>
          <w:rFonts w:ascii="Times New Roman" w:eastAsia="Calibri" w:hAnsi="Times New Roman"/>
          <w:bCs/>
          <w:noProof/>
          <w:lang w:val="sq-AL" w:bidi="ar-SA"/>
        </w:rPr>
        <w:t xml:space="preserve">shtjen e parë të ngritur për diskutim, Kolegji </w:t>
      </w:r>
      <w:r w:rsidR="00B6154E" w:rsidRPr="007503A7">
        <w:rPr>
          <w:rFonts w:ascii="Times New Roman" w:eastAsia="Calibri" w:hAnsi="Times New Roman"/>
          <w:bCs/>
          <w:noProof/>
          <w:lang w:val="sq-AL" w:bidi="ar-SA"/>
        </w:rPr>
        <w:t>vlerëson</w:t>
      </w:r>
      <w:r w:rsidRPr="007503A7">
        <w:rPr>
          <w:rFonts w:ascii="Times New Roman" w:eastAsia="Calibri" w:hAnsi="Times New Roman"/>
          <w:bCs/>
          <w:noProof/>
          <w:lang w:val="sq-AL" w:bidi="ar-SA"/>
        </w:rPr>
        <w:t xml:space="preserve"> se shprehja “brenda periudhës së provës”, e përdorur në pikën 5 të nenit 59 të Kodit Penal, duhet të interpretohet në harmoni me pikën 4 të po kësaj dispozite. Nga interpretimi sistematik i normës rezulton se ligjvënësi ka përcaktuar kufijtë kohorë brenda të cilëve mund të zhvillohet periudha e provës, duke vendosur si kufi maksimal afatin pesëvjeçar. </w:t>
      </w:r>
      <w:r w:rsidR="008C3E26" w:rsidRPr="007503A7">
        <w:rPr>
          <w:rFonts w:ascii="Times New Roman" w:eastAsia="Calibri" w:hAnsi="Times New Roman"/>
          <w:bCs/>
          <w:noProof/>
          <w:lang w:val="sq-AL" w:bidi="ar-SA"/>
        </w:rPr>
        <w:t>Për rrjedhojë, kompetenca e gjykatës për të zgjatur afatin e mbikëqyrjes nuk mund të shtrihet deri në krijimin e një periudhe të re prove përtej kufirit maksimal të lejuar nga ligji.</w:t>
      </w:r>
    </w:p>
    <w:p w14:paraId="1065AC90" w14:textId="618CB2F8" w:rsidR="008C3E26" w:rsidRPr="007503A7" w:rsidRDefault="00CA09DD" w:rsidP="008C3E26">
      <w:pPr>
        <w:pStyle w:val="ListParagraph"/>
        <w:numPr>
          <w:ilvl w:val="0"/>
          <w:numId w:val="13"/>
        </w:numPr>
        <w:tabs>
          <w:tab w:val="left" w:pos="540"/>
        </w:tabs>
        <w:ind w:left="0" w:firstLine="360"/>
        <w:jc w:val="both"/>
        <w:rPr>
          <w:rFonts w:ascii="Times New Roman" w:eastAsia="Calibri" w:hAnsi="Times New Roman"/>
          <w:b/>
          <w:noProof/>
          <w:lang w:val="sq-AL" w:bidi="ar-SA"/>
        </w:rPr>
      </w:pPr>
      <w:r w:rsidRPr="007503A7">
        <w:rPr>
          <w:rFonts w:ascii="Times New Roman" w:eastAsia="Calibri" w:hAnsi="Times New Roman"/>
          <w:bCs/>
          <w:noProof/>
          <w:lang w:val="sq-AL" w:bidi="ar-SA"/>
        </w:rPr>
        <w:t xml:space="preserve">Në lidhje me çështjen e dytë, Kolegji vlerëson se </w:t>
      </w:r>
      <w:r w:rsidR="008C3E26" w:rsidRPr="007503A7">
        <w:rPr>
          <w:rFonts w:ascii="Times New Roman" w:eastAsia="Calibri" w:hAnsi="Times New Roman"/>
          <w:bCs/>
          <w:noProof/>
          <w:lang w:val="sq-AL" w:bidi="ar-SA"/>
        </w:rPr>
        <w:t>neni 59 i Kodit Penal nuk lejon llogaritjen kumulative aritmetike të periudhave të ndërprerjes së kontakteve me Shërbimin e Provës dhe të zgjatjeve të afatit të mbikëqyrjes, kur kjo llogaritje do të rezultonte në një periudhë faktike që tejkalon kufirin maksimal prej 5 vjetësh të parashikuar nga paragrafi 4</w:t>
      </w:r>
      <w:r w:rsidR="005D5CB9" w:rsidRPr="007503A7">
        <w:rPr>
          <w:rFonts w:ascii="Times New Roman" w:eastAsia="Calibri" w:hAnsi="Times New Roman"/>
          <w:bCs/>
          <w:noProof/>
          <w:lang w:val="sq-AL" w:bidi="ar-SA"/>
        </w:rPr>
        <w:t>,</w:t>
      </w:r>
      <w:r w:rsidR="008C3E26" w:rsidRPr="007503A7">
        <w:rPr>
          <w:rFonts w:ascii="Times New Roman" w:eastAsia="Calibri" w:hAnsi="Times New Roman"/>
          <w:bCs/>
          <w:noProof/>
          <w:lang w:val="sq-AL" w:bidi="ar-SA"/>
        </w:rPr>
        <w:t xml:space="preserve"> i nenit 59. Çdo zgjatje, qoftë për shkak të ndërprerjes së kontakteve, qoftë për shkak të mospërmbushjes së detyrimeve, duhet të mbetet brenda kornizës ligjore (kufirit maksimal) të caktuar nga paragrafi 4. Përtej këtij kufiri, alternativa e duhur juridike është revokimi i pezullimit dhe vuajtja e dënimit në burg.</w:t>
      </w:r>
    </w:p>
    <w:p w14:paraId="1FAB6BDC" w14:textId="537E992A" w:rsidR="00C329A8" w:rsidRPr="007503A7" w:rsidRDefault="00CA09DD" w:rsidP="009017C6">
      <w:pPr>
        <w:pStyle w:val="ListParagraph"/>
        <w:numPr>
          <w:ilvl w:val="0"/>
          <w:numId w:val="13"/>
        </w:numPr>
        <w:tabs>
          <w:tab w:val="left" w:pos="540"/>
        </w:tabs>
        <w:ind w:left="0" w:firstLine="360"/>
        <w:jc w:val="both"/>
        <w:rPr>
          <w:rFonts w:ascii="Times New Roman" w:eastAsia="Calibri" w:hAnsi="Times New Roman"/>
          <w:b/>
          <w:noProof/>
          <w:color w:val="FF0000"/>
          <w:lang w:val="sq-AL" w:bidi="ar-SA"/>
        </w:rPr>
      </w:pPr>
      <w:r w:rsidRPr="007503A7">
        <w:rPr>
          <w:rFonts w:ascii="Times New Roman" w:eastAsia="Calibri" w:hAnsi="Times New Roman"/>
          <w:bCs/>
          <w:noProof/>
          <w:lang w:val="sq-AL" w:bidi="ar-SA"/>
        </w:rPr>
        <w:t>Në lidhje me çështjen e tretë, Kolegji vler</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son se fakti që kushtet për aplikimin e nenit 59 të Kodit Penal mund të mos kenë qenë të përmbushura në momentin </w:t>
      </w:r>
      <w:r w:rsidR="006F7F6D" w:rsidRPr="007503A7">
        <w:rPr>
          <w:rFonts w:ascii="Times New Roman" w:eastAsia="Calibri" w:hAnsi="Times New Roman"/>
          <w:bCs/>
          <w:noProof/>
          <w:lang w:val="sq-AL" w:bidi="ar-SA"/>
        </w:rPr>
        <w:t>e caktimit t</w:t>
      </w:r>
      <w:r w:rsidR="007746F8" w:rsidRPr="007503A7">
        <w:rPr>
          <w:rFonts w:ascii="Times New Roman" w:eastAsia="Calibri" w:hAnsi="Times New Roman"/>
          <w:bCs/>
          <w:noProof/>
          <w:lang w:val="sq-AL" w:bidi="ar-SA"/>
        </w:rPr>
        <w:t>ë</w:t>
      </w:r>
      <w:r w:rsidR="006F7F6D" w:rsidRPr="007503A7">
        <w:rPr>
          <w:rFonts w:ascii="Times New Roman" w:eastAsia="Calibri" w:hAnsi="Times New Roman"/>
          <w:bCs/>
          <w:noProof/>
          <w:lang w:val="sq-AL" w:bidi="ar-SA"/>
        </w:rPr>
        <w:t xml:space="preserve"> tij,</w:t>
      </w:r>
      <w:r w:rsidRPr="007503A7">
        <w:rPr>
          <w:rFonts w:ascii="Times New Roman" w:eastAsia="Calibri" w:hAnsi="Times New Roman"/>
          <w:bCs/>
          <w:noProof/>
          <w:lang w:val="sq-AL" w:bidi="ar-SA"/>
        </w:rPr>
        <w:t xml:space="preserve"> nuk e përjashton detyrimin e gjykatës për të vlerësuar ndikimin që ka pasur ekzekutimi faktik i vendimit për një periudhë të konsiderueshme kohore</w:t>
      </w:r>
      <w:r w:rsidR="006F7F6D" w:rsidRPr="007503A7">
        <w:rPr>
          <w:rFonts w:ascii="Times New Roman" w:eastAsia="Calibri" w:hAnsi="Times New Roman"/>
          <w:bCs/>
          <w:noProof/>
          <w:lang w:val="sq-AL" w:bidi="ar-SA"/>
        </w:rPr>
        <w:t xml:space="preserve">. </w:t>
      </w:r>
      <w:r w:rsidR="00C329A8" w:rsidRPr="007503A7">
        <w:rPr>
          <w:rFonts w:ascii="Times New Roman" w:eastAsia="Calibri" w:hAnsi="Times New Roman"/>
          <w:bCs/>
          <w:noProof/>
          <w:lang w:val="sq-AL" w:bidi="ar-SA"/>
        </w:rPr>
        <w:t>Edhe nëse konstatohet se aplikimi i nenit 59 të Kodit Penal ka qenë i gabuar, gjykata ka detyrimin të vlerësojë pasojat juridike që rrjedhin nga ekzekutimi faktik i dënimit alternativ, përfshirë kohëzgjatjen e tij dhe rëndësinë e këtyre rrethanave për zgjidhjen e çështjes. Në këtë kuptim, gjykata duhet të analizojë në mënyrë të qartë dhe të arsyetuar nëse, sipas interpretimit të drejtë të nenit 59 të Kodit Penal, periudha e provës kons</w:t>
      </w:r>
      <w:r w:rsidR="005D5CB9" w:rsidRPr="007503A7">
        <w:rPr>
          <w:rFonts w:ascii="Times New Roman" w:eastAsia="Calibri" w:hAnsi="Times New Roman"/>
          <w:bCs/>
          <w:noProof/>
          <w:lang w:val="sq-AL" w:bidi="ar-SA"/>
        </w:rPr>
        <w:t>iderohet e përfunduar (e kaluar me sukses/</w:t>
      </w:r>
      <w:r w:rsidR="00C329A8" w:rsidRPr="007503A7">
        <w:rPr>
          <w:rFonts w:ascii="Times New Roman" w:eastAsia="Calibri" w:hAnsi="Times New Roman"/>
          <w:bCs/>
          <w:noProof/>
          <w:lang w:val="sq-AL" w:bidi="ar-SA"/>
        </w:rPr>
        <w:t>plotësisht) ose jo. Në rast se konstatohet se periudha e provës është e përfunduar, gjykata duhet të vlerësojë pasojat juridike që burojnë nga ky konstatim, përfshirë nëse ekziston ose jo bazë për rikthim në vuajtjen e dënimit me burgim. Në rast se konstatohet se periudha e provës nuk është e përfunduar, gjykata duhet të përcaktojë kohëzgjatjen e mbetur të saj dhe të analizojë ndikimin që ekzekutimi faktik i deritanishëm i dënimit alternativ ka në individualizimin dhe proporcionalitetin e dënimit, në raport me qëllimin rehabilitues të tij. Një analizë e tillë është e nevojshme edhe për të shmangur rrezikun e një dënimi joproporcional në raport me situatën faktike dhe juridike të krijuar gjatë ekzekutimit të vendimit. Mungesa e një vlerësimi të tillë e bën arsyetimin e vendimit të paplotë dhe nuk mundëson ushtrimin efektiv të kontrollit nga Gjykata e Lartë.</w:t>
      </w:r>
    </w:p>
    <w:p w14:paraId="7A891B6F" w14:textId="29C400F1" w:rsidR="00910DD2" w:rsidRPr="007503A7" w:rsidRDefault="00910DD2" w:rsidP="00910DD2">
      <w:pPr>
        <w:pStyle w:val="ListParagraph"/>
        <w:numPr>
          <w:ilvl w:val="0"/>
          <w:numId w:val="13"/>
        </w:numPr>
        <w:tabs>
          <w:tab w:val="left" w:pos="540"/>
        </w:tabs>
        <w:ind w:left="0" w:firstLine="360"/>
        <w:jc w:val="both"/>
        <w:rPr>
          <w:rFonts w:ascii="Times New Roman" w:eastAsia="Calibri" w:hAnsi="Times New Roman"/>
          <w:b/>
          <w:noProof/>
          <w:color w:val="FF0000"/>
          <w:lang w:val="sq-AL" w:bidi="ar-SA"/>
        </w:rPr>
      </w:pPr>
      <w:r w:rsidRPr="007503A7">
        <w:rPr>
          <w:rFonts w:ascii="Times New Roman" w:eastAsia="Calibri" w:hAnsi="Times New Roman"/>
          <w:bCs/>
          <w:noProof/>
          <w:lang w:val="sq-AL" w:bidi="ar-SA"/>
        </w:rPr>
        <w:t>N</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lidhje me </w:t>
      </w:r>
      <w:r w:rsidR="007746F8" w:rsidRPr="007503A7">
        <w:rPr>
          <w:rFonts w:ascii="Times New Roman" w:eastAsia="Calibri" w:hAnsi="Times New Roman"/>
          <w:bCs/>
          <w:noProof/>
          <w:lang w:val="sq-AL" w:bidi="ar-SA"/>
        </w:rPr>
        <w:t>çë</w:t>
      </w:r>
      <w:r w:rsidRPr="007503A7">
        <w:rPr>
          <w:rFonts w:ascii="Times New Roman" w:eastAsia="Calibri" w:hAnsi="Times New Roman"/>
          <w:bCs/>
          <w:noProof/>
          <w:lang w:val="sq-AL" w:bidi="ar-SA"/>
        </w:rPr>
        <w:t>shtjen e kat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rt dhe 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pest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n</w:t>
      </w:r>
      <w:r w:rsidR="006F7F6D" w:rsidRPr="007503A7">
        <w:rPr>
          <w:rFonts w:ascii="Times New Roman" w:eastAsia="Calibri" w:hAnsi="Times New Roman"/>
          <w:bCs/>
          <w:noProof/>
          <w:lang w:val="sq-AL" w:bidi="ar-SA"/>
        </w:rPr>
        <w:t xml:space="preserve">ga shqyrtimi i vendimit objekt rekursi rezulton se Gjykata e Apelit ka pranuar </w:t>
      </w:r>
      <w:r w:rsidRPr="007503A7">
        <w:rPr>
          <w:rFonts w:ascii="Times New Roman" w:eastAsia="Calibri" w:hAnsi="Times New Roman"/>
          <w:bCs/>
          <w:noProof/>
          <w:lang w:val="sq-AL" w:bidi="ar-SA"/>
        </w:rPr>
        <w:t>apriori konkluzionin</w:t>
      </w:r>
      <w:r w:rsidR="006F7F6D" w:rsidRPr="007503A7">
        <w:rPr>
          <w:rFonts w:ascii="Times New Roman" w:eastAsia="Calibri" w:hAnsi="Times New Roman"/>
          <w:bCs/>
          <w:noProof/>
          <w:lang w:val="sq-AL" w:bidi="ar-SA"/>
        </w:rPr>
        <w:t xml:space="preserve"> sipas të cilit periudha e provës për të gjykuarën Evadiola Doko përfundonte në datën 27.03.2027, duke iu referuar llogaritjeve të paraqitura nga Shërbimi i Provës. Megjithatë, gjykata nuk ka </w:t>
      </w:r>
      <w:r w:rsidRPr="007503A7">
        <w:rPr>
          <w:rFonts w:ascii="Times New Roman" w:eastAsia="Calibri" w:hAnsi="Times New Roman"/>
          <w:bCs/>
          <w:noProof/>
          <w:lang w:val="sq-AL" w:bidi="ar-SA"/>
        </w:rPr>
        <w:t>kryer</w:t>
      </w:r>
      <w:r w:rsidR="006F7F6D" w:rsidRPr="007503A7">
        <w:rPr>
          <w:rFonts w:ascii="Times New Roman" w:eastAsia="Calibri" w:hAnsi="Times New Roman"/>
          <w:bCs/>
          <w:noProof/>
          <w:lang w:val="sq-AL" w:bidi="ar-SA"/>
        </w:rPr>
        <w:t xml:space="preserve"> një analizë të pavarur mbi bazën ligjore të kësaj llogaritjeje, nuk ka arsyetuar nëse periudhat e ndërprerjes së kontakteve mund të shtohen mbi afatin maksimal të periudhës së provës dhe nuk ka arsyetuar nëse një interpretim i tillë është në përputhje me përmbajtjen e nenit 59 të Kodit Penal. </w:t>
      </w:r>
      <w:r w:rsidRPr="007503A7">
        <w:rPr>
          <w:rFonts w:ascii="Times New Roman" w:eastAsia="Calibri" w:hAnsi="Times New Roman"/>
          <w:bCs/>
          <w:noProof/>
          <w:lang w:val="sq-AL" w:bidi="ar-SA"/>
        </w:rPr>
        <w:t>Në këtë kontekst, Kolegji thekson se gjykata nuk mund të mjaftohet me pranimin ose riprodhimin e konkluzioneve të organeve të ngarkuara me ekzekutimin e vendimit penal, por ka detyrimin të kryejë një vlerësim të pavarur të bazueshmërisë së tyre në fakt dhe në ligj, si dhe të japë një përgjigje të plotë dhe të argumentuar mbi çështjet që paraqesin rëndësi për zgjidhjen e drejt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w:t>
      </w:r>
      <w:r w:rsidR="007746F8" w:rsidRPr="007503A7">
        <w:rPr>
          <w:rFonts w:ascii="Times New Roman" w:eastAsia="Calibri" w:hAnsi="Times New Roman"/>
          <w:bCs/>
          <w:noProof/>
          <w:lang w:val="sq-AL" w:bidi="ar-SA"/>
        </w:rPr>
        <w:t>çë</w:t>
      </w:r>
      <w:r w:rsidRPr="007503A7">
        <w:rPr>
          <w:rFonts w:ascii="Times New Roman" w:eastAsia="Calibri" w:hAnsi="Times New Roman"/>
          <w:bCs/>
          <w:noProof/>
          <w:lang w:val="sq-AL" w:bidi="ar-SA"/>
        </w:rPr>
        <w:t xml:space="preserve">shtjes, veçanërisht kur ato janë ngritur në mënyrë të shprehur në pretendimet e mbrojtjes </w:t>
      </w:r>
      <w:r w:rsidRPr="007503A7">
        <w:rPr>
          <w:rFonts w:ascii="Times New Roman" w:eastAsia="Calibri" w:hAnsi="Times New Roman"/>
          <w:bCs/>
          <w:noProof/>
          <w:lang w:val="sq-AL" w:bidi="ar-SA"/>
        </w:rPr>
        <w:lastRenderedPageBreak/>
        <w:t>së të gjykuarës. Mungesa e një analize të tillë e b</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n 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p</w:t>
      </w:r>
      <w:r w:rsidR="008C3E26" w:rsidRPr="007503A7">
        <w:rPr>
          <w:rFonts w:ascii="Times New Roman" w:eastAsia="Calibri" w:hAnsi="Times New Roman"/>
          <w:bCs/>
          <w:noProof/>
          <w:lang w:val="sq-AL" w:bidi="ar-SA"/>
        </w:rPr>
        <w:t>a</w:t>
      </w:r>
      <w:r w:rsidRPr="007503A7">
        <w:rPr>
          <w:rFonts w:ascii="Times New Roman" w:eastAsia="Calibri" w:hAnsi="Times New Roman"/>
          <w:bCs/>
          <w:noProof/>
          <w:lang w:val="sq-AL" w:bidi="ar-SA"/>
        </w:rPr>
        <w:t>qart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se mbi çfarë baze faktike dhe ligjore Gjykata e Apelit ka arritur në përfundimin se periudha e provës nuk kishte përfunduar ende në kohën e rigjykimit dhe se afati i saj përfundimtar duhej të konsiderohej data 27.03.2027.</w:t>
      </w:r>
    </w:p>
    <w:p w14:paraId="73EA4506" w14:textId="318C777D" w:rsidR="007F3D0E" w:rsidRPr="007503A7" w:rsidRDefault="006F7F6D" w:rsidP="00910DD2">
      <w:pPr>
        <w:pStyle w:val="ListParagraph"/>
        <w:numPr>
          <w:ilvl w:val="0"/>
          <w:numId w:val="13"/>
        </w:numPr>
        <w:tabs>
          <w:tab w:val="left" w:pos="540"/>
        </w:tabs>
        <w:ind w:left="0" w:firstLine="360"/>
        <w:jc w:val="both"/>
        <w:rPr>
          <w:rFonts w:ascii="Times New Roman" w:eastAsia="Calibri" w:hAnsi="Times New Roman"/>
          <w:b/>
          <w:noProof/>
          <w:color w:val="FF0000"/>
          <w:lang w:val="sq-AL" w:bidi="ar-SA"/>
        </w:rPr>
      </w:pPr>
      <w:r w:rsidRPr="007503A7">
        <w:rPr>
          <w:rFonts w:ascii="Times New Roman" w:eastAsia="Calibri" w:hAnsi="Times New Roman"/>
          <w:bCs/>
          <w:noProof/>
          <w:lang w:val="sq-AL" w:bidi="ar-SA"/>
        </w:rPr>
        <w:t xml:space="preserve">Kolegji konstaton gjithashtu se Gjykata e Apelit nuk ka </w:t>
      </w:r>
      <w:r w:rsidR="007F3D0E" w:rsidRPr="007503A7">
        <w:rPr>
          <w:rFonts w:ascii="Times New Roman" w:eastAsia="Calibri" w:hAnsi="Times New Roman"/>
          <w:bCs/>
          <w:noProof/>
          <w:lang w:val="sq-AL" w:bidi="ar-SA"/>
        </w:rPr>
        <w:t>arsyetuar</w:t>
      </w:r>
      <w:r w:rsidRPr="007503A7">
        <w:rPr>
          <w:rFonts w:ascii="Times New Roman" w:eastAsia="Calibri" w:hAnsi="Times New Roman"/>
          <w:bCs/>
          <w:noProof/>
          <w:lang w:val="sq-AL" w:bidi="ar-SA"/>
        </w:rPr>
        <w:t xml:space="preserve"> lidhur me ndikimin që ka pasur në rastin konkret ekzekutimi faktik i </w:t>
      </w:r>
      <w:r w:rsidR="007F3D0E" w:rsidRPr="007503A7">
        <w:rPr>
          <w:rFonts w:ascii="Times New Roman" w:eastAsia="Calibri" w:hAnsi="Times New Roman"/>
          <w:bCs/>
          <w:noProof/>
          <w:lang w:val="sq-AL" w:bidi="ar-SA"/>
        </w:rPr>
        <w:t>d</w:t>
      </w:r>
      <w:r w:rsidR="007746F8" w:rsidRPr="007503A7">
        <w:rPr>
          <w:rFonts w:ascii="Times New Roman" w:eastAsia="Calibri" w:hAnsi="Times New Roman"/>
          <w:bCs/>
          <w:noProof/>
          <w:lang w:val="sq-AL" w:bidi="ar-SA"/>
        </w:rPr>
        <w:t>ë</w:t>
      </w:r>
      <w:r w:rsidR="007F3D0E" w:rsidRPr="007503A7">
        <w:rPr>
          <w:rFonts w:ascii="Times New Roman" w:eastAsia="Calibri" w:hAnsi="Times New Roman"/>
          <w:bCs/>
          <w:noProof/>
          <w:lang w:val="sq-AL" w:bidi="ar-SA"/>
        </w:rPr>
        <w:t>nimit</w:t>
      </w:r>
      <w:r w:rsidRPr="007503A7">
        <w:rPr>
          <w:rFonts w:ascii="Times New Roman" w:eastAsia="Calibri" w:hAnsi="Times New Roman"/>
          <w:bCs/>
          <w:noProof/>
          <w:lang w:val="sq-AL" w:bidi="ar-SA"/>
        </w:rPr>
        <w:t xml:space="preserve"> alternativ për një periudhë shumëvjeçare. Nga aktet rezulton se e gjykuara </w:t>
      </w:r>
      <w:r w:rsidR="007F3D0E" w:rsidRPr="007503A7">
        <w:rPr>
          <w:rFonts w:ascii="Times New Roman" w:eastAsia="Calibri" w:hAnsi="Times New Roman"/>
          <w:bCs/>
          <w:noProof/>
          <w:lang w:val="sq-AL" w:bidi="ar-SA"/>
        </w:rPr>
        <w:t xml:space="preserve">Evadiola Doko </w:t>
      </w:r>
      <w:r w:rsidRPr="007503A7">
        <w:rPr>
          <w:rFonts w:ascii="Times New Roman" w:eastAsia="Calibri" w:hAnsi="Times New Roman"/>
          <w:bCs/>
          <w:noProof/>
          <w:lang w:val="sq-AL" w:bidi="ar-SA"/>
        </w:rPr>
        <w:t>është vendosur nën mbikëqyrjen e Shërbimit të Provës që prej vitit 2017 dhe se kjo gjendje ka vazhduar për disa vite me radhë. Pavarësisht këtij fakti, vendimi objekt rekursi nuk përmban një vlerësim konkret mbi shkallën e përmbushjes së detyrimeve të vendosura ndaj saj, mbi sjelljen e saj gjatë kësaj periudhe, mbi afërsinë e përfundimit të periudhës së provës sipas interpretim</w:t>
      </w:r>
      <w:r w:rsidR="007F3D0E" w:rsidRPr="007503A7">
        <w:rPr>
          <w:rFonts w:ascii="Times New Roman" w:eastAsia="Calibri" w:hAnsi="Times New Roman"/>
          <w:bCs/>
          <w:noProof/>
          <w:lang w:val="sq-AL" w:bidi="ar-SA"/>
        </w:rPr>
        <w:t>it</w:t>
      </w:r>
      <w:r w:rsidRPr="007503A7">
        <w:rPr>
          <w:rFonts w:ascii="Times New Roman" w:eastAsia="Calibri" w:hAnsi="Times New Roman"/>
          <w:bCs/>
          <w:noProof/>
          <w:lang w:val="sq-AL" w:bidi="ar-SA"/>
        </w:rPr>
        <w:t xml:space="preserve"> të </w:t>
      </w:r>
      <w:r w:rsidR="007F3D0E" w:rsidRPr="007503A7">
        <w:rPr>
          <w:rFonts w:ascii="Times New Roman" w:eastAsia="Calibri" w:hAnsi="Times New Roman"/>
          <w:bCs/>
          <w:noProof/>
          <w:lang w:val="sq-AL" w:bidi="ar-SA"/>
        </w:rPr>
        <w:t>drejt</w:t>
      </w:r>
      <w:r w:rsidR="007746F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të nenit 59 të Kodit Penal dhe mbi ndikimin që këto rrethana mund të kenë në individualizimin e </w:t>
      </w:r>
      <w:r w:rsidR="007F3D0E" w:rsidRPr="007503A7">
        <w:rPr>
          <w:rFonts w:ascii="Times New Roman" w:eastAsia="Calibri" w:hAnsi="Times New Roman"/>
          <w:bCs/>
          <w:noProof/>
          <w:lang w:val="sq-AL" w:bidi="ar-SA"/>
        </w:rPr>
        <w:t>d</w:t>
      </w:r>
      <w:r w:rsidR="007746F8" w:rsidRPr="007503A7">
        <w:rPr>
          <w:rFonts w:ascii="Times New Roman" w:eastAsia="Calibri" w:hAnsi="Times New Roman"/>
          <w:bCs/>
          <w:noProof/>
          <w:lang w:val="sq-AL" w:bidi="ar-SA"/>
        </w:rPr>
        <w:t>ë</w:t>
      </w:r>
      <w:r w:rsidR="007F3D0E" w:rsidRPr="007503A7">
        <w:rPr>
          <w:rFonts w:ascii="Times New Roman" w:eastAsia="Calibri" w:hAnsi="Times New Roman"/>
          <w:bCs/>
          <w:noProof/>
          <w:lang w:val="sq-AL" w:bidi="ar-SA"/>
        </w:rPr>
        <w:t>nimit</w:t>
      </w:r>
      <w:r w:rsidRPr="007503A7">
        <w:rPr>
          <w:rFonts w:ascii="Times New Roman" w:eastAsia="Calibri" w:hAnsi="Times New Roman"/>
          <w:bCs/>
          <w:noProof/>
          <w:lang w:val="sq-AL" w:bidi="ar-SA"/>
        </w:rPr>
        <w:t>.</w:t>
      </w:r>
      <w:r w:rsidR="007F3D0E" w:rsidRPr="007503A7">
        <w:rPr>
          <w:rFonts w:ascii="Times New Roman" w:eastAsia="Calibri" w:hAnsi="Times New Roman"/>
          <w:bCs/>
          <w:noProof/>
          <w:lang w:val="sq-AL" w:bidi="ar-SA"/>
        </w:rPr>
        <w:t xml:space="preserve"> Nga ana tjet</w:t>
      </w:r>
      <w:r w:rsidR="007746F8" w:rsidRPr="007503A7">
        <w:rPr>
          <w:rFonts w:ascii="Times New Roman" w:eastAsia="Calibri" w:hAnsi="Times New Roman"/>
          <w:bCs/>
          <w:noProof/>
          <w:lang w:val="sq-AL" w:bidi="ar-SA"/>
        </w:rPr>
        <w:t>ë</w:t>
      </w:r>
      <w:r w:rsidR="007F3D0E" w:rsidRPr="007503A7">
        <w:rPr>
          <w:rFonts w:ascii="Times New Roman" w:eastAsia="Calibri" w:hAnsi="Times New Roman"/>
          <w:bCs/>
          <w:noProof/>
          <w:lang w:val="sq-AL" w:bidi="ar-SA"/>
        </w:rPr>
        <w:t>r</w:t>
      </w:r>
      <w:r w:rsidRPr="007503A7">
        <w:rPr>
          <w:rFonts w:ascii="Times New Roman" w:eastAsia="Calibri" w:hAnsi="Times New Roman"/>
          <w:bCs/>
          <w:noProof/>
          <w:lang w:val="sq-AL" w:bidi="ar-SA"/>
        </w:rPr>
        <w:t xml:space="preserve">, </w:t>
      </w:r>
      <w:r w:rsidR="007F3D0E" w:rsidRPr="007503A7">
        <w:rPr>
          <w:rFonts w:ascii="Times New Roman" w:eastAsia="Calibri" w:hAnsi="Times New Roman"/>
          <w:bCs/>
          <w:noProof/>
          <w:lang w:val="sq-AL" w:bidi="ar-SA"/>
        </w:rPr>
        <w:t>G</w:t>
      </w:r>
      <w:r w:rsidRPr="007503A7">
        <w:rPr>
          <w:rFonts w:ascii="Times New Roman" w:eastAsia="Calibri" w:hAnsi="Times New Roman"/>
          <w:bCs/>
          <w:noProof/>
          <w:lang w:val="sq-AL" w:bidi="ar-SA"/>
        </w:rPr>
        <w:t xml:space="preserve">jykata </w:t>
      </w:r>
      <w:r w:rsidR="007F3D0E" w:rsidRPr="007503A7">
        <w:rPr>
          <w:rFonts w:ascii="Times New Roman" w:eastAsia="Calibri" w:hAnsi="Times New Roman"/>
          <w:bCs/>
          <w:noProof/>
          <w:lang w:val="sq-AL" w:bidi="ar-SA"/>
        </w:rPr>
        <w:t xml:space="preserve">e Apelit </w:t>
      </w:r>
      <w:r w:rsidRPr="007503A7">
        <w:rPr>
          <w:rFonts w:ascii="Times New Roman" w:eastAsia="Calibri" w:hAnsi="Times New Roman"/>
          <w:bCs/>
          <w:noProof/>
          <w:lang w:val="sq-AL" w:bidi="ar-SA"/>
        </w:rPr>
        <w:t xml:space="preserve">nuk ka analizuar nëse rikthimi në vuajtjen e dënimit me burgim, pas një periudhe kaq të gjatë gjatë së cilës e gjykuara ka qenë subjekt i ekzekutimit të një </w:t>
      </w:r>
      <w:r w:rsidR="007F3D0E" w:rsidRPr="007503A7">
        <w:rPr>
          <w:rFonts w:ascii="Times New Roman" w:eastAsia="Calibri" w:hAnsi="Times New Roman"/>
          <w:bCs/>
          <w:noProof/>
          <w:lang w:val="sq-AL" w:bidi="ar-SA"/>
        </w:rPr>
        <w:t>d</w:t>
      </w:r>
      <w:r w:rsidR="007746F8" w:rsidRPr="007503A7">
        <w:rPr>
          <w:rFonts w:ascii="Times New Roman" w:eastAsia="Calibri" w:hAnsi="Times New Roman"/>
          <w:bCs/>
          <w:noProof/>
          <w:lang w:val="sq-AL" w:bidi="ar-SA"/>
        </w:rPr>
        <w:t>ë</w:t>
      </w:r>
      <w:r w:rsidR="007F3D0E" w:rsidRPr="007503A7">
        <w:rPr>
          <w:rFonts w:ascii="Times New Roman" w:eastAsia="Calibri" w:hAnsi="Times New Roman"/>
          <w:bCs/>
          <w:noProof/>
          <w:lang w:val="sq-AL" w:bidi="ar-SA"/>
        </w:rPr>
        <w:t>nimi</w:t>
      </w:r>
      <w:r w:rsidRPr="007503A7">
        <w:rPr>
          <w:rFonts w:ascii="Times New Roman" w:eastAsia="Calibri" w:hAnsi="Times New Roman"/>
          <w:bCs/>
          <w:noProof/>
          <w:lang w:val="sq-AL" w:bidi="ar-SA"/>
        </w:rPr>
        <w:t xml:space="preserve"> alternativ, përputhet me parimin e proporcionalitetit dhe me funksionin rehabilitues të dënimit. Këto janë çështje që marrin rëndësi të veçantë në rrethanat konkrete të rastit dhe kërkojnë </w:t>
      </w:r>
      <w:r w:rsidR="007F3D0E" w:rsidRPr="007503A7">
        <w:rPr>
          <w:rFonts w:ascii="Times New Roman" w:eastAsia="Calibri" w:hAnsi="Times New Roman"/>
          <w:bCs/>
          <w:noProof/>
          <w:lang w:val="sq-AL" w:bidi="ar-SA"/>
        </w:rPr>
        <w:t>analiz</w:t>
      </w:r>
      <w:r w:rsidR="007746F8" w:rsidRPr="007503A7">
        <w:rPr>
          <w:rFonts w:ascii="Times New Roman" w:eastAsia="Calibri" w:hAnsi="Times New Roman"/>
          <w:bCs/>
          <w:noProof/>
          <w:lang w:val="sq-AL" w:bidi="ar-SA"/>
        </w:rPr>
        <w:t>ë</w:t>
      </w:r>
      <w:r w:rsidR="007F3D0E" w:rsidRPr="007503A7">
        <w:rPr>
          <w:rFonts w:ascii="Times New Roman" w:eastAsia="Calibri" w:hAnsi="Times New Roman"/>
          <w:bCs/>
          <w:noProof/>
          <w:lang w:val="sq-AL" w:bidi="ar-SA"/>
        </w:rPr>
        <w:t xml:space="preserve"> t</w:t>
      </w:r>
      <w:r w:rsidR="007746F8" w:rsidRPr="007503A7">
        <w:rPr>
          <w:rFonts w:ascii="Times New Roman" w:eastAsia="Calibri" w:hAnsi="Times New Roman"/>
          <w:bCs/>
          <w:noProof/>
          <w:lang w:val="sq-AL" w:bidi="ar-SA"/>
        </w:rPr>
        <w:t>ë</w:t>
      </w:r>
      <w:r w:rsidR="007F3D0E" w:rsidRPr="007503A7">
        <w:rPr>
          <w:rFonts w:ascii="Times New Roman" w:eastAsia="Calibri" w:hAnsi="Times New Roman"/>
          <w:bCs/>
          <w:noProof/>
          <w:lang w:val="sq-AL" w:bidi="ar-SA"/>
        </w:rPr>
        <w:t xml:space="preserve"> argumentuar</w:t>
      </w:r>
      <w:r w:rsidRPr="007503A7">
        <w:rPr>
          <w:rFonts w:ascii="Times New Roman" w:eastAsia="Calibri" w:hAnsi="Times New Roman"/>
          <w:bCs/>
          <w:noProof/>
          <w:lang w:val="sq-AL" w:bidi="ar-SA"/>
        </w:rPr>
        <w:t xml:space="preserve"> në arsyetimin </w:t>
      </w:r>
      <w:r w:rsidR="007F3D0E" w:rsidRPr="007503A7">
        <w:rPr>
          <w:rFonts w:ascii="Times New Roman" w:eastAsia="Calibri" w:hAnsi="Times New Roman"/>
          <w:bCs/>
          <w:noProof/>
          <w:lang w:val="sq-AL" w:bidi="ar-SA"/>
        </w:rPr>
        <w:t>e vendimit</w:t>
      </w:r>
      <w:r w:rsidRPr="007503A7">
        <w:rPr>
          <w:rFonts w:ascii="Times New Roman" w:eastAsia="Calibri" w:hAnsi="Times New Roman"/>
          <w:bCs/>
          <w:noProof/>
          <w:lang w:val="sq-AL" w:bidi="ar-SA"/>
        </w:rPr>
        <w:t>.</w:t>
      </w:r>
    </w:p>
    <w:p w14:paraId="0C08A655" w14:textId="4C247CEC" w:rsidR="00183E39" w:rsidRPr="007503A7" w:rsidRDefault="00183E39" w:rsidP="00183E39">
      <w:pPr>
        <w:pStyle w:val="ListParagraph"/>
        <w:numPr>
          <w:ilvl w:val="0"/>
          <w:numId w:val="13"/>
        </w:numPr>
        <w:tabs>
          <w:tab w:val="left" w:pos="540"/>
        </w:tabs>
        <w:ind w:left="0" w:firstLine="360"/>
        <w:jc w:val="both"/>
        <w:rPr>
          <w:rFonts w:ascii="Times New Roman" w:eastAsia="Calibri" w:hAnsi="Times New Roman"/>
          <w:b/>
          <w:noProof/>
          <w:color w:val="FF0000"/>
          <w:lang w:val="sq-AL" w:bidi="ar-SA"/>
        </w:rPr>
      </w:pPr>
      <w:r w:rsidRPr="007503A7">
        <w:rPr>
          <w:rFonts w:ascii="Times New Roman" w:eastAsia="Calibri" w:hAnsi="Times New Roman"/>
          <w:bCs/>
          <w:noProof/>
          <w:lang w:val="sq-AL" w:bidi="ar-SA"/>
        </w:rPr>
        <w:t>Për sa më sipër, Kolegji vlerëson se vendimi objekt rekursi nuk përmban një analizë të plotë dhe të argumentuar mbi çështjet thelbësore të faktit dhe të së drejtës që janë vendimtare për zgjidhjen e çështjes. Në mënyrë të veçantë, Gjykata e Apelit nuk ka kryer një vlerësim të pavarur dhe të plotë mbi mënyrën e llogaritjes së periudhës së provës në kuptim të nenit 59 të Kodit Penal, duke u mjaftuar në pranimin e përllogaritjeve të administruara nga Shërbimi i Provës, pa verifikuar nëse ato janë në përputhje me kufirin maksimal ligjor të periudhës së provës dhe me interpretimin e drejtë të kësaj dispozite. Po kështu, gjykata nuk ka analizuar në mënyrë të plotë pasojat juridike që rrjedhin nga ekzekutimi faktik për një periudhë të gjatë kohore i dënimit alternativ të vendosur më parë, si dhe ndikimin që kjo rrethanë ka në individualizimin e dënimit, proporcionalitetin e tij dhe në realizimin e qëllimit rehabilitues të d</w:t>
      </w:r>
      <w:r w:rsidR="00C329A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nimit penal. Në këto rrethana, arsyetimi i vendimit paraqitet i paplotë për aspekte që kanë rëndësi thelbësore për zgjidhjen e drejtë të çështjes dhe, si i tillë, nuk mundëson ushtrimin efektiv të kontrollit të ligjshmërisë nga Gjykata e Lartë. Për rrjedhojë, në zbatim të neneve 432, pika 1, shkronja “b”, dhe 441, pika 1, shkronja “c”, të KPP, vendimi objekt rekursi duhet të prishet dhe çështja të dërgohet për rigjykim në Gjykatën e Apelit me tjetër trup gjykues.</w:t>
      </w:r>
    </w:p>
    <w:p w14:paraId="0225D525" w14:textId="2AE3930D" w:rsidR="00183E39" w:rsidRPr="007503A7" w:rsidRDefault="00183E39" w:rsidP="009017C6">
      <w:pPr>
        <w:pStyle w:val="ListParagraph"/>
        <w:numPr>
          <w:ilvl w:val="0"/>
          <w:numId w:val="13"/>
        </w:numPr>
        <w:tabs>
          <w:tab w:val="left" w:pos="540"/>
        </w:tabs>
        <w:ind w:left="0" w:firstLine="360"/>
        <w:jc w:val="both"/>
        <w:rPr>
          <w:rFonts w:ascii="Times New Roman" w:eastAsia="Calibri" w:hAnsi="Times New Roman"/>
          <w:bCs/>
          <w:noProof/>
          <w:color w:val="FF0000"/>
          <w:lang w:val="sq-AL" w:bidi="ar-SA"/>
        </w:rPr>
      </w:pPr>
      <w:r w:rsidRPr="007503A7">
        <w:rPr>
          <w:rFonts w:ascii="Times New Roman" w:eastAsia="Calibri" w:hAnsi="Times New Roman"/>
          <w:bCs/>
          <w:noProof/>
          <w:lang w:val="sq-AL" w:bidi="ar-SA"/>
        </w:rPr>
        <w:t xml:space="preserve">Në rigjykim, Gjykata e Apelit </w:t>
      </w:r>
      <w:r w:rsidR="009017C6" w:rsidRPr="007503A7">
        <w:rPr>
          <w:rFonts w:ascii="Times New Roman" w:eastAsia="Calibri" w:hAnsi="Times New Roman"/>
          <w:bCs/>
          <w:noProof/>
          <w:lang w:val="sq-AL" w:bidi="ar-SA"/>
        </w:rPr>
        <w:t>duhet të kryejë një analizë të plotë dhe të argumentuar t</w:t>
      </w:r>
      <w:r w:rsidR="00C329A8" w:rsidRPr="007503A7">
        <w:rPr>
          <w:rFonts w:ascii="Times New Roman" w:eastAsia="Calibri" w:hAnsi="Times New Roman"/>
          <w:bCs/>
          <w:noProof/>
          <w:lang w:val="sq-AL" w:bidi="ar-SA"/>
        </w:rPr>
        <w:t>ë</w:t>
      </w:r>
      <w:r w:rsidRPr="007503A7">
        <w:rPr>
          <w:rFonts w:ascii="Times New Roman" w:eastAsia="Calibri" w:hAnsi="Times New Roman"/>
          <w:bCs/>
          <w:noProof/>
          <w:lang w:val="sq-AL" w:bidi="ar-SA"/>
        </w:rPr>
        <w:t xml:space="preserve"> neni</w:t>
      </w:r>
      <w:r w:rsidR="009017C6" w:rsidRPr="007503A7">
        <w:rPr>
          <w:rFonts w:ascii="Times New Roman" w:eastAsia="Calibri" w:hAnsi="Times New Roman"/>
          <w:bCs/>
          <w:noProof/>
          <w:lang w:val="sq-AL" w:bidi="ar-SA"/>
        </w:rPr>
        <w:t>t</w:t>
      </w:r>
      <w:r w:rsidRPr="007503A7">
        <w:rPr>
          <w:rFonts w:ascii="Times New Roman" w:eastAsia="Calibri" w:hAnsi="Times New Roman"/>
          <w:bCs/>
          <w:noProof/>
          <w:lang w:val="sq-AL" w:bidi="ar-SA"/>
        </w:rPr>
        <w:t xml:space="preserve"> 59 të Kodit Penal, në interpretim të harmonizuar me parimin se periudha e provës nuk mund të tejkalojë kufirin maksimal ligjor prej 5 vjetësh. Në këtë </w:t>
      </w:r>
      <w:r w:rsidR="009017C6" w:rsidRPr="007503A7">
        <w:rPr>
          <w:rFonts w:ascii="Times New Roman" w:eastAsia="Calibri" w:hAnsi="Times New Roman"/>
          <w:bCs/>
          <w:noProof/>
          <w:lang w:val="sq-AL" w:bidi="ar-SA"/>
        </w:rPr>
        <w:t>v</w:t>
      </w:r>
      <w:r w:rsidR="00C329A8" w:rsidRPr="007503A7">
        <w:rPr>
          <w:rFonts w:ascii="Times New Roman" w:eastAsia="Calibri" w:hAnsi="Times New Roman"/>
          <w:bCs/>
          <w:noProof/>
          <w:lang w:val="sq-AL" w:bidi="ar-SA"/>
        </w:rPr>
        <w:t>ë</w:t>
      </w:r>
      <w:r w:rsidR="009017C6" w:rsidRPr="007503A7">
        <w:rPr>
          <w:rFonts w:ascii="Times New Roman" w:eastAsia="Calibri" w:hAnsi="Times New Roman"/>
          <w:bCs/>
          <w:noProof/>
          <w:lang w:val="sq-AL" w:bidi="ar-SA"/>
        </w:rPr>
        <w:t>shtrim</w:t>
      </w:r>
      <w:r w:rsidRPr="007503A7">
        <w:rPr>
          <w:rFonts w:ascii="Times New Roman" w:eastAsia="Calibri" w:hAnsi="Times New Roman"/>
          <w:bCs/>
          <w:noProof/>
          <w:lang w:val="sq-AL" w:bidi="ar-SA"/>
        </w:rPr>
        <w:t>, gjykata duhet të kryejë një vlerësim të pavarur dhe të plotë mbi mënyrën e llogaritjes së periudhës së provës në rastin konkret, duke verifikuar: (i) Nëse, sipas mënyrës së saktë të llogaritjes në përputhje me nenin 59 të Kodit Penal, periudha e provës është tejkaluar në fakt, duke marrë parasysh të gjitha ndërprerjet, zgjatjet dhe periudhat e mbikëqyrjes. Nëse konstatohet se periudha maksimale ligjore është tejkaluar, gjykata duhet të analizojë nëse dënimi alternativ konsiderohet i ekzekutuar dhe për pasojë nuk ka bazë për rikthim në vuajtjen e dënimit me burgim</w:t>
      </w:r>
      <w:r w:rsidR="00C27E88" w:rsidRPr="007503A7">
        <w:rPr>
          <w:rFonts w:ascii="Times New Roman" w:eastAsia="Calibri" w:hAnsi="Times New Roman"/>
          <w:bCs/>
          <w:noProof/>
          <w:lang w:val="sq-AL" w:bidi="ar-SA"/>
        </w:rPr>
        <w:t>;</w:t>
      </w:r>
      <w:r w:rsidRPr="007503A7">
        <w:rPr>
          <w:rFonts w:ascii="Times New Roman" w:eastAsia="Calibri" w:hAnsi="Times New Roman"/>
          <w:bCs/>
          <w:noProof/>
          <w:lang w:val="sq-AL" w:bidi="ar-SA"/>
        </w:rPr>
        <w:t xml:space="preserve"> (ii) Nëse, pas një llogaritjeje të drejtë dhe brenda kufijve të nenit 59 të Kodit Penal, rezulton se periudha e provës nuk është përfunduar ende, gjykata duhet të përcaktojë qartë kohëzgjatjen e mbetur të saj dhe më pas të bëjë një vlerësim substancial mbi sjelljen e të gjykuarës gjatë gjithë periudhës së mbikëqyrjes, shkallën e përmbushjes së detyrimeve të vendosura, kohëzgjatjen faktike të ekzekutimit të dënimit alternativ, afërsinë me përfundimin e periudhës së provës </w:t>
      </w:r>
      <w:r w:rsidR="00C329A8" w:rsidRPr="007503A7">
        <w:rPr>
          <w:rFonts w:ascii="Times New Roman" w:eastAsia="Calibri" w:hAnsi="Times New Roman"/>
          <w:bCs/>
          <w:noProof/>
          <w:lang w:val="sq-AL" w:bidi="ar-SA"/>
        </w:rPr>
        <w:t>dhe ndikimin e këtyre rrethanave në realizimin e qëllimit rehabilitues të dënimit, për të vlerësuar nëse rikthimi në vuajtjen e dënimit me burgim është proporcional dhe i domosdoshëm në rastin konkret</w:t>
      </w:r>
      <w:r w:rsidR="009017C6" w:rsidRPr="007503A7">
        <w:rPr>
          <w:rFonts w:ascii="Times New Roman" w:eastAsia="Calibri" w:hAnsi="Times New Roman"/>
          <w:bCs/>
          <w:noProof/>
          <w:lang w:val="sq-AL" w:bidi="ar-SA"/>
        </w:rPr>
        <w:t>.</w:t>
      </w:r>
    </w:p>
    <w:p w14:paraId="29D69A73" w14:textId="77777777" w:rsidR="00C329A8" w:rsidRPr="007503A7" w:rsidRDefault="00C329A8" w:rsidP="00183E39">
      <w:pPr>
        <w:tabs>
          <w:tab w:val="left" w:pos="540"/>
        </w:tabs>
        <w:jc w:val="both"/>
        <w:rPr>
          <w:rFonts w:ascii="Times New Roman" w:eastAsia="Calibri" w:hAnsi="Times New Roman"/>
          <w:b/>
          <w:noProof/>
          <w:color w:val="FF0000"/>
          <w:lang w:bidi="ar-SA"/>
        </w:rPr>
      </w:pPr>
    </w:p>
    <w:p w14:paraId="1B76ADD2" w14:textId="77777777" w:rsidR="0031088E" w:rsidRPr="007503A7" w:rsidRDefault="0031088E" w:rsidP="00473B82">
      <w:pPr>
        <w:jc w:val="center"/>
        <w:rPr>
          <w:rFonts w:ascii="Times New Roman" w:eastAsia="Calibri" w:hAnsi="Times New Roman"/>
          <w:b/>
          <w:lang w:bidi="ar-SA"/>
        </w:rPr>
      </w:pPr>
      <w:r w:rsidRPr="007503A7">
        <w:rPr>
          <w:rFonts w:ascii="Times New Roman" w:eastAsia="Calibri" w:hAnsi="Times New Roman"/>
          <w:b/>
          <w:lang w:bidi="ar-SA"/>
        </w:rPr>
        <w:lastRenderedPageBreak/>
        <w:t>PËR KËTO ARSYE,</w:t>
      </w:r>
      <w:bookmarkEnd w:id="1"/>
    </w:p>
    <w:p w14:paraId="427D13A0" w14:textId="77777777" w:rsidR="006A7CCE" w:rsidRPr="007503A7" w:rsidRDefault="006A7CCE" w:rsidP="00473B82">
      <w:pPr>
        <w:jc w:val="center"/>
        <w:rPr>
          <w:rFonts w:ascii="Times New Roman" w:eastAsia="Calibri" w:hAnsi="Times New Roman"/>
          <w:b/>
          <w:lang w:bidi="ar-SA"/>
        </w:rPr>
      </w:pPr>
    </w:p>
    <w:p w14:paraId="042F24CD" w14:textId="77777777" w:rsidR="00A6554E" w:rsidRPr="007503A7" w:rsidRDefault="003E4FC4" w:rsidP="00A6554E">
      <w:pPr>
        <w:tabs>
          <w:tab w:val="left" w:pos="3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360"/>
        <w:jc w:val="both"/>
        <w:rPr>
          <w:rFonts w:ascii="Times New Roman" w:hAnsi="Times New Roman"/>
          <w:bCs/>
          <w:lang w:bidi="ar-SA"/>
        </w:rPr>
      </w:pPr>
      <w:r w:rsidRPr="007503A7">
        <w:rPr>
          <w:rFonts w:ascii="Times New Roman" w:hAnsi="Times New Roman"/>
        </w:rPr>
        <w:t xml:space="preserve">Kolegji Penal i Gjykatës së Lartë, </w:t>
      </w:r>
      <w:r w:rsidRPr="007503A7">
        <w:rPr>
          <w:rFonts w:ascii="Times New Roman" w:hAnsi="Times New Roman"/>
          <w:bCs/>
          <w:lang w:bidi="ar-SA"/>
        </w:rPr>
        <w:t xml:space="preserve">mbështetur në </w:t>
      </w:r>
      <w:r w:rsidR="000C59F7" w:rsidRPr="007503A7">
        <w:rPr>
          <w:rFonts w:ascii="Times New Roman" w:hAnsi="Times New Roman"/>
          <w:bCs/>
          <w:lang w:bidi="ar-SA"/>
        </w:rPr>
        <w:t>nenin</w:t>
      </w:r>
      <w:r w:rsidR="00D57067" w:rsidRPr="007503A7">
        <w:rPr>
          <w:rFonts w:ascii="Times New Roman" w:hAnsi="Times New Roman"/>
          <w:bCs/>
          <w:lang w:bidi="ar-SA"/>
        </w:rPr>
        <w:t xml:space="preserve"> 441, pika 1, shkronja “</w:t>
      </w:r>
      <w:r w:rsidR="00FD465C" w:rsidRPr="007503A7">
        <w:rPr>
          <w:rFonts w:ascii="Times New Roman" w:hAnsi="Times New Roman"/>
          <w:bCs/>
          <w:lang w:bidi="ar-SA"/>
        </w:rPr>
        <w:t>c</w:t>
      </w:r>
      <w:r w:rsidR="00D57067" w:rsidRPr="007503A7">
        <w:rPr>
          <w:rFonts w:ascii="Times New Roman" w:hAnsi="Times New Roman"/>
          <w:bCs/>
          <w:lang w:bidi="ar-SA"/>
        </w:rPr>
        <w:t>”,</w:t>
      </w:r>
      <w:r w:rsidRPr="007503A7">
        <w:rPr>
          <w:rFonts w:ascii="Times New Roman" w:hAnsi="Times New Roman"/>
          <w:bCs/>
          <w:lang w:bidi="ar-SA"/>
        </w:rPr>
        <w:t xml:space="preserve"> të Kodit të Procedurës Penale,</w:t>
      </w:r>
    </w:p>
    <w:p w14:paraId="7032C333" w14:textId="77777777" w:rsidR="00A6554E" w:rsidRPr="007503A7" w:rsidRDefault="00A6554E" w:rsidP="00A6554E">
      <w:pPr>
        <w:tabs>
          <w:tab w:val="left" w:pos="3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360"/>
        <w:jc w:val="both"/>
        <w:rPr>
          <w:rFonts w:ascii="Times New Roman" w:hAnsi="Times New Roman"/>
          <w:bCs/>
          <w:lang w:bidi="ar-SA"/>
        </w:rPr>
      </w:pPr>
    </w:p>
    <w:p w14:paraId="3BB4F0EA" w14:textId="4C7808A8" w:rsidR="00056F9A" w:rsidRPr="007503A7" w:rsidRDefault="00A6554E" w:rsidP="00A6554E">
      <w:pPr>
        <w:tabs>
          <w:tab w:val="left" w:pos="3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360"/>
        <w:jc w:val="center"/>
        <w:rPr>
          <w:rFonts w:ascii="Times New Roman" w:hAnsi="Times New Roman"/>
          <w:b/>
          <w:bCs/>
          <w:lang w:bidi="ar-SA"/>
        </w:rPr>
      </w:pPr>
      <w:r w:rsidRPr="007503A7">
        <w:rPr>
          <w:rFonts w:ascii="Times New Roman" w:hAnsi="Times New Roman"/>
          <w:b/>
          <w:bCs/>
          <w:lang w:bidi="ar-SA"/>
        </w:rPr>
        <w:t>VENDOS</w:t>
      </w:r>
      <w:r w:rsidR="003E4FC4" w:rsidRPr="007503A7">
        <w:rPr>
          <w:rFonts w:ascii="Times New Roman" w:hAnsi="Times New Roman"/>
          <w:b/>
          <w:bCs/>
          <w:lang w:bidi="ar-SA"/>
        </w:rPr>
        <w:t>I</w:t>
      </w:r>
      <w:r w:rsidRPr="007503A7">
        <w:rPr>
          <w:rFonts w:ascii="Times New Roman" w:hAnsi="Times New Roman"/>
          <w:b/>
          <w:bCs/>
          <w:lang w:bidi="ar-SA"/>
        </w:rPr>
        <w:t>:</w:t>
      </w:r>
    </w:p>
    <w:p w14:paraId="29A9682D" w14:textId="77777777" w:rsidR="00475EF6" w:rsidRPr="007503A7" w:rsidRDefault="00475EF6" w:rsidP="00473B82">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Times New Roman" w:hAnsi="Times New Roman"/>
          <w:b/>
          <w:bCs/>
          <w:lang w:bidi="ar-SA"/>
        </w:rPr>
      </w:pPr>
    </w:p>
    <w:p w14:paraId="6DE3E31C" w14:textId="07F4DEE9" w:rsidR="00D57067" w:rsidRPr="007503A7" w:rsidRDefault="00FD465C" w:rsidP="00A6554E">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360"/>
        <w:jc w:val="both"/>
        <w:rPr>
          <w:rFonts w:ascii="Times New Roman" w:hAnsi="Times New Roman"/>
          <w:bCs/>
        </w:rPr>
      </w:pPr>
      <w:bookmarkStart w:id="4" w:name="_Hlk148525761"/>
      <w:r w:rsidRPr="007503A7">
        <w:rPr>
          <w:rFonts w:ascii="Times New Roman" w:hAnsi="Times New Roman"/>
          <w:lang w:bidi="ar-SA"/>
        </w:rPr>
        <w:t>Prishjen e</w:t>
      </w:r>
      <w:r w:rsidRPr="007503A7">
        <w:rPr>
          <w:rFonts w:ascii="Times New Roman" w:hAnsi="Times New Roman"/>
        </w:rPr>
        <w:t xml:space="preserve"> vendimit </w:t>
      </w:r>
      <w:r w:rsidRPr="007503A7">
        <w:rPr>
          <w:rFonts w:ascii="Times New Roman" w:hAnsi="Times New Roman"/>
          <w:bCs/>
        </w:rPr>
        <w:t>nr. (403) 30-2025-1294, datë 20.02.2025</w:t>
      </w:r>
      <w:r w:rsidR="00B524C6" w:rsidRPr="007503A7">
        <w:rPr>
          <w:rFonts w:ascii="Times New Roman" w:hAnsi="Times New Roman"/>
          <w:bCs/>
        </w:rPr>
        <w:t>,</w:t>
      </w:r>
      <w:r w:rsidRPr="007503A7">
        <w:rPr>
          <w:rFonts w:ascii="Times New Roman" w:hAnsi="Times New Roman"/>
          <w:b/>
          <w:bCs/>
        </w:rPr>
        <w:t xml:space="preserve"> </w:t>
      </w:r>
      <w:r w:rsidRPr="007503A7">
        <w:rPr>
          <w:rFonts w:ascii="Times New Roman" w:hAnsi="Times New Roman"/>
        </w:rPr>
        <w:t>të Gjykatës së Apelit të Juridiksionit të Përgjithshëm</w:t>
      </w:r>
      <w:r w:rsidRPr="007503A7">
        <w:rPr>
          <w:rFonts w:ascii="Times New Roman" w:hAnsi="Times New Roman"/>
          <w:lang w:bidi="ar-SA"/>
        </w:rPr>
        <w:t xml:space="preserve"> dhe dërgimin e çështjes për rishqyrtim në këtë gjykatë me tjetër trup gjykues</w:t>
      </w:r>
      <w:r w:rsidR="00D57067" w:rsidRPr="007503A7">
        <w:rPr>
          <w:rFonts w:ascii="Times New Roman" w:hAnsi="Times New Roman"/>
          <w:bCs/>
          <w:lang w:bidi="ar-SA"/>
        </w:rPr>
        <w:t>.</w:t>
      </w:r>
    </w:p>
    <w:bookmarkEnd w:id="4"/>
    <w:p w14:paraId="1C1B3A76" w14:textId="77777777" w:rsidR="002D4ACE" w:rsidRPr="007503A7" w:rsidRDefault="002D4ACE" w:rsidP="00473B82">
      <w:pPr>
        <w:ind w:firstLine="360"/>
        <w:jc w:val="both"/>
        <w:rPr>
          <w:rFonts w:ascii="Times New Roman" w:hAnsi="Times New Roman"/>
          <w:noProof/>
        </w:rPr>
      </w:pPr>
    </w:p>
    <w:p w14:paraId="69A59CD8" w14:textId="342ACB83" w:rsidR="002D4ACE" w:rsidRPr="007503A7" w:rsidRDefault="003E4FC4" w:rsidP="00473B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Times New Roman" w:hAnsi="Times New Roman"/>
          <w:b/>
        </w:rPr>
      </w:pPr>
      <w:r w:rsidRPr="007503A7">
        <w:rPr>
          <w:rFonts w:ascii="Times New Roman" w:hAnsi="Times New Roman"/>
          <w:bCs/>
          <w:i/>
        </w:rPr>
        <w:tab/>
      </w:r>
      <w:r w:rsidRPr="007503A7">
        <w:rPr>
          <w:rFonts w:ascii="Times New Roman" w:hAnsi="Times New Roman"/>
          <w:bCs/>
          <w:i/>
        </w:rPr>
        <w:tab/>
      </w:r>
      <w:r w:rsidRPr="007503A7">
        <w:rPr>
          <w:rFonts w:ascii="Times New Roman" w:hAnsi="Times New Roman"/>
          <w:bCs/>
          <w:i/>
        </w:rPr>
        <w:tab/>
      </w:r>
      <w:r w:rsidRPr="007503A7">
        <w:rPr>
          <w:rFonts w:ascii="Times New Roman" w:hAnsi="Times New Roman"/>
          <w:bCs/>
          <w:i/>
        </w:rPr>
        <w:tab/>
      </w:r>
      <w:r w:rsidRPr="007503A7">
        <w:rPr>
          <w:rFonts w:ascii="Times New Roman" w:hAnsi="Times New Roman"/>
          <w:bCs/>
          <w:i/>
        </w:rPr>
        <w:tab/>
      </w:r>
      <w:r w:rsidRPr="007503A7">
        <w:rPr>
          <w:rFonts w:ascii="Times New Roman" w:hAnsi="Times New Roman"/>
          <w:bCs/>
          <w:i/>
        </w:rPr>
        <w:tab/>
      </w:r>
      <w:r w:rsidRPr="007503A7">
        <w:rPr>
          <w:rFonts w:ascii="Times New Roman" w:hAnsi="Times New Roman"/>
          <w:b/>
        </w:rPr>
        <w:t xml:space="preserve">Tiranë, më </w:t>
      </w:r>
      <w:r w:rsidR="00E54BF7" w:rsidRPr="007503A7">
        <w:rPr>
          <w:rFonts w:ascii="Times New Roman" w:hAnsi="Times New Roman"/>
          <w:b/>
        </w:rPr>
        <w:t>12.05</w:t>
      </w:r>
      <w:r w:rsidR="00DC778D" w:rsidRPr="007503A7">
        <w:rPr>
          <w:rFonts w:ascii="Times New Roman" w:hAnsi="Times New Roman"/>
          <w:b/>
        </w:rPr>
        <w:t>.2026</w:t>
      </w:r>
    </w:p>
    <w:p w14:paraId="5C05D26D" w14:textId="77777777" w:rsidR="00BD760F" w:rsidRPr="007503A7" w:rsidRDefault="00BD760F">
      <w:pPr>
        <w:rPr>
          <w:rFonts w:ascii="Times New Roman" w:hAnsi="Times New Roman"/>
          <w:b/>
          <w:noProof/>
        </w:rPr>
      </w:pPr>
    </w:p>
    <w:sectPr w:rsidR="00BD760F" w:rsidRPr="007503A7" w:rsidSect="000127EA">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B84B2" w14:textId="77777777" w:rsidR="00984F62" w:rsidRDefault="00984F62" w:rsidP="005C5C65">
      <w:r>
        <w:separator/>
      </w:r>
    </w:p>
  </w:endnote>
  <w:endnote w:type="continuationSeparator" w:id="0">
    <w:p w14:paraId="6C53248F" w14:textId="77777777" w:rsidR="00984F62" w:rsidRDefault="00984F62" w:rsidP="005C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132083"/>
      <w:docPartObj>
        <w:docPartGallery w:val="Page Numbers (Bottom of Page)"/>
        <w:docPartUnique/>
      </w:docPartObj>
    </w:sdtPr>
    <w:sdtEndPr>
      <w:rPr>
        <w:noProof/>
      </w:rPr>
    </w:sdtEndPr>
    <w:sdtContent>
      <w:p w14:paraId="3A59DF84" w14:textId="73B24708" w:rsidR="00BA753A" w:rsidRDefault="00BA753A">
        <w:pPr>
          <w:pStyle w:val="Footer"/>
          <w:jc w:val="right"/>
        </w:pPr>
        <w:r>
          <w:fldChar w:fldCharType="begin"/>
        </w:r>
        <w:r>
          <w:instrText xml:space="preserve"> PAGE   \* MERGEFORMAT </w:instrText>
        </w:r>
        <w:r>
          <w:fldChar w:fldCharType="separate"/>
        </w:r>
        <w:r w:rsidR="007503A7">
          <w:rPr>
            <w:noProof/>
          </w:rPr>
          <w:t>16</w:t>
        </w:r>
        <w:r>
          <w:rPr>
            <w:noProof/>
          </w:rPr>
          <w:fldChar w:fldCharType="end"/>
        </w:r>
      </w:p>
    </w:sdtContent>
  </w:sdt>
  <w:p w14:paraId="6CE2122C" w14:textId="77777777" w:rsidR="008666BF" w:rsidRDefault="00866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29D66" w14:textId="77777777" w:rsidR="00984F62" w:rsidRDefault="00984F62" w:rsidP="005C5C65">
      <w:r>
        <w:separator/>
      </w:r>
    </w:p>
  </w:footnote>
  <w:footnote w:type="continuationSeparator" w:id="0">
    <w:p w14:paraId="4B60FCE4" w14:textId="77777777" w:rsidR="00984F62" w:rsidRDefault="00984F62" w:rsidP="005C5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413F8"/>
    <w:multiLevelType w:val="multilevel"/>
    <w:tmpl w:val="28F0ED7A"/>
    <w:lvl w:ilvl="0">
      <w:start w:val="1"/>
      <w:numFmt w:val="decimal"/>
      <w:lvlText w:val="%1."/>
      <w:lvlJc w:val="left"/>
      <w:pPr>
        <w:ind w:left="2520" w:hanging="360"/>
      </w:pPr>
      <w:rPr>
        <w:rFonts w:hint="default"/>
        <w:b w:val="0"/>
        <w:bCs/>
        <w:i w:val="0"/>
        <w:iCs w:val="0"/>
        <w:color w:val="auto"/>
        <w:sz w:val="24"/>
      </w:rPr>
    </w:lvl>
    <w:lvl w:ilvl="1">
      <w:start w:val="1"/>
      <w:numFmt w:val="decimal"/>
      <w:isLgl/>
      <w:lvlText w:val="%1.%2"/>
      <w:lvlJc w:val="left"/>
      <w:pPr>
        <w:ind w:left="720" w:hanging="360"/>
      </w:pPr>
      <w:rPr>
        <w:rFonts w:eastAsiaTheme="minorHAnsi" w:hint="default"/>
        <w:b w:val="0"/>
      </w:rPr>
    </w:lvl>
    <w:lvl w:ilvl="2">
      <w:start w:val="1"/>
      <w:numFmt w:val="decimal"/>
      <w:isLgl/>
      <w:lvlText w:val="%1.%2.%3"/>
      <w:lvlJc w:val="left"/>
      <w:pPr>
        <w:ind w:left="1080" w:hanging="720"/>
      </w:pPr>
      <w:rPr>
        <w:rFonts w:eastAsiaTheme="minorHAnsi" w:hint="default"/>
        <w:b w:val="0"/>
      </w:rPr>
    </w:lvl>
    <w:lvl w:ilvl="3">
      <w:start w:val="1"/>
      <w:numFmt w:val="decimal"/>
      <w:isLgl/>
      <w:lvlText w:val="%1.%2.%3.%4"/>
      <w:lvlJc w:val="left"/>
      <w:pPr>
        <w:ind w:left="1080" w:hanging="720"/>
      </w:pPr>
      <w:rPr>
        <w:rFonts w:eastAsiaTheme="minorHAnsi" w:hint="default"/>
        <w:b w:val="0"/>
      </w:rPr>
    </w:lvl>
    <w:lvl w:ilvl="4">
      <w:start w:val="1"/>
      <w:numFmt w:val="decimal"/>
      <w:isLgl/>
      <w:lvlText w:val="%1.%2.%3.%4.%5"/>
      <w:lvlJc w:val="left"/>
      <w:pPr>
        <w:ind w:left="1440" w:hanging="1080"/>
      </w:pPr>
      <w:rPr>
        <w:rFonts w:eastAsiaTheme="minorHAnsi" w:hint="default"/>
        <w:b w:val="0"/>
      </w:rPr>
    </w:lvl>
    <w:lvl w:ilvl="5">
      <w:start w:val="1"/>
      <w:numFmt w:val="decimal"/>
      <w:isLgl/>
      <w:lvlText w:val="%1.%2.%3.%4.%5.%6"/>
      <w:lvlJc w:val="left"/>
      <w:pPr>
        <w:ind w:left="1440" w:hanging="1080"/>
      </w:pPr>
      <w:rPr>
        <w:rFonts w:eastAsiaTheme="minorHAnsi" w:hint="default"/>
        <w:b w:val="0"/>
      </w:rPr>
    </w:lvl>
    <w:lvl w:ilvl="6">
      <w:start w:val="1"/>
      <w:numFmt w:val="decimal"/>
      <w:isLgl/>
      <w:lvlText w:val="%1.%2.%3.%4.%5.%6.%7"/>
      <w:lvlJc w:val="left"/>
      <w:pPr>
        <w:ind w:left="1800" w:hanging="1440"/>
      </w:pPr>
      <w:rPr>
        <w:rFonts w:eastAsiaTheme="minorHAnsi" w:hint="default"/>
        <w:b w:val="0"/>
      </w:rPr>
    </w:lvl>
    <w:lvl w:ilvl="7">
      <w:start w:val="1"/>
      <w:numFmt w:val="decimal"/>
      <w:isLgl/>
      <w:lvlText w:val="%1.%2.%3.%4.%5.%6.%7.%8"/>
      <w:lvlJc w:val="left"/>
      <w:pPr>
        <w:ind w:left="1800" w:hanging="1440"/>
      </w:pPr>
      <w:rPr>
        <w:rFonts w:eastAsiaTheme="minorHAnsi" w:hint="default"/>
        <w:b w:val="0"/>
      </w:rPr>
    </w:lvl>
    <w:lvl w:ilvl="8">
      <w:start w:val="1"/>
      <w:numFmt w:val="decimal"/>
      <w:isLgl/>
      <w:lvlText w:val="%1.%2.%3.%4.%5.%6.%7.%8.%9"/>
      <w:lvlJc w:val="left"/>
      <w:pPr>
        <w:ind w:left="2160" w:hanging="1800"/>
      </w:pPr>
      <w:rPr>
        <w:rFonts w:eastAsiaTheme="minorHAnsi" w:hint="default"/>
        <w:b w:val="0"/>
      </w:rPr>
    </w:lvl>
  </w:abstractNum>
  <w:abstractNum w:abstractNumId="1" w15:restartNumberingAfterBreak="0">
    <w:nsid w:val="05984A14"/>
    <w:multiLevelType w:val="hybridMultilevel"/>
    <w:tmpl w:val="6188F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E562D"/>
    <w:multiLevelType w:val="multilevel"/>
    <w:tmpl w:val="55A02F7C"/>
    <w:lvl w:ilvl="0">
      <w:start w:val="1"/>
      <w:numFmt w:val="decimal"/>
      <w:lvlText w:val="%1."/>
      <w:lvlJc w:val="left"/>
      <w:pPr>
        <w:ind w:left="720" w:hanging="360"/>
      </w:pPr>
      <w:rPr>
        <w:rFonts w:hint="default"/>
        <w:b w:val="0"/>
        <w:bCs/>
        <w:i w:val="0"/>
        <w:iCs w:val="0"/>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7B636F"/>
    <w:multiLevelType w:val="hybridMultilevel"/>
    <w:tmpl w:val="E0223C04"/>
    <w:lvl w:ilvl="0" w:tplc="209C5A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C365D"/>
    <w:multiLevelType w:val="hybridMultilevel"/>
    <w:tmpl w:val="B47694CA"/>
    <w:lvl w:ilvl="0" w:tplc="AC282794">
      <w:start w:val="9"/>
      <w:numFmt w:val="bullet"/>
      <w:lvlText w:val="-"/>
      <w:lvlJc w:val="left"/>
      <w:pPr>
        <w:ind w:left="720" w:hanging="360"/>
      </w:pPr>
      <w:rPr>
        <w:rFonts w:ascii="Times New Roman" w:eastAsia="MS Mincho"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D10F1"/>
    <w:multiLevelType w:val="hybridMultilevel"/>
    <w:tmpl w:val="97D0972E"/>
    <w:lvl w:ilvl="0" w:tplc="5E986E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17C23"/>
    <w:multiLevelType w:val="hybridMultilevel"/>
    <w:tmpl w:val="51F0D884"/>
    <w:lvl w:ilvl="0" w:tplc="3102645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4C2376"/>
    <w:multiLevelType w:val="multilevel"/>
    <w:tmpl w:val="A97EEF3C"/>
    <w:lvl w:ilvl="0">
      <w:start w:val="1"/>
      <w:numFmt w:val="decimal"/>
      <w:lvlText w:val="%1."/>
      <w:lvlJc w:val="left"/>
      <w:pPr>
        <w:ind w:left="720" w:hanging="360"/>
      </w:pPr>
      <w:rPr>
        <w:rFonts w:hint="default"/>
        <w:i w:val="0"/>
        <w:iCs w:val="0"/>
      </w:rPr>
    </w:lvl>
    <w:lvl w:ilvl="1">
      <w:start w:val="1"/>
      <w:numFmt w:val="decimal"/>
      <w:isLgl/>
      <w:lvlText w:val="%1.%2"/>
      <w:lvlJc w:val="left"/>
      <w:pPr>
        <w:ind w:left="885" w:hanging="525"/>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37F599F"/>
    <w:multiLevelType w:val="multilevel"/>
    <w:tmpl w:val="00529D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BD0F09"/>
    <w:multiLevelType w:val="hybridMultilevel"/>
    <w:tmpl w:val="4E265690"/>
    <w:lvl w:ilvl="0" w:tplc="599C3BF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3567DE"/>
    <w:multiLevelType w:val="hybridMultilevel"/>
    <w:tmpl w:val="9FA023F8"/>
    <w:lvl w:ilvl="0" w:tplc="19924208">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3511E6"/>
    <w:multiLevelType w:val="hybridMultilevel"/>
    <w:tmpl w:val="E17AC916"/>
    <w:lvl w:ilvl="0" w:tplc="F1CE0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7E331C"/>
    <w:multiLevelType w:val="hybridMultilevel"/>
    <w:tmpl w:val="C9F697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B7604"/>
    <w:multiLevelType w:val="hybridMultilevel"/>
    <w:tmpl w:val="015A54F8"/>
    <w:lvl w:ilvl="0" w:tplc="81701230">
      <w:start w:val="13"/>
      <w:numFmt w:val="bullet"/>
      <w:lvlText w:val="-"/>
      <w:lvlJc w:val="left"/>
      <w:pPr>
        <w:ind w:left="720" w:hanging="360"/>
      </w:pPr>
      <w:rPr>
        <w:rFonts w:ascii="Times New Roman" w:eastAsia="MS Mincho"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6317C3"/>
    <w:multiLevelType w:val="hybridMultilevel"/>
    <w:tmpl w:val="55C4D488"/>
    <w:lvl w:ilvl="0" w:tplc="E0D846E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777FF4"/>
    <w:multiLevelType w:val="hybridMultilevel"/>
    <w:tmpl w:val="34087012"/>
    <w:lvl w:ilvl="0" w:tplc="FEBABF5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9"/>
  </w:num>
  <w:num w:numId="4">
    <w:abstractNumId w:val="10"/>
  </w:num>
  <w:num w:numId="5">
    <w:abstractNumId w:val="5"/>
  </w:num>
  <w:num w:numId="6">
    <w:abstractNumId w:val="14"/>
  </w:num>
  <w:num w:numId="7">
    <w:abstractNumId w:val="4"/>
  </w:num>
  <w:num w:numId="8">
    <w:abstractNumId w:val="15"/>
  </w:num>
  <w:num w:numId="9">
    <w:abstractNumId w:val="13"/>
  </w:num>
  <w:num w:numId="10">
    <w:abstractNumId w:val="3"/>
  </w:num>
  <w:num w:numId="11">
    <w:abstractNumId w:val="6"/>
  </w:num>
  <w:num w:numId="12">
    <w:abstractNumId w:val="7"/>
  </w:num>
  <w:num w:numId="13">
    <w:abstractNumId w:val="2"/>
  </w:num>
  <w:num w:numId="14">
    <w:abstractNumId w:val="0"/>
  </w:num>
  <w:num w:numId="15">
    <w:abstractNumId w:val="8"/>
  </w:num>
  <w:num w:numId="1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2E4"/>
    <w:rsid w:val="000036C0"/>
    <w:rsid w:val="00007795"/>
    <w:rsid w:val="00007E8F"/>
    <w:rsid w:val="000127EA"/>
    <w:rsid w:val="00021DFF"/>
    <w:rsid w:val="000272F2"/>
    <w:rsid w:val="00032BF5"/>
    <w:rsid w:val="0003358F"/>
    <w:rsid w:val="00035817"/>
    <w:rsid w:val="000423EC"/>
    <w:rsid w:val="000469F5"/>
    <w:rsid w:val="00056F9A"/>
    <w:rsid w:val="00061222"/>
    <w:rsid w:val="000619FD"/>
    <w:rsid w:val="00061E38"/>
    <w:rsid w:val="00065BB1"/>
    <w:rsid w:val="000745C8"/>
    <w:rsid w:val="00074C10"/>
    <w:rsid w:val="00076906"/>
    <w:rsid w:val="00080D4C"/>
    <w:rsid w:val="00081586"/>
    <w:rsid w:val="00082148"/>
    <w:rsid w:val="00085FB5"/>
    <w:rsid w:val="00087512"/>
    <w:rsid w:val="00091290"/>
    <w:rsid w:val="00095892"/>
    <w:rsid w:val="0009661B"/>
    <w:rsid w:val="000A580B"/>
    <w:rsid w:val="000A6AAA"/>
    <w:rsid w:val="000A72C3"/>
    <w:rsid w:val="000B2784"/>
    <w:rsid w:val="000B4845"/>
    <w:rsid w:val="000B790C"/>
    <w:rsid w:val="000B7D1F"/>
    <w:rsid w:val="000C03B2"/>
    <w:rsid w:val="000C05B2"/>
    <w:rsid w:val="000C2020"/>
    <w:rsid w:val="000C59F7"/>
    <w:rsid w:val="000C7102"/>
    <w:rsid w:val="000D2310"/>
    <w:rsid w:val="000D4B6B"/>
    <w:rsid w:val="000D7B3A"/>
    <w:rsid w:val="000E2AC1"/>
    <w:rsid w:val="000E49C6"/>
    <w:rsid w:val="000F1494"/>
    <w:rsid w:val="000F2DE1"/>
    <w:rsid w:val="00100AB7"/>
    <w:rsid w:val="00103F36"/>
    <w:rsid w:val="00112CB4"/>
    <w:rsid w:val="0012027A"/>
    <w:rsid w:val="0012444C"/>
    <w:rsid w:val="001257C7"/>
    <w:rsid w:val="00126431"/>
    <w:rsid w:val="00131399"/>
    <w:rsid w:val="0013343F"/>
    <w:rsid w:val="00134FF2"/>
    <w:rsid w:val="00135DBB"/>
    <w:rsid w:val="00135E4E"/>
    <w:rsid w:val="001361C2"/>
    <w:rsid w:val="00136910"/>
    <w:rsid w:val="00142C89"/>
    <w:rsid w:val="00143EC2"/>
    <w:rsid w:val="001456E8"/>
    <w:rsid w:val="00154B85"/>
    <w:rsid w:val="00154D03"/>
    <w:rsid w:val="001637CC"/>
    <w:rsid w:val="001644B0"/>
    <w:rsid w:val="00166468"/>
    <w:rsid w:val="00166FF5"/>
    <w:rsid w:val="00167682"/>
    <w:rsid w:val="00170800"/>
    <w:rsid w:val="00171BD5"/>
    <w:rsid w:val="001741A9"/>
    <w:rsid w:val="0017566C"/>
    <w:rsid w:val="001818E5"/>
    <w:rsid w:val="00183E39"/>
    <w:rsid w:val="001851D7"/>
    <w:rsid w:val="00190D98"/>
    <w:rsid w:val="0019627F"/>
    <w:rsid w:val="001A39BF"/>
    <w:rsid w:val="001B56C2"/>
    <w:rsid w:val="001C28D4"/>
    <w:rsid w:val="001C497F"/>
    <w:rsid w:val="001C53A7"/>
    <w:rsid w:val="001C53DB"/>
    <w:rsid w:val="001D0E51"/>
    <w:rsid w:val="001D4EAA"/>
    <w:rsid w:val="001D54FD"/>
    <w:rsid w:val="001E013E"/>
    <w:rsid w:val="001E1FDA"/>
    <w:rsid w:val="001E5102"/>
    <w:rsid w:val="001E793E"/>
    <w:rsid w:val="00200D0B"/>
    <w:rsid w:val="0020776F"/>
    <w:rsid w:val="002113BF"/>
    <w:rsid w:val="00213DA6"/>
    <w:rsid w:val="00215ECD"/>
    <w:rsid w:val="00220DE0"/>
    <w:rsid w:val="002214C2"/>
    <w:rsid w:val="0022333A"/>
    <w:rsid w:val="00223DC1"/>
    <w:rsid w:val="00224450"/>
    <w:rsid w:val="00225A94"/>
    <w:rsid w:val="002356EE"/>
    <w:rsid w:val="00247B1F"/>
    <w:rsid w:val="0025265A"/>
    <w:rsid w:val="00253702"/>
    <w:rsid w:val="00262EAE"/>
    <w:rsid w:val="0026320B"/>
    <w:rsid w:val="0026788D"/>
    <w:rsid w:val="00272BEA"/>
    <w:rsid w:val="002802B6"/>
    <w:rsid w:val="002918A7"/>
    <w:rsid w:val="00292119"/>
    <w:rsid w:val="00293744"/>
    <w:rsid w:val="00297ABF"/>
    <w:rsid w:val="002A029B"/>
    <w:rsid w:val="002A2742"/>
    <w:rsid w:val="002A43EF"/>
    <w:rsid w:val="002B02B4"/>
    <w:rsid w:val="002B0C00"/>
    <w:rsid w:val="002B33C4"/>
    <w:rsid w:val="002B42CC"/>
    <w:rsid w:val="002B43D9"/>
    <w:rsid w:val="002C7893"/>
    <w:rsid w:val="002D0833"/>
    <w:rsid w:val="002D4666"/>
    <w:rsid w:val="002D4ACE"/>
    <w:rsid w:val="002E3D0A"/>
    <w:rsid w:val="003028B6"/>
    <w:rsid w:val="00303E2E"/>
    <w:rsid w:val="00304976"/>
    <w:rsid w:val="00307FE7"/>
    <w:rsid w:val="0031088E"/>
    <w:rsid w:val="0032721D"/>
    <w:rsid w:val="00327E1B"/>
    <w:rsid w:val="003362C7"/>
    <w:rsid w:val="00337136"/>
    <w:rsid w:val="003416A5"/>
    <w:rsid w:val="003430F4"/>
    <w:rsid w:val="00343D0B"/>
    <w:rsid w:val="00345E46"/>
    <w:rsid w:val="00347AEC"/>
    <w:rsid w:val="00352553"/>
    <w:rsid w:val="0035386A"/>
    <w:rsid w:val="00353F24"/>
    <w:rsid w:val="00362137"/>
    <w:rsid w:val="00362C53"/>
    <w:rsid w:val="00370195"/>
    <w:rsid w:val="0037286A"/>
    <w:rsid w:val="00380948"/>
    <w:rsid w:val="00383A0E"/>
    <w:rsid w:val="003843D9"/>
    <w:rsid w:val="00387C2B"/>
    <w:rsid w:val="00394629"/>
    <w:rsid w:val="00394C6F"/>
    <w:rsid w:val="003A46CE"/>
    <w:rsid w:val="003A6806"/>
    <w:rsid w:val="003B3D5A"/>
    <w:rsid w:val="003B68D1"/>
    <w:rsid w:val="003C0062"/>
    <w:rsid w:val="003C2323"/>
    <w:rsid w:val="003D39BC"/>
    <w:rsid w:val="003D3A6C"/>
    <w:rsid w:val="003E4FC4"/>
    <w:rsid w:val="003F123B"/>
    <w:rsid w:val="003F36BB"/>
    <w:rsid w:val="003F38AA"/>
    <w:rsid w:val="003F5DE6"/>
    <w:rsid w:val="003F631E"/>
    <w:rsid w:val="00404274"/>
    <w:rsid w:val="00404ADF"/>
    <w:rsid w:val="004171D0"/>
    <w:rsid w:val="004204E1"/>
    <w:rsid w:val="004208E3"/>
    <w:rsid w:val="00424149"/>
    <w:rsid w:val="00424A4B"/>
    <w:rsid w:val="0042696D"/>
    <w:rsid w:val="00430AB9"/>
    <w:rsid w:val="004320B2"/>
    <w:rsid w:val="00436143"/>
    <w:rsid w:val="00436573"/>
    <w:rsid w:val="0044414B"/>
    <w:rsid w:val="00444B82"/>
    <w:rsid w:val="00445118"/>
    <w:rsid w:val="0044534C"/>
    <w:rsid w:val="00447475"/>
    <w:rsid w:val="00450294"/>
    <w:rsid w:val="0045283C"/>
    <w:rsid w:val="0045551A"/>
    <w:rsid w:val="00456604"/>
    <w:rsid w:val="004714C1"/>
    <w:rsid w:val="00473B82"/>
    <w:rsid w:val="00475EF6"/>
    <w:rsid w:val="00477D6C"/>
    <w:rsid w:val="00481C14"/>
    <w:rsid w:val="00484ABD"/>
    <w:rsid w:val="00493C12"/>
    <w:rsid w:val="00496FDC"/>
    <w:rsid w:val="004A029E"/>
    <w:rsid w:val="004B0424"/>
    <w:rsid w:val="004B0FEC"/>
    <w:rsid w:val="004B1922"/>
    <w:rsid w:val="004B7F88"/>
    <w:rsid w:val="004C2971"/>
    <w:rsid w:val="004D1B7E"/>
    <w:rsid w:val="004D29D2"/>
    <w:rsid w:val="004D40B6"/>
    <w:rsid w:val="004D64BC"/>
    <w:rsid w:val="004D7BA4"/>
    <w:rsid w:val="004F0BDE"/>
    <w:rsid w:val="004F382A"/>
    <w:rsid w:val="0050265F"/>
    <w:rsid w:val="005046EA"/>
    <w:rsid w:val="00504896"/>
    <w:rsid w:val="0051024C"/>
    <w:rsid w:val="005132A6"/>
    <w:rsid w:val="00517529"/>
    <w:rsid w:val="00517840"/>
    <w:rsid w:val="00521B98"/>
    <w:rsid w:val="005253FA"/>
    <w:rsid w:val="00530C24"/>
    <w:rsid w:val="00532316"/>
    <w:rsid w:val="00532831"/>
    <w:rsid w:val="00532FEA"/>
    <w:rsid w:val="00543748"/>
    <w:rsid w:val="00544916"/>
    <w:rsid w:val="00544AE5"/>
    <w:rsid w:val="00547F00"/>
    <w:rsid w:val="00550C51"/>
    <w:rsid w:val="00560AC8"/>
    <w:rsid w:val="00561B8F"/>
    <w:rsid w:val="005759E3"/>
    <w:rsid w:val="00577C76"/>
    <w:rsid w:val="00585915"/>
    <w:rsid w:val="00586D51"/>
    <w:rsid w:val="00595744"/>
    <w:rsid w:val="005A1D5E"/>
    <w:rsid w:val="005A2CD7"/>
    <w:rsid w:val="005A5D25"/>
    <w:rsid w:val="005A6900"/>
    <w:rsid w:val="005C17D9"/>
    <w:rsid w:val="005C1878"/>
    <w:rsid w:val="005C5C65"/>
    <w:rsid w:val="005C635B"/>
    <w:rsid w:val="005D5CB9"/>
    <w:rsid w:val="005D5FD1"/>
    <w:rsid w:val="005E196E"/>
    <w:rsid w:val="005F014B"/>
    <w:rsid w:val="005F18A1"/>
    <w:rsid w:val="005F2573"/>
    <w:rsid w:val="005F28A5"/>
    <w:rsid w:val="00600159"/>
    <w:rsid w:val="006007AC"/>
    <w:rsid w:val="00602E25"/>
    <w:rsid w:val="00605542"/>
    <w:rsid w:val="00605B83"/>
    <w:rsid w:val="00620BA9"/>
    <w:rsid w:val="0062401F"/>
    <w:rsid w:val="0062459C"/>
    <w:rsid w:val="006249C4"/>
    <w:rsid w:val="00626ED5"/>
    <w:rsid w:val="0063078C"/>
    <w:rsid w:val="00630DCE"/>
    <w:rsid w:val="00633371"/>
    <w:rsid w:val="00640EF0"/>
    <w:rsid w:val="006468E1"/>
    <w:rsid w:val="00656EBE"/>
    <w:rsid w:val="00657130"/>
    <w:rsid w:val="0067152C"/>
    <w:rsid w:val="00682AD6"/>
    <w:rsid w:val="00691FF4"/>
    <w:rsid w:val="006A254C"/>
    <w:rsid w:val="006A5451"/>
    <w:rsid w:val="006A6E1A"/>
    <w:rsid w:val="006A757A"/>
    <w:rsid w:val="006A7CCE"/>
    <w:rsid w:val="006B1945"/>
    <w:rsid w:val="006B2053"/>
    <w:rsid w:val="006B2AB8"/>
    <w:rsid w:val="006B4416"/>
    <w:rsid w:val="006B4A59"/>
    <w:rsid w:val="006B6E59"/>
    <w:rsid w:val="006B7C52"/>
    <w:rsid w:val="006C07EB"/>
    <w:rsid w:val="006C57C7"/>
    <w:rsid w:val="006D340A"/>
    <w:rsid w:val="006D57A3"/>
    <w:rsid w:val="006E4920"/>
    <w:rsid w:val="006E4941"/>
    <w:rsid w:val="006F7B46"/>
    <w:rsid w:val="006F7F6D"/>
    <w:rsid w:val="00722318"/>
    <w:rsid w:val="007254BB"/>
    <w:rsid w:val="00725C5A"/>
    <w:rsid w:val="00727AFE"/>
    <w:rsid w:val="007317FA"/>
    <w:rsid w:val="00735E72"/>
    <w:rsid w:val="00736C54"/>
    <w:rsid w:val="0073709C"/>
    <w:rsid w:val="00741FBD"/>
    <w:rsid w:val="00744CB9"/>
    <w:rsid w:val="00747361"/>
    <w:rsid w:val="007503A7"/>
    <w:rsid w:val="00750787"/>
    <w:rsid w:val="007510BA"/>
    <w:rsid w:val="00760E6C"/>
    <w:rsid w:val="007649E3"/>
    <w:rsid w:val="00770FD6"/>
    <w:rsid w:val="0077186A"/>
    <w:rsid w:val="007746F8"/>
    <w:rsid w:val="007778D0"/>
    <w:rsid w:val="00791E1D"/>
    <w:rsid w:val="00794FCD"/>
    <w:rsid w:val="007973EF"/>
    <w:rsid w:val="007A4BAA"/>
    <w:rsid w:val="007A52AD"/>
    <w:rsid w:val="007B16DB"/>
    <w:rsid w:val="007B4BA1"/>
    <w:rsid w:val="007C0207"/>
    <w:rsid w:val="007C3E58"/>
    <w:rsid w:val="007C5F95"/>
    <w:rsid w:val="007C7A54"/>
    <w:rsid w:val="007D2317"/>
    <w:rsid w:val="007D4D18"/>
    <w:rsid w:val="007D714E"/>
    <w:rsid w:val="007E0A63"/>
    <w:rsid w:val="007E19AA"/>
    <w:rsid w:val="007E3411"/>
    <w:rsid w:val="007E3DED"/>
    <w:rsid w:val="007E3EF5"/>
    <w:rsid w:val="007E4BB7"/>
    <w:rsid w:val="007E5472"/>
    <w:rsid w:val="007F194E"/>
    <w:rsid w:val="007F3D0E"/>
    <w:rsid w:val="007F4294"/>
    <w:rsid w:val="007F4FC3"/>
    <w:rsid w:val="007F53AC"/>
    <w:rsid w:val="007F7598"/>
    <w:rsid w:val="00806CA6"/>
    <w:rsid w:val="008112D0"/>
    <w:rsid w:val="00812FC0"/>
    <w:rsid w:val="008140DB"/>
    <w:rsid w:val="00821E34"/>
    <w:rsid w:val="0082658E"/>
    <w:rsid w:val="0082751B"/>
    <w:rsid w:val="00830181"/>
    <w:rsid w:val="008310AF"/>
    <w:rsid w:val="00835F73"/>
    <w:rsid w:val="0084054F"/>
    <w:rsid w:val="008439AD"/>
    <w:rsid w:val="0084583C"/>
    <w:rsid w:val="00847BED"/>
    <w:rsid w:val="008501D1"/>
    <w:rsid w:val="00850C89"/>
    <w:rsid w:val="008523A7"/>
    <w:rsid w:val="008535C9"/>
    <w:rsid w:val="00855CC2"/>
    <w:rsid w:val="00855FE7"/>
    <w:rsid w:val="008600F7"/>
    <w:rsid w:val="00863AE9"/>
    <w:rsid w:val="008666BF"/>
    <w:rsid w:val="00867E2C"/>
    <w:rsid w:val="00870D74"/>
    <w:rsid w:val="00871FAB"/>
    <w:rsid w:val="00872526"/>
    <w:rsid w:val="008734B5"/>
    <w:rsid w:val="00874B46"/>
    <w:rsid w:val="00884EB3"/>
    <w:rsid w:val="00885E9F"/>
    <w:rsid w:val="008869DE"/>
    <w:rsid w:val="00890D17"/>
    <w:rsid w:val="00895DFE"/>
    <w:rsid w:val="008A0295"/>
    <w:rsid w:val="008A107E"/>
    <w:rsid w:val="008A2A65"/>
    <w:rsid w:val="008A6733"/>
    <w:rsid w:val="008B6223"/>
    <w:rsid w:val="008B699C"/>
    <w:rsid w:val="008C0AAD"/>
    <w:rsid w:val="008C0EBF"/>
    <w:rsid w:val="008C0EDF"/>
    <w:rsid w:val="008C1FBA"/>
    <w:rsid w:val="008C3E26"/>
    <w:rsid w:val="008D0126"/>
    <w:rsid w:val="008D5EBC"/>
    <w:rsid w:val="008D7DB6"/>
    <w:rsid w:val="008E3C8A"/>
    <w:rsid w:val="008E4A58"/>
    <w:rsid w:val="008E4F28"/>
    <w:rsid w:val="008F13F0"/>
    <w:rsid w:val="009017C6"/>
    <w:rsid w:val="009039AA"/>
    <w:rsid w:val="00906B00"/>
    <w:rsid w:val="00910DD2"/>
    <w:rsid w:val="00911331"/>
    <w:rsid w:val="00911702"/>
    <w:rsid w:val="00913C98"/>
    <w:rsid w:val="00915486"/>
    <w:rsid w:val="00922AFA"/>
    <w:rsid w:val="00925915"/>
    <w:rsid w:val="0092607D"/>
    <w:rsid w:val="00931B7D"/>
    <w:rsid w:val="00932F50"/>
    <w:rsid w:val="009339A7"/>
    <w:rsid w:val="00940B47"/>
    <w:rsid w:val="00945AA0"/>
    <w:rsid w:val="009535EB"/>
    <w:rsid w:val="0095491B"/>
    <w:rsid w:val="0096185E"/>
    <w:rsid w:val="009646C3"/>
    <w:rsid w:val="00967978"/>
    <w:rsid w:val="00977970"/>
    <w:rsid w:val="00984F62"/>
    <w:rsid w:val="009860FF"/>
    <w:rsid w:val="00987485"/>
    <w:rsid w:val="00992437"/>
    <w:rsid w:val="00992C10"/>
    <w:rsid w:val="00996553"/>
    <w:rsid w:val="009A54F1"/>
    <w:rsid w:val="009B6198"/>
    <w:rsid w:val="009B6A55"/>
    <w:rsid w:val="009B7DD1"/>
    <w:rsid w:val="009C1231"/>
    <w:rsid w:val="009C1240"/>
    <w:rsid w:val="009C1C94"/>
    <w:rsid w:val="009C5C90"/>
    <w:rsid w:val="009D2AF4"/>
    <w:rsid w:val="009D696B"/>
    <w:rsid w:val="009E1379"/>
    <w:rsid w:val="009E55DA"/>
    <w:rsid w:val="009E75C6"/>
    <w:rsid w:val="009F0CE4"/>
    <w:rsid w:val="00A06AF5"/>
    <w:rsid w:val="00A07046"/>
    <w:rsid w:val="00A17971"/>
    <w:rsid w:val="00A2052E"/>
    <w:rsid w:val="00A206F5"/>
    <w:rsid w:val="00A22745"/>
    <w:rsid w:val="00A22B3B"/>
    <w:rsid w:val="00A23427"/>
    <w:rsid w:val="00A253BF"/>
    <w:rsid w:val="00A34CE1"/>
    <w:rsid w:val="00A4051E"/>
    <w:rsid w:val="00A419A8"/>
    <w:rsid w:val="00A4609B"/>
    <w:rsid w:val="00A50CDB"/>
    <w:rsid w:val="00A51E78"/>
    <w:rsid w:val="00A55426"/>
    <w:rsid w:val="00A6554E"/>
    <w:rsid w:val="00A70E9A"/>
    <w:rsid w:val="00A762DA"/>
    <w:rsid w:val="00A76AF5"/>
    <w:rsid w:val="00A83E17"/>
    <w:rsid w:val="00AA30D5"/>
    <w:rsid w:val="00AA3260"/>
    <w:rsid w:val="00AA591C"/>
    <w:rsid w:val="00AA6F34"/>
    <w:rsid w:val="00AB0D52"/>
    <w:rsid w:val="00AB0F39"/>
    <w:rsid w:val="00AB2CC8"/>
    <w:rsid w:val="00AB471D"/>
    <w:rsid w:val="00AB7C57"/>
    <w:rsid w:val="00AC11CA"/>
    <w:rsid w:val="00AC20EA"/>
    <w:rsid w:val="00AC303A"/>
    <w:rsid w:val="00AC3FC1"/>
    <w:rsid w:val="00AD0694"/>
    <w:rsid w:val="00AD18FE"/>
    <w:rsid w:val="00AD27E4"/>
    <w:rsid w:val="00AD6E22"/>
    <w:rsid w:val="00AD734D"/>
    <w:rsid w:val="00AE3C59"/>
    <w:rsid w:val="00AF4F1C"/>
    <w:rsid w:val="00B01361"/>
    <w:rsid w:val="00B021F5"/>
    <w:rsid w:val="00B117A8"/>
    <w:rsid w:val="00B12191"/>
    <w:rsid w:val="00B16403"/>
    <w:rsid w:val="00B16D4D"/>
    <w:rsid w:val="00B24990"/>
    <w:rsid w:val="00B252F6"/>
    <w:rsid w:val="00B26184"/>
    <w:rsid w:val="00B26769"/>
    <w:rsid w:val="00B34929"/>
    <w:rsid w:val="00B36BB9"/>
    <w:rsid w:val="00B36FC2"/>
    <w:rsid w:val="00B478E8"/>
    <w:rsid w:val="00B524C6"/>
    <w:rsid w:val="00B6154E"/>
    <w:rsid w:val="00B738CF"/>
    <w:rsid w:val="00B77B81"/>
    <w:rsid w:val="00BA0D35"/>
    <w:rsid w:val="00BA27A2"/>
    <w:rsid w:val="00BA3F2F"/>
    <w:rsid w:val="00BA753A"/>
    <w:rsid w:val="00BB283B"/>
    <w:rsid w:val="00BB59EB"/>
    <w:rsid w:val="00BB7136"/>
    <w:rsid w:val="00BB7A91"/>
    <w:rsid w:val="00BC0968"/>
    <w:rsid w:val="00BC342E"/>
    <w:rsid w:val="00BC4DE0"/>
    <w:rsid w:val="00BD2078"/>
    <w:rsid w:val="00BD6991"/>
    <w:rsid w:val="00BD760F"/>
    <w:rsid w:val="00BD7D10"/>
    <w:rsid w:val="00BE0D53"/>
    <w:rsid w:val="00BE14FD"/>
    <w:rsid w:val="00BF2565"/>
    <w:rsid w:val="00BF2B1D"/>
    <w:rsid w:val="00BF386F"/>
    <w:rsid w:val="00BF5117"/>
    <w:rsid w:val="00BF5E7E"/>
    <w:rsid w:val="00C01644"/>
    <w:rsid w:val="00C01F47"/>
    <w:rsid w:val="00C03140"/>
    <w:rsid w:val="00C110C6"/>
    <w:rsid w:val="00C14FA3"/>
    <w:rsid w:val="00C27E88"/>
    <w:rsid w:val="00C329A8"/>
    <w:rsid w:val="00C336BC"/>
    <w:rsid w:val="00C45D26"/>
    <w:rsid w:val="00C57645"/>
    <w:rsid w:val="00C61323"/>
    <w:rsid w:val="00C62D66"/>
    <w:rsid w:val="00C64E76"/>
    <w:rsid w:val="00C66B97"/>
    <w:rsid w:val="00C71B1C"/>
    <w:rsid w:val="00C72236"/>
    <w:rsid w:val="00C7426F"/>
    <w:rsid w:val="00C74596"/>
    <w:rsid w:val="00C81CCD"/>
    <w:rsid w:val="00C82BAA"/>
    <w:rsid w:val="00C84B89"/>
    <w:rsid w:val="00C86C78"/>
    <w:rsid w:val="00C90D73"/>
    <w:rsid w:val="00C9444D"/>
    <w:rsid w:val="00C96BC7"/>
    <w:rsid w:val="00CA09DD"/>
    <w:rsid w:val="00CA33DE"/>
    <w:rsid w:val="00CA62CA"/>
    <w:rsid w:val="00CB75EC"/>
    <w:rsid w:val="00CB7DC3"/>
    <w:rsid w:val="00CC5685"/>
    <w:rsid w:val="00CC5693"/>
    <w:rsid w:val="00CD2155"/>
    <w:rsid w:val="00CD2A5D"/>
    <w:rsid w:val="00CE2374"/>
    <w:rsid w:val="00CE30C5"/>
    <w:rsid w:val="00CE3FD7"/>
    <w:rsid w:val="00CF69AE"/>
    <w:rsid w:val="00CF72B3"/>
    <w:rsid w:val="00D03537"/>
    <w:rsid w:val="00D05802"/>
    <w:rsid w:val="00D141DF"/>
    <w:rsid w:val="00D35F04"/>
    <w:rsid w:val="00D426CA"/>
    <w:rsid w:val="00D46C61"/>
    <w:rsid w:val="00D4751C"/>
    <w:rsid w:val="00D531FA"/>
    <w:rsid w:val="00D55D72"/>
    <w:rsid w:val="00D5697C"/>
    <w:rsid w:val="00D57067"/>
    <w:rsid w:val="00D61884"/>
    <w:rsid w:val="00D6218C"/>
    <w:rsid w:val="00D64569"/>
    <w:rsid w:val="00D65784"/>
    <w:rsid w:val="00D66A21"/>
    <w:rsid w:val="00D67730"/>
    <w:rsid w:val="00D67EB4"/>
    <w:rsid w:val="00D73B67"/>
    <w:rsid w:val="00D77E4D"/>
    <w:rsid w:val="00D82939"/>
    <w:rsid w:val="00D82F9A"/>
    <w:rsid w:val="00D83D1A"/>
    <w:rsid w:val="00D843E9"/>
    <w:rsid w:val="00D8453B"/>
    <w:rsid w:val="00D84BBE"/>
    <w:rsid w:val="00D84E44"/>
    <w:rsid w:val="00D86774"/>
    <w:rsid w:val="00D909BC"/>
    <w:rsid w:val="00D91CCE"/>
    <w:rsid w:val="00D956A9"/>
    <w:rsid w:val="00D9635B"/>
    <w:rsid w:val="00DA2D2B"/>
    <w:rsid w:val="00DB5E00"/>
    <w:rsid w:val="00DB73FD"/>
    <w:rsid w:val="00DC2549"/>
    <w:rsid w:val="00DC282E"/>
    <w:rsid w:val="00DC3216"/>
    <w:rsid w:val="00DC778D"/>
    <w:rsid w:val="00DD4F8D"/>
    <w:rsid w:val="00DE42F9"/>
    <w:rsid w:val="00DE7022"/>
    <w:rsid w:val="00DE7245"/>
    <w:rsid w:val="00DE757D"/>
    <w:rsid w:val="00DF0E32"/>
    <w:rsid w:val="00E01B48"/>
    <w:rsid w:val="00E11A1B"/>
    <w:rsid w:val="00E13BED"/>
    <w:rsid w:val="00E2010B"/>
    <w:rsid w:val="00E20F78"/>
    <w:rsid w:val="00E24D4E"/>
    <w:rsid w:val="00E27BA6"/>
    <w:rsid w:val="00E30DA2"/>
    <w:rsid w:val="00E332FF"/>
    <w:rsid w:val="00E345A2"/>
    <w:rsid w:val="00E42899"/>
    <w:rsid w:val="00E442E4"/>
    <w:rsid w:val="00E4533C"/>
    <w:rsid w:val="00E50C09"/>
    <w:rsid w:val="00E54BF7"/>
    <w:rsid w:val="00E56074"/>
    <w:rsid w:val="00E5646D"/>
    <w:rsid w:val="00E637AC"/>
    <w:rsid w:val="00E74A2B"/>
    <w:rsid w:val="00E76448"/>
    <w:rsid w:val="00E81E4C"/>
    <w:rsid w:val="00E91456"/>
    <w:rsid w:val="00E93287"/>
    <w:rsid w:val="00E94DE8"/>
    <w:rsid w:val="00EA583E"/>
    <w:rsid w:val="00EB00D9"/>
    <w:rsid w:val="00EB15D1"/>
    <w:rsid w:val="00EB214F"/>
    <w:rsid w:val="00EB256E"/>
    <w:rsid w:val="00EB584E"/>
    <w:rsid w:val="00EC3DAB"/>
    <w:rsid w:val="00ED0F8E"/>
    <w:rsid w:val="00ED4245"/>
    <w:rsid w:val="00ED6F61"/>
    <w:rsid w:val="00EE1C2C"/>
    <w:rsid w:val="00EE79CE"/>
    <w:rsid w:val="00EF1A0F"/>
    <w:rsid w:val="00F03EA7"/>
    <w:rsid w:val="00F10357"/>
    <w:rsid w:val="00F11077"/>
    <w:rsid w:val="00F16985"/>
    <w:rsid w:val="00F25F95"/>
    <w:rsid w:val="00F3110E"/>
    <w:rsid w:val="00F3284F"/>
    <w:rsid w:val="00F329E9"/>
    <w:rsid w:val="00F35854"/>
    <w:rsid w:val="00F35B04"/>
    <w:rsid w:val="00F35FF5"/>
    <w:rsid w:val="00F405B2"/>
    <w:rsid w:val="00F411F3"/>
    <w:rsid w:val="00F4181F"/>
    <w:rsid w:val="00F41A82"/>
    <w:rsid w:val="00F47B01"/>
    <w:rsid w:val="00F50DAF"/>
    <w:rsid w:val="00F54528"/>
    <w:rsid w:val="00F56C6A"/>
    <w:rsid w:val="00F64C63"/>
    <w:rsid w:val="00F64DFC"/>
    <w:rsid w:val="00F7673A"/>
    <w:rsid w:val="00F81C03"/>
    <w:rsid w:val="00F90636"/>
    <w:rsid w:val="00F90BE7"/>
    <w:rsid w:val="00F90C1D"/>
    <w:rsid w:val="00F961E4"/>
    <w:rsid w:val="00F962D6"/>
    <w:rsid w:val="00F96EF7"/>
    <w:rsid w:val="00F97A68"/>
    <w:rsid w:val="00FA0BFF"/>
    <w:rsid w:val="00FA1A5A"/>
    <w:rsid w:val="00FA48C9"/>
    <w:rsid w:val="00FA6ED7"/>
    <w:rsid w:val="00FA78D2"/>
    <w:rsid w:val="00FA7AB4"/>
    <w:rsid w:val="00FB5F6E"/>
    <w:rsid w:val="00FC1A36"/>
    <w:rsid w:val="00FC3EF8"/>
    <w:rsid w:val="00FC42A3"/>
    <w:rsid w:val="00FC4DA2"/>
    <w:rsid w:val="00FC692A"/>
    <w:rsid w:val="00FD2525"/>
    <w:rsid w:val="00FD465C"/>
    <w:rsid w:val="00FE1294"/>
    <w:rsid w:val="00FE172E"/>
    <w:rsid w:val="00FE49D4"/>
    <w:rsid w:val="00FE51FF"/>
    <w:rsid w:val="00FE75FF"/>
    <w:rsid w:val="00FF105A"/>
    <w:rsid w:val="00FF4DD9"/>
    <w:rsid w:val="00FF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B6EFC"/>
  <w15:chartTrackingRefBased/>
  <w15:docId w15:val="{9548921C-DD23-4DD5-89CE-C183B045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25"/>
    <w:pPr>
      <w:spacing w:after="0" w:line="240" w:lineRule="auto"/>
    </w:pPr>
    <w:rPr>
      <w:rFonts w:ascii="Calibri" w:eastAsia="Times New Roman" w:hAnsi="Calibri" w:cs="Times New Roman"/>
      <w:sz w:val="24"/>
      <w:szCs w:val="24"/>
      <w:lang w:val="sq-AL" w:bidi="en-US"/>
    </w:rPr>
  </w:style>
  <w:style w:type="paragraph" w:styleId="Heading1">
    <w:name w:val="heading 1"/>
    <w:basedOn w:val="Normal"/>
    <w:next w:val="Normal"/>
    <w:link w:val="Heading1Char"/>
    <w:uiPriority w:val="9"/>
    <w:qFormat/>
    <w:rsid w:val="00223DC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02E2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2E25"/>
    <w:rPr>
      <w:rFonts w:ascii="Cambria" w:eastAsia="Times New Roman" w:hAnsi="Cambria" w:cs="Times New Roman"/>
      <w:b/>
      <w:bCs/>
      <w:i/>
      <w:iCs/>
      <w:sz w:val="28"/>
      <w:szCs w:val="28"/>
      <w:lang w:val="sq-AL" w:bidi="en-US"/>
    </w:rPr>
  </w:style>
  <w:style w:type="paragraph" w:styleId="Title">
    <w:name w:val="Title"/>
    <w:basedOn w:val="Normal"/>
    <w:link w:val="TitleChar"/>
    <w:qFormat/>
    <w:rsid w:val="00602E25"/>
    <w:pPr>
      <w:jc w:val="center"/>
    </w:pPr>
    <w:rPr>
      <w:rFonts w:ascii="Times New Roman" w:hAnsi="Times New Roman"/>
      <w:sz w:val="28"/>
      <w:szCs w:val="28"/>
      <w:lang w:val="en-US" w:eastAsia="x-none" w:bidi="ar-SA"/>
    </w:rPr>
  </w:style>
  <w:style w:type="character" w:customStyle="1" w:styleId="TitleChar">
    <w:name w:val="Title Char"/>
    <w:basedOn w:val="DefaultParagraphFont"/>
    <w:link w:val="Title"/>
    <w:rsid w:val="00602E25"/>
    <w:rPr>
      <w:rFonts w:ascii="Times New Roman" w:eastAsia="Times New Roman" w:hAnsi="Times New Roman" w:cs="Times New Roman"/>
      <w:sz w:val="28"/>
      <w:szCs w:val="28"/>
      <w:lang w:eastAsia="x-none"/>
    </w:rPr>
  </w:style>
  <w:style w:type="character" w:customStyle="1" w:styleId="NoSpacingChar">
    <w:name w:val="No Spacing Char"/>
    <w:link w:val="NoSpacing"/>
    <w:uiPriority w:val="1"/>
    <w:locked/>
    <w:rsid w:val="00602E25"/>
    <w:rPr>
      <w:rFonts w:ascii="Calibri" w:eastAsia="Times New Roman" w:hAnsi="Calibri" w:cs="Times New Roman"/>
      <w:sz w:val="24"/>
      <w:szCs w:val="24"/>
      <w:lang w:bidi="en-US"/>
    </w:rPr>
  </w:style>
  <w:style w:type="paragraph" w:styleId="NoSpacing">
    <w:name w:val="No Spacing"/>
    <w:link w:val="NoSpacingChar"/>
    <w:uiPriority w:val="1"/>
    <w:qFormat/>
    <w:rsid w:val="00602E25"/>
    <w:pPr>
      <w:spacing w:after="0" w:line="240" w:lineRule="auto"/>
    </w:pPr>
    <w:rPr>
      <w:rFonts w:ascii="Calibri" w:eastAsia="Times New Roman" w:hAnsi="Calibri" w:cs="Times New Roman"/>
      <w:sz w:val="24"/>
      <w:szCs w:val="24"/>
      <w:lang w:bidi="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qFormat/>
    <w:locked/>
    <w:rsid w:val="00602E25"/>
    <w:rPr>
      <w:rFonts w:ascii="Calibri" w:eastAsia="Times New Roman" w:hAnsi="Calibri" w:cs="Times New Roman"/>
      <w:sz w:val="24"/>
      <w:szCs w:val="24"/>
      <w:lang w:bidi="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qFormat/>
    <w:rsid w:val="00602E25"/>
    <w:pPr>
      <w:ind w:left="720"/>
      <w:contextualSpacing/>
    </w:pPr>
    <w:rPr>
      <w:lang w:val="en-US"/>
    </w:rPr>
  </w:style>
  <w:style w:type="paragraph" w:styleId="BodyText">
    <w:name w:val="Body Text"/>
    <w:basedOn w:val="Normal"/>
    <w:link w:val="BodyTextChar"/>
    <w:uiPriority w:val="99"/>
    <w:unhideWhenUsed/>
    <w:rsid w:val="00DF0E32"/>
    <w:pPr>
      <w:spacing w:after="120"/>
    </w:pPr>
    <w:rPr>
      <w:rFonts w:ascii="Times New Roman" w:hAnsi="Times New Roman"/>
      <w:sz w:val="20"/>
      <w:szCs w:val="20"/>
      <w:lang w:val="x-none" w:eastAsia="x-none" w:bidi="ar-SA"/>
    </w:rPr>
  </w:style>
  <w:style w:type="character" w:customStyle="1" w:styleId="BodyTextChar">
    <w:name w:val="Body Text Char"/>
    <w:basedOn w:val="DefaultParagraphFont"/>
    <w:link w:val="BodyText"/>
    <w:uiPriority w:val="99"/>
    <w:rsid w:val="00DF0E32"/>
    <w:rPr>
      <w:rFonts w:ascii="Times New Roman" w:eastAsia="Times New Roman" w:hAnsi="Times New Roman" w:cs="Times New Roman"/>
      <w:sz w:val="20"/>
      <w:szCs w:val="20"/>
      <w:lang w:val="x-none" w:eastAsia="x-none"/>
    </w:rPr>
  </w:style>
  <w:style w:type="paragraph" w:styleId="FootnoteText">
    <w:name w:val="footnote text"/>
    <w:aliases w:val=" Char Char,Char,Footnote Text Char1 Char Char Char,Footnote Text Char Char Char Char Char,Car,single space,footnote text,fn,FOOTNOTES,Footnote Text Char1,Footnote Text Char2 Char,Footnote Text Char1 Char Char,Char Char Char Char"/>
    <w:basedOn w:val="Normal"/>
    <w:link w:val="FootnoteTextChar"/>
    <w:uiPriority w:val="99"/>
    <w:unhideWhenUsed/>
    <w:qFormat/>
    <w:rsid w:val="005C5C65"/>
    <w:rPr>
      <w:rFonts w:ascii="Times New Roman" w:hAnsi="Times New Roman"/>
      <w:sz w:val="20"/>
      <w:szCs w:val="20"/>
      <w:lang w:val="en-US" w:eastAsia="x-none" w:bidi="ar-SA"/>
    </w:rPr>
  </w:style>
  <w:style w:type="character" w:customStyle="1" w:styleId="FootnoteTextChar">
    <w:name w:val="Footnote Text Char"/>
    <w:aliases w:val=" Char Char Char,Char Char,Footnote Text Char1 Char Char Char Char,Footnote Text Char Char Char Char Char Char,Car Char,single space Char,footnote text Char,fn Char,FOOTNOTES Char,Footnote Text Char1 Char,Footnote Text Char2 Char Char"/>
    <w:basedOn w:val="DefaultParagraphFont"/>
    <w:link w:val="FootnoteText"/>
    <w:uiPriority w:val="99"/>
    <w:rsid w:val="005C5C65"/>
    <w:rPr>
      <w:rFonts w:ascii="Times New Roman" w:eastAsia="Times New Roman" w:hAnsi="Times New Roman" w:cs="Times New Roman"/>
      <w:sz w:val="20"/>
      <w:szCs w:val="20"/>
      <w:lang w:eastAsia="x-none"/>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link w:val="Char2"/>
    <w:uiPriority w:val="99"/>
    <w:unhideWhenUsed/>
    <w:qFormat/>
    <w:rsid w:val="005C5C65"/>
    <w:rPr>
      <w:vertAlign w:val="superscript"/>
    </w:rPr>
  </w:style>
  <w:style w:type="paragraph" w:styleId="BalloonText">
    <w:name w:val="Balloon Text"/>
    <w:basedOn w:val="Normal"/>
    <w:link w:val="BalloonTextChar"/>
    <w:uiPriority w:val="99"/>
    <w:semiHidden/>
    <w:unhideWhenUsed/>
    <w:rsid w:val="002A27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742"/>
    <w:rPr>
      <w:rFonts w:ascii="Segoe UI" w:eastAsia="Times New Roman" w:hAnsi="Segoe UI" w:cs="Segoe UI"/>
      <w:sz w:val="18"/>
      <w:szCs w:val="18"/>
      <w:lang w:val="sq-AL" w:bidi="en-US"/>
    </w:rPr>
  </w:style>
  <w:style w:type="paragraph" w:styleId="Header">
    <w:name w:val="header"/>
    <w:basedOn w:val="Normal"/>
    <w:link w:val="HeaderChar"/>
    <w:uiPriority w:val="99"/>
    <w:unhideWhenUsed/>
    <w:rsid w:val="007510BA"/>
    <w:pPr>
      <w:tabs>
        <w:tab w:val="center" w:pos="4680"/>
        <w:tab w:val="right" w:pos="9360"/>
      </w:tabs>
    </w:pPr>
  </w:style>
  <w:style w:type="character" w:customStyle="1" w:styleId="HeaderChar">
    <w:name w:val="Header Char"/>
    <w:basedOn w:val="DefaultParagraphFont"/>
    <w:link w:val="Header"/>
    <w:uiPriority w:val="99"/>
    <w:rsid w:val="007510BA"/>
    <w:rPr>
      <w:rFonts w:ascii="Calibri" w:eastAsia="Times New Roman" w:hAnsi="Calibri" w:cs="Times New Roman"/>
      <w:sz w:val="24"/>
      <w:szCs w:val="24"/>
      <w:lang w:val="sq-AL" w:bidi="en-US"/>
    </w:rPr>
  </w:style>
  <w:style w:type="paragraph" w:styleId="Footer">
    <w:name w:val="footer"/>
    <w:basedOn w:val="Normal"/>
    <w:link w:val="FooterChar"/>
    <w:uiPriority w:val="99"/>
    <w:unhideWhenUsed/>
    <w:rsid w:val="007510BA"/>
    <w:pPr>
      <w:tabs>
        <w:tab w:val="center" w:pos="4680"/>
        <w:tab w:val="right" w:pos="9360"/>
      </w:tabs>
    </w:pPr>
  </w:style>
  <w:style w:type="character" w:customStyle="1" w:styleId="FooterChar">
    <w:name w:val="Footer Char"/>
    <w:basedOn w:val="DefaultParagraphFont"/>
    <w:link w:val="Footer"/>
    <w:uiPriority w:val="99"/>
    <w:rsid w:val="007510BA"/>
    <w:rPr>
      <w:rFonts w:ascii="Calibri" w:eastAsia="Times New Roman" w:hAnsi="Calibri" w:cs="Times New Roman"/>
      <w:sz w:val="24"/>
      <w:szCs w:val="24"/>
      <w:lang w:val="sq-AL" w:bidi="en-US"/>
    </w:rPr>
  </w:style>
  <w:style w:type="paragraph" w:styleId="NormalWeb">
    <w:name w:val="Normal (Web)"/>
    <w:basedOn w:val="Normal"/>
    <w:uiPriority w:val="99"/>
    <w:unhideWhenUsed/>
    <w:rsid w:val="008D5EBC"/>
    <w:pPr>
      <w:spacing w:before="100" w:beforeAutospacing="1" w:after="100" w:afterAutospacing="1"/>
    </w:pPr>
    <w:rPr>
      <w:rFonts w:ascii="Times New Roman" w:hAnsi="Times New Roman"/>
      <w:lang w:val="en-US" w:bidi="ar-SA"/>
    </w:rPr>
  </w:style>
  <w:style w:type="character" w:customStyle="1" w:styleId="fontstyle01">
    <w:name w:val="fontstyle01"/>
    <w:basedOn w:val="DefaultParagraphFont"/>
    <w:rsid w:val="00447475"/>
    <w:rPr>
      <w:rFonts w:ascii="Garamond" w:hAnsi="Garamond" w:hint="default"/>
      <w:b w:val="0"/>
      <w:bCs w:val="0"/>
      <w:i w:val="0"/>
      <w:iCs w:val="0"/>
      <w:color w:val="000000"/>
      <w:sz w:val="24"/>
      <w:szCs w:val="24"/>
    </w:rPr>
  </w:style>
  <w:style w:type="character" w:customStyle="1" w:styleId="fontstyle21">
    <w:name w:val="fontstyle21"/>
    <w:basedOn w:val="DefaultParagraphFont"/>
    <w:rsid w:val="002C7893"/>
    <w:rPr>
      <w:rFonts w:ascii="Carlito" w:hAnsi="Carlito" w:hint="default"/>
      <w:b w:val="0"/>
      <w:bCs w:val="0"/>
      <w:i w:val="0"/>
      <w:iCs w:val="0"/>
      <w:color w:val="000000"/>
      <w:sz w:val="22"/>
      <w:szCs w:val="22"/>
    </w:rPr>
  </w:style>
  <w:style w:type="character" w:customStyle="1" w:styleId="fontstyle31">
    <w:name w:val="fontstyle31"/>
    <w:basedOn w:val="DefaultParagraphFont"/>
    <w:rsid w:val="002C7893"/>
    <w:rPr>
      <w:rFonts w:ascii="Garamond" w:hAnsi="Garamond" w:hint="default"/>
      <w:b w:val="0"/>
      <w:bCs w:val="0"/>
      <w:i w:val="0"/>
      <w:iCs w:val="0"/>
      <w:color w:val="000000"/>
      <w:sz w:val="24"/>
      <w:szCs w:val="24"/>
    </w:rPr>
  </w:style>
  <w:style w:type="paragraph" w:customStyle="1" w:styleId="Char2">
    <w:name w:val="Char2"/>
    <w:basedOn w:val="Normal"/>
    <w:link w:val="FootnoteReference"/>
    <w:uiPriority w:val="99"/>
    <w:rsid w:val="0026788D"/>
    <w:pPr>
      <w:spacing w:after="160" w:line="240" w:lineRule="exact"/>
    </w:pPr>
    <w:rPr>
      <w:rFonts w:asciiTheme="minorHAnsi" w:eastAsiaTheme="minorHAnsi" w:hAnsiTheme="minorHAnsi" w:cstheme="minorBidi"/>
      <w:sz w:val="22"/>
      <w:szCs w:val="22"/>
      <w:vertAlign w:val="superscript"/>
      <w:lang w:val="en-US" w:bidi="ar-SA"/>
    </w:rPr>
  </w:style>
  <w:style w:type="character" w:styleId="Hyperlink">
    <w:name w:val="Hyperlink"/>
    <w:basedOn w:val="DefaultParagraphFont"/>
    <w:uiPriority w:val="99"/>
    <w:unhideWhenUsed/>
    <w:rsid w:val="003028B6"/>
    <w:rPr>
      <w:color w:val="0563C1" w:themeColor="hyperlink"/>
      <w:u w:val="single"/>
    </w:rPr>
  </w:style>
  <w:style w:type="paragraph" w:customStyle="1" w:styleId="FootnoteReferneceCharChar1">
    <w:name w:val="Footnote Refernece Char Char1"/>
    <w:aliases w:val="Car Char Car Char Car Char Char Char Char Char Char Char Char1"/>
    <w:basedOn w:val="Normal"/>
    <w:rsid w:val="00AB0F39"/>
    <w:pPr>
      <w:spacing w:after="160" w:line="240" w:lineRule="exact"/>
    </w:pPr>
    <w:rPr>
      <w:rFonts w:ascii="Times New Roman" w:eastAsia="Calibri" w:hAnsi="Times New Roman"/>
      <w:sz w:val="20"/>
      <w:szCs w:val="20"/>
      <w:vertAlign w:val="superscript"/>
      <w:lang w:val="x-none" w:eastAsia="x-none" w:bidi="ar-SA"/>
    </w:rPr>
  </w:style>
  <w:style w:type="character" w:customStyle="1" w:styleId="Style1Char">
    <w:name w:val="Style1 Char"/>
    <w:basedOn w:val="DefaultParagraphFont"/>
    <w:link w:val="Style1"/>
    <w:locked/>
    <w:rsid w:val="00223DC1"/>
    <w:rPr>
      <w:b/>
      <w:bCs/>
      <w:kern w:val="32"/>
      <w:sz w:val="24"/>
      <w:szCs w:val="24"/>
    </w:rPr>
  </w:style>
  <w:style w:type="paragraph" w:customStyle="1" w:styleId="Style1">
    <w:name w:val="Style1"/>
    <w:basedOn w:val="Heading1"/>
    <w:link w:val="Style1Char"/>
    <w:qFormat/>
    <w:rsid w:val="00223DC1"/>
    <w:pPr>
      <w:keepLines w:val="0"/>
      <w:spacing w:before="0"/>
      <w:jc w:val="center"/>
    </w:pPr>
    <w:rPr>
      <w:rFonts w:asciiTheme="minorHAnsi" w:eastAsiaTheme="minorHAnsi" w:hAnsiTheme="minorHAnsi" w:cstheme="minorBidi"/>
      <w:b/>
      <w:bCs/>
      <w:color w:val="auto"/>
      <w:kern w:val="32"/>
      <w:sz w:val="24"/>
      <w:szCs w:val="24"/>
      <w:lang w:val="en-US" w:bidi="ar-SA"/>
    </w:rPr>
  </w:style>
  <w:style w:type="character" w:customStyle="1" w:styleId="Heading1Char">
    <w:name w:val="Heading 1 Char"/>
    <w:basedOn w:val="DefaultParagraphFont"/>
    <w:link w:val="Heading1"/>
    <w:uiPriority w:val="9"/>
    <w:rsid w:val="00223DC1"/>
    <w:rPr>
      <w:rFonts w:asciiTheme="majorHAnsi" w:eastAsiaTheme="majorEastAsia" w:hAnsiTheme="majorHAnsi" w:cstheme="majorBidi"/>
      <w:color w:val="2E74B5" w:themeColor="accent1" w:themeShade="BF"/>
      <w:sz w:val="32"/>
      <w:szCs w:val="32"/>
      <w:lang w:val="sq-AL" w:bidi="en-US"/>
    </w:rPr>
  </w:style>
  <w:style w:type="character" w:styleId="Strong">
    <w:name w:val="Strong"/>
    <w:basedOn w:val="DefaultParagraphFont"/>
    <w:uiPriority w:val="22"/>
    <w:qFormat/>
    <w:rsid w:val="006E49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647418">
      <w:bodyDiv w:val="1"/>
      <w:marLeft w:val="0"/>
      <w:marRight w:val="0"/>
      <w:marTop w:val="0"/>
      <w:marBottom w:val="0"/>
      <w:divBdr>
        <w:top w:val="none" w:sz="0" w:space="0" w:color="auto"/>
        <w:left w:val="none" w:sz="0" w:space="0" w:color="auto"/>
        <w:bottom w:val="none" w:sz="0" w:space="0" w:color="auto"/>
        <w:right w:val="none" w:sz="0" w:space="0" w:color="auto"/>
      </w:divBdr>
    </w:div>
    <w:div w:id="476185967">
      <w:bodyDiv w:val="1"/>
      <w:marLeft w:val="0"/>
      <w:marRight w:val="0"/>
      <w:marTop w:val="0"/>
      <w:marBottom w:val="0"/>
      <w:divBdr>
        <w:top w:val="none" w:sz="0" w:space="0" w:color="auto"/>
        <w:left w:val="none" w:sz="0" w:space="0" w:color="auto"/>
        <w:bottom w:val="none" w:sz="0" w:space="0" w:color="auto"/>
        <w:right w:val="none" w:sz="0" w:space="0" w:color="auto"/>
      </w:divBdr>
    </w:div>
    <w:div w:id="831067518">
      <w:bodyDiv w:val="1"/>
      <w:marLeft w:val="0"/>
      <w:marRight w:val="0"/>
      <w:marTop w:val="0"/>
      <w:marBottom w:val="0"/>
      <w:divBdr>
        <w:top w:val="none" w:sz="0" w:space="0" w:color="auto"/>
        <w:left w:val="none" w:sz="0" w:space="0" w:color="auto"/>
        <w:bottom w:val="none" w:sz="0" w:space="0" w:color="auto"/>
        <w:right w:val="none" w:sz="0" w:space="0" w:color="auto"/>
      </w:divBdr>
    </w:div>
    <w:div w:id="854420646">
      <w:bodyDiv w:val="1"/>
      <w:marLeft w:val="0"/>
      <w:marRight w:val="0"/>
      <w:marTop w:val="0"/>
      <w:marBottom w:val="0"/>
      <w:divBdr>
        <w:top w:val="none" w:sz="0" w:space="0" w:color="auto"/>
        <w:left w:val="none" w:sz="0" w:space="0" w:color="auto"/>
        <w:bottom w:val="none" w:sz="0" w:space="0" w:color="auto"/>
        <w:right w:val="none" w:sz="0" w:space="0" w:color="auto"/>
      </w:divBdr>
    </w:div>
    <w:div w:id="1108311188">
      <w:bodyDiv w:val="1"/>
      <w:marLeft w:val="0"/>
      <w:marRight w:val="0"/>
      <w:marTop w:val="0"/>
      <w:marBottom w:val="0"/>
      <w:divBdr>
        <w:top w:val="none" w:sz="0" w:space="0" w:color="auto"/>
        <w:left w:val="none" w:sz="0" w:space="0" w:color="auto"/>
        <w:bottom w:val="none" w:sz="0" w:space="0" w:color="auto"/>
        <w:right w:val="none" w:sz="0" w:space="0" w:color="auto"/>
      </w:divBdr>
    </w:div>
    <w:div w:id="1508473502">
      <w:bodyDiv w:val="1"/>
      <w:marLeft w:val="0"/>
      <w:marRight w:val="0"/>
      <w:marTop w:val="0"/>
      <w:marBottom w:val="0"/>
      <w:divBdr>
        <w:top w:val="none" w:sz="0" w:space="0" w:color="auto"/>
        <w:left w:val="none" w:sz="0" w:space="0" w:color="auto"/>
        <w:bottom w:val="none" w:sz="0" w:space="0" w:color="auto"/>
        <w:right w:val="none" w:sz="0" w:space="0" w:color="auto"/>
      </w:divBdr>
    </w:div>
    <w:div w:id="1573587384">
      <w:bodyDiv w:val="1"/>
      <w:marLeft w:val="0"/>
      <w:marRight w:val="0"/>
      <w:marTop w:val="0"/>
      <w:marBottom w:val="0"/>
      <w:divBdr>
        <w:top w:val="none" w:sz="0" w:space="0" w:color="auto"/>
        <w:left w:val="none" w:sz="0" w:space="0" w:color="auto"/>
        <w:bottom w:val="none" w:sz="0" w:space="0" w:color="auto"/>
        <w:right w:val="none" w:sz="0" w:space="0" w:color="auto"/>
      </w:divBdr>
    </w:div>
    <w:div w:id="1719621089">
      <w:bodyDiv w:val="1"/>
      <w:marLeft w:val="0"/>
      <w:marRight w:val="0"/>
      <w:marTop w:val="0"/>
      <w:marBottom w:val="0"/>
      <w:divBdr>
        <w:top w:val="none" w:sz="0" w:space="0" w:color="auto"/>
        <w:left w:val="none" w:sz="0" w:space="0" w:color="auto"/>
        <w:bottom w:val="none" w:sz="0" w:space="0" w:color="auto"/>
        <w:right w:val="none" w:sz="0" w:space="0" w:color="auto"/>
      </w:divBdr>
    </w:div>
    <w:div w:id="1732313284">
      <w:bodyDiv w:val="1"/>
      <w:marLeft w:val="0"/>
      <w:marRight w:val="0"/>
      <w:marTop w:val="0"/>
      <w:marBottom w:val="0"/>
      <w:divBdr>
        <w:top w:val="none" w:sz="0" w:space="0" w:color="auto"/>
        <w:left w:val="none" w:sz="0" w:space="0" w:color="auto"/>
        <w:bottom w:val="none" w:sz="0" w:space="0" w:color="auto"/>
        <w:right w:val="none" w:sz="0" w:space="0" w:color="auto"/>
      </w:divBdr>
    </w:div>
    <w:div w:id="1836610995">
      <w:bodyDiv w:val="1"/>
      <w:marLeft w:val="0"/>
      <w:marRight w:val="0"/>
      <w:marTop w:val="0"/>
      <w:marBottom w:val="0"/>
      <w:divBdr>
        <w:top w:val="none" w:sz="0" w:space="0" w:color="auto"/>
        <w:left w:val="none" w:sz="0" w:space="0" w:color="auto"/>
        <w:bottom w:val="none" w:sz="0" w:space="0" w:color="auto"/>
        <w:right w:val="none" w:sz="0" w:space="0" w:color="auto"/>
      </w:divBdr>
      <w:divsChild>
        <w:div w:id="103351337">
          <w:marLeft w:val="0"/>
          <w:marRight w:val="0"/>
          <w:marTop w:val="0"/>
          <w:marBottom w:val="0"/>
          <w:divBdr>
            <w:top w:val="none" w:sz="0" w:space="0" w:color="auto"/>
            <w:left w:val="none" w:sz="0" w:space="0" w:color="auto"/>
            <w:bottom w:val="none" w:sz="0" w:space="0" w:color="auto"/>
            <w:right w:val="none" w:sz="0" w:space="0" w:color="auto"/>
          </w:divBdr>
        </w:div>
        <w:div w:id="480274820">
          <w:marLeft w:val="0"/>
          <w:marRight w:val="0"/>
          <w:marTop w:val="0"/>
          <w:marBottom w:val="0"/>
          <w:divBdr>
            <w:top w:val="none" w:sz="0" w:space="0" w:color="auto"/>
            <w:left w:val="none" w:sz="0" w:space="0" w:color="auto"/>
            <w:bottom w:val="none" w:sz="0" w:space="0" w:color="auto"/>
            <w:right w:val="none" w:sz="0" w:space="0" w:color="auto"/>
          </w:divBdr>
        </w:div>
        <w:div w:id="288707822">
          <w:marLeft w:val="0"/>
          <w:marRight w:val="0"/>
          <w:marTop w:val="0"/>
          <w:marBottom w:val="0"/>
          <w:divBdr>
            <w:top w:val="none" w:sz="0" w:space="0" w:color="auto"/>
            <w:left w:val="none" w:sz="0" w:space="0" w:color="auto"/>
            <w:bottom w:val="none" w:sz="0" w:space="0" w:color="auto"/>
            <w:right w:val="none" w:sz="0" w:space="0" w:color="auto"/>
          </w:divBdr>
        </w:div>
        <w:div w:id="1003819796">
          <w:marLeft w:val="0"/>
          <w:marRight w:val="0"/>
          <w:marTop w:val="0"/>
          <w:marBottom w:val="0"/>
          <w:divBdr>
            <w:top w:val="none" w:sz="0" w:space="0" w:color="auto"/>
            <w:left w:val="none" w:sz="0" w:space="0" w:color="auto"/>
            <w:bottom w:val="none" w:sz="0" w:space="0" w:color="auto"/>
            <w:right w:val="none" w:sz="0" w:space="0" w:color="auto"/>
          </w:divBdr>
          <w:divsChild>
            <w:div w:id="1185053488">
              <w:marLeft w:val="0"/>
              <w:marRight w:val="0"/>
              <w:marTop w:val="0"/>
              <w:marBottom w:val="0"/>
              <w:divBdr>
                <w:top w:val="none" w:sz="0" w:space="0" w:color="auto"/>
                <w:left w:val="none" w:sz="0" w:space="0" w:color="auto"/>
                <w:bottom w:val="none" w:sz="0" w:space="0" w:color="auto"/>
                <w:right w:val="none" w:sz="0" w:space="0" w:color="auto"/>
              </w:divBdr>
            </w:div>
            <w:div w:id="229311520">
              <w:marLeft w:val="0"/>
              <w:marRight w:val="0"/>
              <w:marTop w:val="0"/>
              <w:marBottom w:val="0"/>
              <w:divBdr>
                <w:top w:val="none" w:sz="0" w:space="0" w:color="auto"/>
                <w:left w:val="none" w:sz="0" w:space="0" w:color="auto"/>
                <w:bottom w:val="none" w:sz="0" w:space="0" w:color="auto"/>
                <w:right w:val="none" w:sz="0" w:space="0" w:color="auto"/>
              </w:divBdr>
            </w:div>
            <w:div w:id="1272323650">
              <w:marLeft w:val="0"/>
              <w:marRight w:val="0"/>
              <w:marTop w:val="0"/>
              <w:marBottom w:val="0"/>
              <w:divBdr>
                <w:top w:val="none" w:sz="0" w:space="0" w:color="auto"/>
                <w:left w:val="none" w:sz="0" w:space="0" w:color="auto"/>
                <w:bottom w:val="none" w:sz="0" w:space="0" w:color="auto"/>
                <w:right w:val="none" w:sz="0" w:space="0" w:color="auto"/>
              </w:divBdr>
            </w:div>
            <w:div w:id="1632246751">
              <w:marLeft w:val="0"/>
              <w:marRight w:val="0"/>
              <w:marTop w:val="0"/>
              <w:marBottom w:val="0"/>
              <w:divBdr>
                <w:top w:val="none" w:sz="0" w:space="0" w:color="auto"/>
                <w:left w:val="none" w:sz="0" w:space="0" w:color="auto"/>
                <w:bottom w:val="none" w:sz="0" w:space="0" w:color="auto"/>
                <w:right w:val="none" w:sz="0" w:space="0" w:color="auto"/>
              </w:divBdr>
              <w:divsChild>
                <w:div w:id="700014565">
                  <w:marLeft w:val="0"/>
                  <w:marRight w:val="0"/>
                  <w:marTop w:val="0"/>
                  <w:marBottom w:val="0"/>
                  <w:divBdr>
                    <w:top w:val="none" w:sz="0" w:space="0" w:color="auto"/>
                    <w:left w:val="none" w:sz="0" w:space="0" w:color="auto"/>
                    <w:bottom w:val="none" w:sz="0" w:space="0" w:color="auto"/>
                    <w:right w:val="none" w:sz="0" w:space="0" w:color="auto"/>
                  </w:divBdr>
                </w:div>
                <w:div w:id="1907034309">
                  <w:marLeft w:val="0"/>
                  <w:marRight w:val="0"/>
                  <w:marTop w:val="0"/>
                  <w:marBottom w:val="0"/>
                  <w:divBdr>
                    <w:top w:val="none" w:sz="0" w:space="0" w:color="auto"/>
                    <w:left w:val="none" w:sz="0" w:space="0" w:color="auto"/>
                    <w:bottom w:val="none" w:sz="0" w:space="0" w:color="auto"/>
                    <w:right w:val="none" w:sz="0" w:space="0" w:color="auto"/>
                  </w:divBdr>
                </w:div>
                <w:div w:id="69161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282524">
      <w:bodyDiv w:val="1"/>
      <w:marLeft w:val="0"/>
      <w:marRight w:val="0"/>
      <w:marTop w:val="0"/>
      <w:marBottom w:val="0"/>
      <w:divBdr>
        <w:top w:val="none" w:sz="0" w:space="0" w:color="auto"/>
        <w:left w:val="none" w:sz="0" w:space="0" w:color="auto"/>
        <w:bottom w:val="none" w:sz="0" w:space="0" w:color="auto"/>
        <w:right w:val="none" w:sz="0" w:space="0" w:color="auto"/>
      </w:divBdr>
    </w:div>
    <w:div w:id="1967661200">
      <w:bodyDiv w:val="1"/>
      <w:marLeft w:val="0"/>
      <w:marRight w:val="0"/>
      <w:marTop w:val="0"/>
      <w:marBottom w:val="0"/>
      <w:divBdr>
        <w:top w:val="none" w:sz="0" w:space="0" w:color="auto"/>
        <w:left w:val="none" w:sz="0" w:space="0" w:color="auto"/>
        <w:bottom w:val="none" w:sz="0" w:space="0" w:color="auto"/>
        <w:right w:val="none" w:sz="0" w:space="0" w:color="auto"/>
      </w:divBdr>
      <w:divsChild>
        <w:div w:id="1150755097">
          <w:marLeft w:val="0"/>
          <w:marRight w:val="0"/>
          <w:marTop w:val="15"/>
          <w:marBottom w:val="0"/>
          <w:divBdr>
            <w:top w:val="none" w:sz="0" w:space="0" w:color="auto"/>
            <w:left w:val="none" w:sz="0" w:space="0" w:color="auto"/>
            <w:bottom w:val="none" w:sz="0" w:space="0" w:color="auto"/>
            <w:right w:val="none" w:sz="0" w:space="0" w:color="auto"/>
          </w:divBdr>
          <w:divsChild>
            <w:div w:id="8063535">
              <w:marLeft w:val="0"/>
              <w:marRight w:val="0"/>
              <w:marTop w:val="0"/>
              <w:marBottom w:val="0"/>
              <w:divBdr>
                <w:top w:val="single" w:sz="6" w:space="0" w:color="808080"/>
                <w:left w:val="single" w:sz="6" w:space="0" w:color="808080"/>
                <w:bottom w:val="single" w:sz="6" w:space="0" w:color="808080"/>
                <w:right w:val="single" w:sz="6" w:space="0" w:color="808080"/>
              </w:divBdr>
              <w:divsChild>
                <w:div w:id="835921796">
                  <w:marLeft w:val="0"/>
                  <w:marRight w:val="0"/>
                  <w:marTop w:val="0"/>
                  <w:marBottom w:val="0"/>
                  <w:divBdr>
                    <w:top w:val="none" w:sz="0" w:space="0" w:color="auto"/>
                    <w:left w:val="none" w:sz="0" w:space="0" w:color="auto"/>
                    <w:bottom w:val="none" w:sz="0" w:space="0" w:color="auto"/>
                    <w:right w:val="none" w:sz="0" w:space="0" w:color="auto"/>
                  </w:divBdr>
                </w:div>
                <w:div w:id="90780241">
                  <w:marLeft w:val="0"/>
                  <w:marRight w:val="0"/>
                  <w:marTop w:val="0"/>
                  <w:marBottom w:val="0"/>
                  <w:divBdr>
                    <w:top w:val="none" w:sz="0" w:space="0" w:color="auto"/>
                    <w:left w:val="none" w:sz="0" w:space="0" w:color="auto"/>
                    <w:bottom w:val="none" w:sz="0" w:space="0" w:color="auto"/>
                    <w:right w:val="none" w:sz="0" w:space="0" w:color="auto"/>
                  </w:divBdr>
                </w:div>
                <w:div w:id="1815297878">
                  <w:marLeft w:val="0"/>
                  <w:marRight w:val="0"/>
                  <w:marTop w:val="0"/>
                  <w:marBottom w:val="0"/>
                  <w:divBdr>
                    <w:top w:val="none" w:sz="0" w:space="0" w:color="auto"/>
                    <w:left w:val="none" w:sz="0" w:space="0" w:color="auto"/>
                    <w:bottom w:val="none" w:sz="0" w:space="0" w:color="auto"/>
                    <w:right w:val="none" w:sz="0" w:space="0" w:color="auto"/>
                  </w:divBdr>
                </w:div>
                <w:div w:id="1755084128">
                  <w:marLeft w:val="0"/>
                  <w:marRight w:val="0"/>
                  <w:marTop w:val="0"/>
                  <w:marBottom w:val="0"/>
                  <w:divBdr>
                    <w:top w:val="none" w:sz="0" w:space="0" w:color="auto"/>
                    <w:left w:val="none" w:sz="0" w:space="0" w:color="auto"/>
                    <w:bottom w:val="none" w:sz="0" w:space="0" w:color="auto"/>
                    <w:right w:val="none" w:sz="0" w:space="0" w:color="auto"/>
                  </w:divBdr>
                </w:div>
                <w:div w:id="36144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39388">
          <w:marLeft w:val="0"/>
          <w:marRight w:val="0"/>
          <w:marTop w:val="15"/>
          <w:marBottom w:val="0"/>
          <w:divBdr>
            <w:top w:val="none" w:sz="0" w:space="0" w:color="auto"/>
            <w:left w:val="none" w:sz="0" w:space="0" w:color="auto"/>
            <w:bottom w:val="none" w:sz="0" w:space="0" w:color="auto"/>
            <w:right w:val="none" w:sz="0" w:space="0" w:color="auto"/>
          </w:divBdr>
          <w:divsChild>
            <w:div w:id="1798987465">
              <w:marLeft w:val="0"/>
              <w:marRight w:val="0"/>
              <w:marTop w:val="0"/>
              <w:marBottom w:val="0"/>
              <w:divBdr>
                <w:top w:val="single" w:sz="6" w:space="0" w:color="808080"/>
                <w:left w:val="single" w:sz="6" w:space="0" w:color="808080"/>
                <w:bottom w:val="single" w:sz="6" w:space="0" w:color="808080"/>
                <w:right w:val="single" w:sz="6" w:space="0" w:color="808080"/>
              </w:divBdr>
              <w:divsChild>
                <w:div w:id="1523202761">
                  <w:marLeft w:val="0"/>
                  <w:marRight w:val="0"/>
                  <w:marTop w:val="0"/>
                  <w:marBottom w:val="0"/>
                  <w:divBdr>
                    <w:top w:val="none" w:sz="0" w:space="0" w:color="auto"/>
                    <w:left w:val="none" w:sz="0" w:space="0" w:color="auto"/>
                    <w:bottom w:val="none" w:sz="0" w:space="0" w:color="auto"/>
                    <w:right w:val="none" w:sz="0" w:space="0" w:color="auto"/>
                  </w:divBdr>
                </w:div>
                <w:div w:id="1366827982">
                  <w:marLeft w:val="0"/>
                  <w:marRight w:val="0"/>
                  <w:marTop w:val="0"/>
                  <w:marBottom w:val="0"/>
                  <w:divBdr>
                    <w:top w:val="none" w:sz="0" w:space="0" w:color="auto"/>
                    <w:left w:val="none" w:sz="0" w:space="0" w:color="auto"/>
                    <w:bottom w:val="none" w:sz="0" w:space="0" w:color="auto"/>
                    <w:right w:val="none" w:sz="0" w:space="0" w:color="auto"/>
                  </w:divBdr>
                </w:div>
                <w:div w:id="476151044">
                  <w:marLeft w:val="0"/>
                  <w:marRight w:val="0"/>
                  <w:marTop w:val="0"/>
                  <w:marBottom w:val="0"/>
                  <w:divBdr>
                    <w:top w:val="none" w:sz="0" w:space="0" w:color="auto"/>
                    <w:left w:val="none" w:sz="0" w:space="0" w:color="auto"/>
                    <w:bottom w:val="none" w:sz="0" w:space="0" w:color="auto"/>
                    <w:right w:val="none" w:sz="0" w:space="0" w:color="auto"/>
                  </w:divBdr>
                </w:div>
                <w:div w:id="785196013">
                  <w:marLeft w:val="0"/>
                  <w:marRight w:val="0"/>
                  <w:marTop w:val="0"/>
                  <w:marBottom w:val="0"/>
                  <w:divBdr>
                    <w:top w:val="none" w:sz="0" w:space="0" w:color="auto"/>
                    <w:left w:val="none" w:sz="0" w:space="0" w:color="auto"/>
                    <w:bottom w:val="none" w:sz="0" w:space="0" w:color="auto"/>
                    <w:right w:val="none" w:sz="0" w:space="0" w:color="auto"/>
                  </w:divBdr>
                </w:div>
                <w:div w:id="1344473999">
                  <w:marLeft w:val="0"/>
                  <w:marRight w:val="0"/>
                  <w:marTop w:val="0"/>
                  <w:marBottom w:val="0"/>
                  <w:divBdr>
                    <w:top w:val="none" w:sz="0" w:space="0" w:color="auto"/>
                    <w:left w:val="none" w:sz="0" w:space="0" w:color="auto"/>
                    <w:bottom w:val="none" w:sz="0" w:space="0" w:color="auto"/>
                    <w:right w:val="none" w:sz="0" w:space="0" w:color="auto"/>
                  </w:divBdr>
                </w:div>
                <w:div w:id="149834170">
                  <w:marLeft w:val="0"/>
                  <w:marRight w:val="0"/>
                  <w:marTop w:val="0"/>
                  <w:marBottom w:val="0"/>
                  <w:divBdr>
                    <w:top w:val="none" w:sz="0" w:space="0" w:color="auto"/>
                    <w:left w:val="none" w:sz="0" w:space="0" w:color="auto"/>
                    <w:bottom w:val="none" w:sz="0" w:space="0" w:color="auto"/>
                    <w:right w:val="none" w:sz="0" w:space="0" w:color="auto"/>
                  </w:divBdr>
                </w:div>
                <w:div w:id="2097048514">
                  <w:marLeft w:val="0"/>
                  <w:marRight w:val="0"/>
                  <w:marTop w:val="0"/>
                  <w:marBottom w:val="0"/>
                  <w:divBdr>
                    <w:top w:val="none" w:sz="0" w:space="0" w:color="auto"/>
                    <w:left w:val="none" w:sz="0" w:space="0" w:color="auto"/>
                    <w:bottom w:val="none" w:sz="0" w:space="0" w:color="auto"/>
                    <w:right w:val="none" w:sz="0" w:space="0" w:color="auto"/>
                  </w:divBdr>
                </w:div>
                <w:div w:id="193201027">
                  <w:marLeft w:val="0"/>
                  <w:marRight w:val="0"/>
                  <w:marTop w:val="0"/>
                  <w:marBottom w:val="0"/>
                  <w:divBdr>
                    <w:top w:val="none" w:sz="0" w:space="0" w:color="auto"/>
                    <w:left w:val="none" w:sz="0" w:space="0" w:color="auto"/>
                    <w:bottom w:val="none" w:sz="0" w:space="0" w:color="auto"/>
                    <w:right w:val="none" w:sz="0" w:space="0" w:color="auto"/>
                  </w:divBdr>
                </w:div>
                <w:div w:id="1331374442">
                  <w:marLeft w:val="0"/>
                  <w:marRight w:val="0"/>
                  <w:marTop w:val="0"/>
                  <w:marBottom w:val="0"/>
                  <w:divBdr>
                    <w:top w:val="none" w:sz="0" w:space="0" w:color="auto"/>
                    <w:left w:val="none" w:sz="0" w:space="0" w:color="auto"/>
                    <w:bottom w:val="none" w:sz="0" w:space="0" w:color="auto"/>
                    <w:right w:val="none" w:sz="0" w:space="0" w:color="auto"/>
                  </w:divBdr>
                </w:div>
                <w:div w:id="1249076966">
                  <w:marLeft w:val="0"/>
                  <w:marRight w:val="0"/>
                  <w:marTop w:val="0"/>
                  <w:marBottom w:val="0"/>
                  <w:divBdr>
                    <w:top w:val="none" w:sz="0" w:space="0" w:color="auto"/>
                    <w:left w:val="none" w:sz="0" w:space="0" w:color="auto"/>
                    <w:bottom w:val="none" w:sz="0" w:space="0" w:color="auto"/>
                    <w:right w:val="none" w:sz="0" w:space="0" w:color="auto"/>
                  </w:divBdr>
                </w:div>
                <w:div w:id="552277824">
                  <w:marLeft w:val="0"/>
                  <w:marRight w:val="0"/>
                  <w:marTop w:val="0"/>
                  <w:marBottom w:val="0"/>
                  <w:divBdr>
                    <w:top w:val="none" w:sz="0" w:space="0" w:color="auto"/>
                    <w:left w:val="none" w:sz="0" w:space="0" w:color="auto"/>
                    <w:bottom w:val="none" w:sz="0" w:space="0" w:color="auto"/>
                    <w:right w:val="none" w:sz="0" w:space="0" w:color="auto"/>
                  </w:divBdr>
                </w:div>
                <w:div w:id="1888762583">
                  <w:marLeft w:val="0"/>
                  <w:marRight w:val="0"/>
                  <w:marTop w:val="0"/>
                  <w:marBottom w:val="0"/>
                  <w:divBdr>
                    <w:top w:val="none" w:sz="0" w:space="0" w:color="auto"/>
                    <w:left w:val="none" w:sz="0" w:space="0" w:color="auto"/>
                    <w:bottom w:val="none" w:sz="0" w:space="0" w:color="auto"/>
                    <w:right w:val="none" w:sz="0" w:space="0" w:color="auto"/>
                  </w:divBdr>
                </w:div>
                <w:div w:id="1704164493">
                  <w:marLeft w:val="0"/>
                  <w:marRight w:val="0"/>
                  <w:marTop w:val="0"/>
                  <w:marBottom w:val="0"/>
                  <w:divBdr>
                    <w:top w:val="none" w:sz="0" w:space="0" w:color="auto"/>
                    <w:left w:val="none" w:sz="0" w:space="0" w:color="auto"/>
                    <w:bottom w:val="none" w:sz="0" w:space="0" w:color="auto"/>
                    <w:right w:val="none" w:sz="0" w:space="0" w:color="auto"/>
                  </w:divBdr>
                </w:div>
                <w:div w:id="17481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80C3B-F9A6-4B60-BA7C-7B3360330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9772</Words>
  <Characters>55706</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Planet</dc:creator>
  <cp:keywords/>
  <dc:description/>
  <cp:lastModifiedBy>User</cp:lastModifiedBy>
  <cp:revision>2</cp:revision>
  <cp:lastPrinted>2026-06-10T11:41:00Z</cp:lastPrinted>
  <dcterms:created xsi:type="dcterms:W3CDTF">2026-09-14T10:45:00Z</dcterms:created>
  <dcterms:modified xsi:type="dcterms:W3CDTF">2026-09-14T10:45:00Z</dcterms:modified>
</cp:coreProperties>
</file>