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8828341"/>
    <w:bookmarkStart w:id="1" w:name="_Hlk153785329"/>
    <w:p w14:paraId="5EBDACA7" w14:textId="56C5E419" w:rsidR="009F0CE4" w:rsidRPr="000065E0" w:rsidRDefault="009F0CE4" w:rsidP="003E1B7E">
      <w:pPr>
        <w:ind w:left="3600" w:firstLine="720"/>
        <w:rPr>
          <w:rFonts w:ascii="Times New Roman" w:hAnsi="Times New Roman"/>
          <w:b/>
          <w:noProof/>
        </w:rPr>
      </w:pPr>
      <w:r w:rsidRPr="000065E0">
        <w:rPr>
          <w:rFonts w:ascii="Times New Roman" w:hAnsi="Times New Roman"/>
          <w:b/>
          <w:noProof/>
        </w:rPr>
        <w:object w:dxaOrig="6674" w:dyaOrig="10036" w14:anchorId="7E2B5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38877465" r:id="rId9"/>
        </w:object>
      </w:r>
    </w:p>
    <w:p w14:paraId="2D955983" w14:textId="77777777" w:rsidR="009F0CE4" w:rsidRPr="000065E0" w:rsidRDefault="009F0CE4" w:rsidP="003E1B7E">
      <w:pPr>
        <w:jc w:val="center"/>
        <w:rPr>
          <w:rFonts w:ascii="Times New Roman" w:hAnsi="Times New Roman"/>
          <w:b/>
          <w:noProof/>
        </w:rPr>
      </w:pPr>
      <w:r w:rsidRPr="000065E0">
        <w:rPr>
          <w:rFonts w:ascii="Times New Roman" w:hAnsi="Times New Roman"/>
          <w:b/>
          <w:noProof/>
        </w:rPr>
        <w:t xml:space="preserve">    REPUBLIKA E SHQIPËRISË</w:t>
      </w:r>
    </w:p>
    <w:p w14:paraId="5597BE12" w14:textId="77777777" w:rsidR="009F0CE4" w:rsidRPr="000065E0" w:rsidRDefault="009F0CE4" w:rsidP="003E1B7E">
      <w:pPr>
        <w:jc w:val="center"/>
        <w:rPr>
          <w:rFonts w:ascii="Times New Roman" w:hAnsi="Times New Roman"/>
          <w:b/>
          <w:noProof/>
        </w:rPr>
      </w:pPr>
      <w:r w:rsidRPr="000065E0">
        <w:rPr>
          <w:rFonts w:ascii="Times New Roman" w:hAnsi="Times New Roman"/>
          <w:b/>
          <w:noProof/>
        </w:rPr>
        <w:t>GJYKATA E LARTË</w:t>
      </w:r>
    </w:p>
    <w:p w14:paraId="39639D51" w14:textId="77777777" w:rsidR="009F0CE4" w:rsidRPr="000065E0" w:rsidRDefault="009F0CE4" w:rsidP="003E1B7E">
      <w:pPr>
        <w:jc w:val="center"/>
        <w:rPr>
          <w:rFonts w:ascii="Times New Roman" w:hAnsi="Times New Roman"/>
          <w:b/>
          <w:noProof/>
        </w:rPr>
      </w:pPr>
      <w:r w:rsidRPr="000065E0">
        <w:rPr>
          <w:rFonts w:ascii="Times New Roman" w:hAnsi="Times New Roman"/>
          <w:b/>
          <w:noProof/>
        </w:rPr>
        <w:t>KOLEGJI PENAL</w:t>
      </w:r>
    </w:p>
    <w:p w14:paraId="3D971207" w14:textId="77777777" w:rsidR="009F0CE4" w:rsidRPr="000065E0" w:rsidRDefault="009F0CE4" w:rsidP="003E1B7E">
      <w:pPr>
        <w:jc w:val="both"/>
        <w:rPr>
          <w:rFonts w:ascii="Times New Roman" w:eastAsia="Calibri" w:hAnsi="Times New Roman"/>
          <w:b/>
          <w:bCs/>
          <w:noProof/>
        </w:rPr>
      </w:pPr>
    </w:p>
    <w:p w14:paraId="679B7C12" w14:textId="139D5F8E" w:rsidR="009F0CE4" w:rsidRPr="000065E0" w:rsidRDefault="009F0CE4" w:rsidP="003E1B7E">
      <w:pPr>
        <w:jc w:val="both"/>
        <w:rPr>
          <w:rFonts w:ascii="Times New Roman" w:eastAsia="Calibri" w:hAnsi="Times New Roman"/>
          <w:b/>
          <w:noProof/>
        </w:rPr>
      </w:pPr>
      <w:r w:rsidRPr="000065E0">
        <w:rPr>
          <w:rFonts w:ascii="Times New Roman" w:eastAsia="Calibri" w:hAnsi="Times New Roman"/>
          <w:b/>
          <w:bCs/>
          <w:noProof/>
        </w:rPr>
        <w:t>Nr</w:t>
      </w:r>
      <w:r w:rsidRPr="000065E0">
        <w:rPr>
          <w:rFonts w:ascii="Times New Roman" w:hAnsi="Times New Roman"/>
          <w:b/>
          <w:iCs/>
        </w:rPr>
        <w:t xml:space="preserve">. </w:t>
      </w:r>
      <w:r w:rsidR="00437547" w:rsidRPr="000065E0">
        <w:rPr>
          <w:rFonts w:ascii="Times New Roman" w:hAnsi="Times New Roman"/>
          <w:b/>
        </w:rPr>
        <w:t>70017-00259-00-2025</w:t>
      </w:r>
      <w:r w:rsidR="00C14869" w:rsidRPr="000065E0">
        <w:rPr>
          <w:rFonts w:ascii="Times New Roman" w:hAnsi="Times New Roman"/>
          <w:b/>
          <w:spacing w:val="3"/>
        </w:rPr>
        <w:t xml:space="preserve"> </w:t>
      </w:r>
      <w:r w:rsidRPr="000065E0">
        <w:rPr>
          <w:rFonts w:ascii="Times New Roman" w:eastAsia="Calibri" w:hAnsi="Times New Roman"/>
          <w:b/>
          <w:bCs/>
          <w:noProof/>
        </w:rPr>
        <w:t>Regj. Themeltar</w:t>
      </w:r>
      <w:r w:rsidRPr="000065E0">
        <w:rPr>
          <w:rFonts w:ascii="Times New Roman" w:hAnsi="Times New Roman"/>
          <w:b/>
          <w:noProof/>
        </w:rPr>
        <w:t xml:space="preserve"> </w:t>
      </w:r>
    </w:p>
    <w:p w14:paraId="52F39D19" w14:textId="555B6618" w:rsidR="009F0CE4" w:rsidRPr="000065E0" w:rsidRDefault="009F0CE4" w:rsidP="003E1B7E">
      <w:pPr>
        <w:jc w:val="both"/>
        <w:rPr>
          <w:rFonts w:ascii="Times New Roman" w:eastAsia="Calibri" w:hAnsi="Times New Roman"/>
          <w:b/>
          <w:bCs/>
          <w:noProof/>
        </w:rPr>
      </w:pPr>
      <w:r w:rsidRPr="000065E0">
        <w:rPr>
          <w:rFonts w:ascii="Times New Roman" w:eastAsia="Calibri" w:hAnsi="Times New Roman"/>
          <w:b/>
          <w:bCs/>
          <w:noProof/>
        </w:rPr>
        <w:t xml:space="preserve">Nr. </w:t>
      </w:r>
      <w:r w:rsidR="00E7588D" w:rsidRPr="000065E0">
        <w:rPr>
          <w:rFonts w:ascii="Times New Roman" w:eastAsia="Calibri" w:hAnsi="Times New Roman"/>
          <w:b/>
          <w:bCs/>
          <w:noProof/>
        </w:rPr>
        <w:t>00-2026-</w:t>
      </w:r>
      <w:r w:rsidR="008E5067" w:rsidRPr="000065E0">
        <w:rPr>
          <w:rFonts w:ascii="Times New Roman" w:eastAsia="Calibri" w:hAnsi="Times New Roman"/>
          <w:b/>
          <w:bCs/>
          <w:noProof/>
          <w:color w:val="000000" w:themeColor="text1"/>
        </w:rPr>
        <w:t>342</w:t>
      </w:r>
      <w:r w:rsidRPr="000065E0">
        <w:rPr>
          <w:rFonts w:ascii="Times New Roman" w:eastAsia="Calibri" w:hAnsi="Times New Roman"/>
          <w:b/>
          <w:bCs/>
          <w:noProof/>
        </w:rPr>
        <w:t xml:space="preserve"> </w:t>
      </w:r>
      <w:r w:rsidR="00E7588D" w:rsidRPr="000065E0">
        <w:rPr>
          <w:rFonts w:ascii="Times New Roman" w:eastAsia="Calibri" w:hAnsi="Times New Roman"/>
          <w:b/>
          <w:bCs/>
          <w:noProof/>
        </w:rPr>
        <w:t>i</w:t>
      </w:r>
      <w:r w:rsidRPr="000065E0">
        <w:rPr>
          <w:rFonts w:ascii="Times New Roman" w:eastAsia="Calibri" w:hAnsi="Times New Roman"/>
          <w:b/>
          <w:bCs/>
          <w:noProof/>
        </w:rPr>
        <w:t xml:space="preserve"> Vendimi</w:t>
      </w:r>
      <w:r w:rsidR="00E7588D" w:rsidRPr="000065E0">
        <w:rPr>
          <w:rFonts w:ascii="Times New Roman" w:eastAsia="Calibri" w:hAnsi="Times New Roman"/>
          <w:b/>
          <w:bCs/>
          <w:noProof/>
        </w:rPr>
        <w:t>t</w:t>
      </w:r>
      <w:r w:rsidR="008047C1" w:rsidRPr="000065E0">
        <w:rPr>
          <w:rFonts w:ascii="Times New Roman" w:eastAsia="Calibri" w:hAnsi="Times New Roman"/>
          <w:b/>
          <w:bCs/>
          <w:noProof/>
        </w:rPr>
        <w:t xml:space="preserve"> (</w:t>
      </w:r>
      <w:r w:rsidR="00A20E0C" w:rsidRPr="000065E0">
        <w:rPr>
          <w:rFonts w:ascii="Times New Roman" w:eastAsia="Calibri" w:hAnsi="Times New Roman"/>
          <w:b/>
          <w:bCs/>
          <w:noProof/>
        </w:rPr>
        <w:t>46</w:t>
      </w:r>
      <w:r w:rsidR="008047C1" w:rsidRPr="000065E0">
        <w:rPr>
          <w:rFonts w:ascii="Times New Roman" w:eastAsia="Calibri" w:hAnsi="Times New Roman"/>
          <w:b/>
          <w:bCs/>
          <w:noProof/>
        </w:rPr>
        <w:t>)</w:t>
      </w:r>
    </w:p>
    <w:p w14:paraId="08A9FA35" w14:textId="77777777" w:rsidR="00E7588D" w:rsidRPr="000065E0" w:rsidRDefault="00E7588D" w:rsidP="003E1B7E">
      <w:pPr>
        <w:jc w:val="both"/>
        <w:rPr>
          <w:rFonts w:ascii="Times New Roman" w:eastAsia="Calibri" w:hAnsi="Times New Roman"/>
          <w:b/>
          <w:bCs/>
          <w:noProof/>
        </w:rPr>
      </w:pPr>
    </w:p>
    <w:p w14:paraId="66DEAAC3" w14:textId="77777777" w:rsidR="009F0CE4" w:rsidRPr="000065E0" w:rsidRDefault="009F0CE4" w:rsidP="003E1B7E">
      <w:pPr>
        <w:pStyle w:val="Heading2"/>
        <w:spacing w:before="0" w:after="0"/>
        <w:jc w:val="center"/>
        <w:rPr>
          <w:rFonts w:ascii="Times New Roman" w:hAnsi="Times New Roman"/>
          <w:i w:val="0"/>
          <w:noProof/>
          <w:sz w:val="24"/>
          <w:szCs w:val="24"/>
        </w:rPr>
      </w:pPr>
      <w:r w:rsidRPr="000065E0">
        <w:rPr>
          <w:rFonts w:ascii="Times New Roman" w:hAnsi="Times New Roman"/>
          <w:i w:val="0"/>
          <w:noProof/>
          <w:sz w:val="24"/>
          <w:szCs w:val="24"/>
        </w:rPr>
        <w:t>VENDIM</w:t>
      </w:r>
    </w:p>
    <w:p w14:paraId="37B5BA45" w14:textId="77777777" w:rsidR="009F0CE4" w:rsidRPr="000065E0" w:rsidRDefault="009F0CE4" w:rsidP="003E1B7E">
      <w:pPr>
        <w:jc w:val="center"/>
        <w:rPr>
          <w:rFonts w:ascii="Times New Roman" w:hAnsi="Times New Roman"/>
          <w:b/>
          <w:bCs/>
          <w:noProof/>
        </w:rPr>
      </w:pPr>
      <w:r w:rsidRPr="000065E0">
        <w:rPr>
          <w:rFonts w:ascii="Times New Roman" w:hAnsi="Times New Roman"/>
          <w:b/>
          <w:bCs/>
          <w:noProof/>
        </w:rPr>
        <w:t>NË EMËR TË REPUBLIKËS</w:t>
      </w:r>
    </w:p>
    <w:p w14:paraId="51B7BD23" w14:textId="77777777" w:rsidR="009F0CE4" w:rsidRPr="000065E0" w:rsidRDefault="009F0CE4" w:rsidP="003E1B7E">
      <w:pPr>
        <w:jc w:val="both"/>
        <w:rPr>
          <w:rFonts w:ascii="Times New Roman" w:hAnsi="Times New Roman"/>
          <w:b/>
          <w:bCs/>
          <w:noProof/>
        </w:rPr>
      </w:pPr>
    </w:p>
    <w:p w14:paraId="10DFB9EA" w14:textId="3B2C0A07" w:rsidR="009F0CE4" w:rsidRPr="000065E0" w:rsidRDefault="009F0CE4" w:rsidP="003E1B7E">
      <w:pPr>
        <w:jc w:val="center"/>
        <w:rPr>
          <w:rFonts w:ascii="Times New Roman" w:hAnsi="Times New Roman"/>
          <w:noProof/>
        </w:rPr>
      </w:pPr>
      <w:r w:rsidRPr="000065E0">
        <w:rPr>
          <w:rFonts w:ascii="Times New Roman" w:hAnsi="Times New Roman"/>
          <w:noProof/>
        </w:rPr>
        <w:t xml:space="preserve">Kolegji Penal i Gjykatës së Lartë, </w:t>
      </w:r>
      <w:r w:rsidR="00E7588D" w:rsidRPr="000065E0">
        <w:rPr>
          <w:rFonts w:ascii="Times New Roman" w:eastAsia="MS Mincho" w:hAnsi="Times New Roman"/>
        </w:rPr>
        <w:t>i</w:t>
      </w:r>
      <w:r w:rsidRPr="000065E0">
        <w:rPr>
          <w:rFonts w:ascii="Times New Roman" w:eastAsia="MS Mincho" w:hAnsi="Times New Roman"/>
        </w:rPr>
        <w:t xml:space="preserve"> përbërë nga</w:t>
      </w:r>
      <w:r w:rsidR="00282CEB" w:rsidRPr="000065E0">
        <w:rPr>
          <w:rFonts w:ascii="Times New Roman" w:eastAsia="MS Mincho" w:hAnsi="Times New Roman"/>
        </w:rPr>
        <w:t xml:space="preserve"> gjyqtar</w:t>
      </w:r>
      <w:r w:rsidR="00E7588D" w:rsidRPr="000065E0">
        <w:rPr>
          <w:rFonts w:ascii="Times New Roman" w:eastAsia="MS Mincho" w:hAnsi="Times New Roman"/>
        </w:rPr>
        <w:t>ë</w:t>
      </w:r>
      <w:r w:rsidR="00282CEB" w:rsidRPr="000065E0">
        <w:rPr>
          <w:rFonts w:ascii="Times New Roman" w:eastAsia="MS Mincho" w:hAnsi="Times New Roman"/>
        </w:rPr>
        <w:t>t</w:t>
      </w:r>
      <w:r w:rsidRPr="000065E0">
        <w:rPr>
          <w:rFonts w:ascii="Times New Roman" w:hAnsi="Times New Roman"/>
          <w:noProof/>
        </w:rPr>
        <w:t>:</w:t>
      </w:r>
    </w:p>
    <w:p w14:paraId="71EC0372" w14:textId="77777777" w:rsidR="009F0CE4" w:rsidRPr="000065E0" w:rsidRDefault="009F0CE4" w:rsidP="003E1B7E">
      <w:pPr>
        <w:jc w:val="both"/>
        <w:rPr>
          <w:rFonts w:ascii="Times New Roman" w:hAnsi="Times New Roman"/>
          <w:noProof/>
        </w:rPr>
      </w:pPr>
    </w:p>
    <w:p w14:paraId="064D2A86" w14:textId="7C9C6908" w:rsidR="009F0CE4" w:rsidRPr="000065E0" w:rsidRDefault="00BA1E6D" w:rsidP="003E1B7E">
      <w:pPr>
        <w:ind w:left="2880"/>
        <w:jc w:val="both"/>
        <w:rPr>
          <w:rFonts w:ascii="Times New Roman" w:hAnsi="Times New Roman"/>
          <w:b/>
          <w:bCs/>
          <w:lang w:bidi="ar-SA"/>
        </w:rPr>
      </w:pPr>
      <w:r w:rsidRPr="000065E0">
        <w:rPr>
          <w:rFonts w:ascii="Times New Roman" w:hAnsi="Times New Roman"/>
          <w:b/>
          <w:bCs/>
          <w:lang w:bidi="ar-SA"/>
        </w:rPr>
        <w:t>Ilir PANDA</w:t>
      </w:r>
      <w:r w:rsidRPr="000065E0">
        <w:rPr>
          <w:rFonts w:ascii="Times New Roman" w:hAnsi="Times New Roman"/>
          <w:b/>
          <w:bCs/>
          <w:lang w:bidi="ar-SA"/>
        </w:rPr>
        <w:tab/>
        <w:t xml:space="preserve">            </w:t>
      </w:r>
      <w:r w:rsidR="009F0CE4" w:rsidRPr="000065E0">
        <w:rPr>
          <w:rFonts w:ascii="Times New Roman" w:hAnsi="Times New Roman"/>
          <w:b/>
          <w:bCs/>
          <w:lang w:bidi="ar-SA"/>
        </w:rPr>
        <w:t>Kryesues</w:t>
      </w:r>
    </w:p>
    <w:p w14:paraId="5964FEC4" w14:textId="3B742777" w:rsidR="009F0CE4" w:rsidRPr="000065E0" w:rsidRDefault="009F0CE4" w:rsidP="003E1B7E">
      <w:pPr>
        <w:ind w:left="2880"/>
        <w:jc w:val="both"/>
        <w:rPr>
          <w:rFonts w:ascii="Times New Roman" w:hAnsi="Times New Roman"/>
          <w:b/>
          <w:bCs/>
          <w:lang w:bidi="ar-SA"/>
        </w:rPr>
      </w:pPr>
      <w:r w:rsidRPr="000065E0">
        <w:rPr>
          <w:rFonts w:ascii="Times New Roman" w:hAnsi="Times New Roman"/>
          <w:b/>
          <w:bCs/>
          <w:lang w:bidi="ar-SA"/>
        </w:rPr>
        <w:t xml:space="preserve">Sokol BINAJ   </w:t>
      </w:r>
      <w:r w:rsidRPr="000065E0">
        <w:rPr>
          <w:rFonts w:ascii="Times New Roman" w:hAnsi="Times New Roman"/>
          <w:b/>
          <w:bCs/>
          <w:lang w:bidi="ar-SA"/>
        </w:rPr>
        <w:tab/>
      </w:r>
      <w:r w:rsidR="00E7588D" w:rsidRPr="000065E0">
        <w:rPr>
          <w:rFonts w:ascii="Times New Roman" w:hAnsi="Times New Roman"/>
          <w:b/>
          <w:bCs/>
          <w:lang w:bidi="ar-SA"/>
        </w:rPr>
        <w:t xml:space="preserve"> </w:t>
      </w:r>
      <w:r w:rsidRPr="000065E0">
        <w:rPr>
          <w:rFonts w:ascii="Times New Roman" w:hAnsi="Times New Roman"/>
          <w:b/>
          <w:bCs/>
          <w:lang w:bidi="ar-SA"/>
        </w:rPr>
        <w:t>Anëtar</w:t>
      </w:r>
    </w:p>
    <w:p w14:paraId="128E85DD" w14:textId="058C7D76" w:rsidR="009F0CE4" w:rsidRPr="000065E0" w:rsidRDefault="009F0CE4" w:rsidP="003E1B7E">
      <w:pPr>
        <w:ind w:left="2880"/>
        <w:jc w:val="both"/>
        <w:rPr>
          <w:rFonts w:ascii="Times New Roman" w:hAnsi="Times New Roman"/>
          <w:b/>
          <w:bCs/>
          <w:lang w:bidi="ar-SA"/>
        </w:rPr>
      </w:pPr>
      <w:r w:rsidRPr="000065E0">
        <w:rPr>
          <w:rFonts w:ascii="Times New Roman" w:hAnsi="Times New Roman"/>
          <w:b/>
          <w:bCs/>
          <w:lang w:bidi="ar-SA"/>
        </w:rPr>
        <w:t>Sandër SIMONI</w:t>
      </w:r>
      <w:r w:rsidRPr="000065E0">
        <w:rPr>
          <w:rFonts w:ascii="Times New Roman" w:hAnsi="Times New Roman"/>
          <w:b/>
          <w:bCs/>
          <w:lang w:bidi="ar-SA"/>
        </w:rPr>
        <w:tab/>
      </w:r>
      <w:r w:rsidR="00BA1E6D" w:rsidRPr="000065E0">
        <w:rPr>
          <w:rFonts w:ascii="Times New Roman" w:hAnsi="Times New Roman"/>
          <w:b/>
          <w:bCs/>
          <w:lang w:bidi="ar-SA"/>
        </w:rPr>
        <w:t xml:space="preserve"> </w:t>
      </w:r>
      <w:r w:rsidRPr="000065E0">
        <w:rPr>
          <w:rFonts w:ascii="Times New Roman" w:hAnsi="Times New Roman"/>
          <w:b/>
          <w:bCs/>
          <w:lang w:bidi="ar-SA"/>
        </w:rPr>
        <w:t>Anëtar</w:t>
      </w:r>
    </w:p>
    <w:p w14:paraId="00B22EE7" w14:textId="77777777" w:rsidR="009F0CE4" w:rsidRPr="000065E0" w:rsidRDefault="009F0CE4" w:rsidP="003E1B7E">
      <w:pPr>
        <w:tabs>
          <w:tab w:val="left" w:pos="2070"/>
          <w:tab w:val="left" w:pos="2250"/>
          <w:tab w:val="left" w:pos="3150"/>
        </w:tabs>
        <w:rPr>
          <w:rFonts w:ascii="Times New Roman" w:hAnsi="Times New Roman"/>
          <w:noProof/>
        </w:rPr>
      </w:pPr>
    </w:p>
    <w:p w14:paraId="19736BF5" w14:textId="4B01D755" w:rsidR="00166FF5" w:rsidRPr="000065E0" w:rsidRDefault="00282CEB" w:rsidP="00E7588D">
      <w:pPr>
        <w:pStyle w:val="Title"/>
        <w:tabs>
          <w:tab w:val="left" w:pos="360"/>
        </w:tabs>
        <w:ind w:firstLine="360"/>
        <w:jc w:val="both"/>
        <w:rPr>
          <w:sz w:val="24"/>
          <w:szCs w:val="24"/>
          <w:lang w:val="sq-AL" w:eastAsia="en-US"/>
        </w:rPr>
      </w:pPr>
      <w:r w:rsidRPr="000065E0">
        <w:rPr>
          <w:sz w:val="24"/>
          <w:szCs w:val="24"/>
          <w:lang w:val="sq-AL"/>
        </w:rPr>
        <w:t>Sot, më datë</w:t>
      </w:r>
      <w:r w:rsidR="00166FF5" w:rsidRPr="000065E0">
        <w:rPr>
          <w:sz w:val="24"/>
          <w:szCs w:val="24"/>
          <w:lang w:val="sq-AL"/>
        </w:rPr>
        <w:t xml:space="preserve"> </w:t>
      </w:r>
      <w:r w:rsidR="006B2053" w:rsidRPr="000065E0">
        <w:rPr>
          <w:sz w:val="24"/>
          <w:szCs w:val="24"/>
          <w:lang w:val="sq-AL"/>
        </w:rPr>
        <w:t>10.0</w:t>
      </w:r>
      <w:r w:rsidR="00437547" w:rsidRPr="000065E0">
        <w:rPr>
          <w:sz w:val="24"/>
          <w:szCs w:val="24"/>
          <w:lang w:val="sq-AL"/>
        </w:rPr>
        <w:t>3</w:t>
      </w:r>
      <w:r w:rsidR="00DC778D" w:rsidRPr="000065E0">
        <w:rPr>
          <w:sz w:val="24"/>
          <w:szCs w:val="24"/>
          <w:lang w:val="sq-AL"/>
        </w:rPr>
        <w:t>.2026</w:t>
      </w:r>
      <w:r w:rsidR="00166FF5" w:rsidRPr="000065E0">
        <w:rPr>
          <w:sz w:val="24"/>
          <w:szCs w:val="24"/>
          <w:lang w:val="sq-AL"/>
        </w:rPr>
        <w:t xml:space="preserve">, mori në shqyrtim në dhomë këshillimi, </w:t>
      </w:r>
      <w:r w:rsidR="00166FF5" w:rsidRPr="000065E0">
        <w:rPr>
          <w:noProof/>
          <w:sz w:val="24"/>
          <w:szCs w:val="24"/>
          <w:lang w:val="sq-AL"/>
        </w:rPr>
        <w:t>çështjen penale</w:t>
      </w:r>
      <w:r w:rsidR="00E7588D" w:rsidRPr="000065E0">
        <w:rPr>
          <w:noProof/>
          <w:sz w:val="24"/>
          <w:szCs w:val="24"/>
          <w:lang w:val="sq-AL"/>
        </w:rPr>
        <w:t xml:space="preserve"> nr. </w:t>
      </w:r>
      <w:r w:rsidR="00E7588D" w:rsidRPr="000065E0">
        <w:rPr>
          <w:sz w:val="24"/>
          <w:szCs w:val="24"/>
        </w:rPr>
        <w:t xml:space="preserve">70017-00259-00-2025 </w:t>
      </w:r>
      <w:proofErr w:type="spellStart"/>
      <w:r w:rsidR="00E7588D" w:rsidRPr="000065E0">
        <w:rPr>
          <w:sz w:val="24"/>
          <w:szCs w:val="24"/>
        </w:rPr>
        <w:t>akti</w:t>
      </w:r>
      <w:proofErr w:type="spellEnd"/>
      <w:r w:rsidR="00166FF5" w:rsidRPr="000065E0">
        <w:rPr>
          <w:noProof/>
          <w:sz w:val="24"/>
          <w:szCs w:val="24"/>
          <w:lang w:val="sq-AL"/>
        </w:rPr>
        <w:t>, që i’u përket</w:t>
      </w:r>
      <w:r w:rsidR="00166FF5" w:rsidRPr="000065E0">
        <w:rPr>
          <w:sz w:val="24"/>
          <w:szCs w:val="24"/>
          <w:lang w:val="sq-AL"/>
        </w:rPr>
        <w:t>:</w:t>
      </w:r>
    </w:p>
    <w:p w14:paraId="6C67D144" w14:textId="77777777" w:rsidR="009F0CE4" w:rsidRPr="000065E0" w:rsidRDefault="009F0CE4" w:rsidP="003E1B7E">
      <w:pPr>
        <w:jc w:val="both"/>
        <w:rPr>
          <w:rFonts w:ascii="Times New Roman" w:hAnsi="Times New Roman"/>
        </w:rPr>
      </w:pPr>
    </w:p>
    <w:bookmarkEnd w:id="0"/>
    <w:p w14:paraId="351668BB" w14:textId="3A7D05A3" w:rsidR="00437547" w:rsidRPr="000065E0" w:rsidRDefault="00437547" w:rsidP="003E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880" w:hanging="2880"/>
        <w:jc w:val="both"/>
        <w:rPr>
          <w:rFonts w:ascii="Times New Roman" w:hAnsi="Times New Roman"/>
          <w:lang w:bidi="ar-SA"/>
        </w:rPr>
      </w:pPr>
      <w:r w:rsidRPr="000065E0">
        <w:rPr>
          <w:rFonts w:ascii="Times New Roman" w:hAnsi="Times New Roman"/>
          <w:b/>
          <w:lang w:bidi="ar-SA"/>
        </w:rPr>
        <w:t>KËRKUES</w:t>
      </w:r>
      <w:r w:rsidR="00282CEB" w:rsidRPr="000065E0">
        <w:rPr>
          <w:rFonts w:ascii="Times New Roman" w:hAnsi="Times New Roman"/>
          <w:b/>
          <w:lang w:bidi="ar-SA"/>
        </w:rPr>
        <w:t>E</w:t>
      </w:r>
      <w:r w:rsidRPr="000065E0">
        <w:rPr>
          <w:rFonts w:ascii="Times New Roman" w:hAnsi="Times New Roman"/>
          <w:b/>
          <w:lang w:bidi="ar-SA"/>
        </w:rPr>
        <w:t>:</w:t>
      </w:r>
      <w:r w:rsidR="00BA1E6D" w:rsidRPr="000065E0">
        <w:rPr>
          <w:rFonts w:ascii="Times New Roman" w:hAnsi="Times New Roman"/>
          <w:lang w:bidi="ar-SA"/>
        </w:rPr>
        <w:tab/>
      </w:r>
      <w:r w:rsidR="00BA1E6D" w:rsidRPr="000065E0">
        <w:rPr>
          <w:rFonts w:ascii="Times New Roman" w:hAnsi="Times New Roman"/>
          <w:lang w:bidi="ar-SA"/>
        </w:rPr>
        <w:tab/>
      </w:r>
      <w:r w:rsidR="000065E0">
        <w:rPr>
          <w:rFonts w:ascii="Times New Roman" w:hAnsi="Times New Roman"/>
          <w:lang w:bidi="ar-SA"/>
        </w:rPr>
        <w:tab/>
      </w:r>
      <w:r w:rsidRPr="000065E0">
        <w:rPr>
          <w:rFonts w:ascii="Times New Roman" w:hAnsi="Times New Roman"/>
          <w:lang w:bidi="ar-SA"/>
        </w:rPr>
        <w:t>Prokuroria pranë Gjykatës së Rrethit Gjyqësor</w:t>
      </w:r>
      <w:r w:rsidR="00BA1E6D" w:rsidRPr="000065E0">
        <w:rPr>
          <w:rFonts w:ascii="Times New Roman" w:hAnsi="Times New Roman"/>
          <w:lang w:bidi="ar-SA"/>
        </w:rPr>
        <w:t>,</w:t>
      </w:r>
      <w:r w:rsidRPr="000065E0">
        <w:rPr>
          <w:rFonts w:ascii="Times New Roman" w:hAnsi="Times New Roman"/>
          <w:lang w:bidi="ar-SA"/>
        </w:rPr>
        <w:t xml:space="preserve"> Tiranë  </w:t>
      </w:r>
    </w:p>
    <w:p w14:paraId="37BC99C3" w14:textId="77777777" w:rsidR="00437547" w:rsidRPr="000065E0" w:rsidRDefault="00437547" w:rsidP="003E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lang w:bidi="ar-SA"/>
        </w:rPr>
      </w:pPr>
    </w:p>
    <w:p w14:paraId="5963A0C9" w14:textId="15A5BA50" w:rsidR="00437547" w:rsidRPr="000065E0" w:rsidRDefault="00BA1E6D" w:rsidP="003E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880" w:hanging="2880"/>
        <w:jc w:val="both"/>
        <w:rPr>
          <w:rFonts w:ascii="Times New Roman" w:hAnsi="Times New Roman"/>
          <w:bCs/>
          <w:lang w:bidi="ar-SA"/>
        </w:rPr>
      </w:pPr>
      <w:r w:rsidRPr="000065E0">
        <w:rPr>
          <w:rFonts w:ascii="Times New Roman" w:hAnsi="Times New Roman"/>
          <w:b/>
          <w:lang w:bidi="ar-SA"/>
        </w:rPr>
        <w:t>Person nën hetim</w:t>
      </w:r>
      <w:r w:rsidR="00437547" w:rsidRPr="000065E0">
        <w:rPr>
          <w:rFonts w:ascii="Times New Roman" w:hAnsi="Times New Roman"/>
          <w:b/>
          <w:lang w:bidi="ar-SA"/>
        </w:rPr>
        <w:t>:</w:t>
      </w:r>
      <w:r w:rsidR="00437547" w:rsidRPr="000065E0">
        <w:rPr>
          <w:rFonts w:ascii="Times New Roman" w:hAnsi="Times New Roman"/>
          <w:b/>
          <w:lang w:bidi="ar-SA"/>
        </w:rPr>
        <w:tab/>
      </w:r>
      <w:r w:rsidR="000065E0">
        <w:rPr>
          <w:rFonts w:ascii="Times New Roman" w:hAnsi="Times New Roman"/>
          <w:b/>
          <w:lang w:bidi="ar-SA"/>
        </w:rPr>
        <w:tab/>
      </w:r>
      <w:r w:rsidR="00437547" w:rsidRPr="000065E0">
        <w:rPr>
          <w:rFonts w:ascii="Times New Roman" w:hAnsi="Times New Roman"/>
          <w:bCs/>
          <w:lang w:bidi="ar-SA"/>
        </w:rPr>
        <w:t>Drini Kingji</w:t>
      </w:r>
    </w:p>
    <w:p w14:paraId="5E1C1BC7" w14:textId="77777777" w:rsidR="00437547" w:rsidRPr="000065E0" w:rsidRDefault="00437547" w:rsidP="003E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bCs/>
          <w:lang w:bidi="ar-SA"/>
        </w:rPr>
      </w:pPr>
    </w:p>
    <w:p w14:paraId="77629C8C" w14:textId="77777777" w:rsidR="00437547" w:rsidRPr="000065E0" w:rsidRDefault="00437547" w:rsidP="003E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880" w:hanging="2880"/>
        <w:jc w:val="both"/>
        <w:rPr>
          <w:rFonts w:ascii="Times New Roman" w:hAnsi="Times New Roman"/>
          <w:b/>
          <w:lang w:bidi="ar-SA"/>
        </w:rPr>
      </w:pPr>
      <w:r w:rsidRPr="000065E0">
        <w:rPr>
          <w:rFonts w:ascii="Times New Roman" w:hAnsi="Times New Roman"/>
          <w:b/>
          <w:lang w:bidi="ar-SA"/>
        </w:rPr>
        <w:t>Trashëgimtarë të</w:t>
      </w:r>
    </w:p>
    <w:p w14:paraId="1D1C9F59" w14:textId="77777777" w:rsidR="00437547" w:rsidRPr="000065E0" w:rsidRDefault="00437547" w:rsidP="003E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880" w:hanging="2880"/>
        <w:jc w:val="both"/>
        <w:rPr>
          <w:rFonts w:ascii="Times New Roman" w:hAnsi="Times New Roman"/>
          <w:bCs/>
          <w:lang w:bidi="ar-SA"/>
        </w:rPr>
      </w:pPr>
      <w:r w:rsidRPr="000065E0">
        <w:rPr>
          <w:rFonts w:ascii="Times New Roman" w:hAnsi="Times New Roman"/>
          <w:b/>
          <w:lang w:bidi="ar-SA"/>
        </w:rPr>
        <w:t>viktimës:</w:t>
      </w:r>
      <w:r w:rsidRPr="000065E0">
        <w:rPr>
          <w:rFonts w:ascii="Times New Roman" w:hAnsi="Times New Roman"/>
          <w:bCs/>
          <w:lang w:bidi="ar-SA"/>
        </w:rPr>
        <w:tab/>
      </w:r>
      <w:r w:rsidRPr="000065E0">
        <w:rPr>
          <w:rFonts w:ascii="Times New Roman" w:hAnsi="Times New Roman"/>
          <w:bCs/>
          <w:lang w:bidi="ar-SA"/>
        </w:rPr>
        <w:tab/>
      </w:r>
      <w:r w:rsidRPr="000065E0">
        <w:rPr>
          <w:rFonts w:ascii="Times New Roman" w:hAnsi="Times New Roman"/>
          <w:bCs/>
          <w:lang w:bidi="ar-SA"/>
        </w:rPr>
        <w:tab/>
        <w:t>Haxhire Bilo, Fabjola Bilo, Edlira Bilo, Lorena Bilo</w:t>
      </w:r>
    </w:p>
    <w:p w14:paraId="6E19CFCD" w14:textId="77777777" w:rsidR="00437547" w:rsidRPr="000065E0" w:rsidRDefault="00437547" w:rsidP="003E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bidi="ar-SA"/>
        </w:rPr>
      </w:pPr>
    </w:p>
    <w:p w14:paraId="6F45EDB2" w14:textId="5BE8CD99" w:rsidR="00437547" w:rsidRPr="000065E0" w:rsidRDefault="00437547" w:rsidP="003E1B7E">
      <w:pPr>
        <w:ind w:left="2880" w:hanging="2880"/>
        <w:jc w:val="both"/>
        <w:rPr>
          <w:rFonts w:ascii="Times New Roman" w:hAnsi="Times New Roman"/>
        </w:rPr>
      </w:pPr>
      <w:r w:rsidRPr="000065E0">
        <w:rPr>
          <w:rFonts w:ascii="Times New Roman" w:hAnsi="Times New Roman"/>
          <w:b/>
          <w:lang w:bidi="ar-SA"/>
        </w:rPr>
        <w:t>OBJEKTI:</w:t>
      </w:r>
      <w:r w:rsidRPr="000065E0">
        <w:rPr>
          <w:rFonts w:ascii="Times New Roman" w:hAnsi="Times New Roman"/>
          <w:b/>
          <w:lang w:bidi="ar-SA"/>
        </w:rPr>
        <w:tab/>
      </w:r>
      <w:r w:rsidRPr="000065E0">
        <w:rPr>
          <w:rFonts w:ascii="Times New Roman" w:hAnsi="Times New Roman"/>
        </w:rPr>
        <w:t>Pushimin e procedimit penal nr. 5572, të vitit 2020</w:t>
      </w:r>
      <w:r w:rsidR="00282CEB" w:rsidRPr="000065E0">
        <w:rPr>
          <w:rFonts w:ascii="Times New Roman" w:hAnsi="Times New Roman"/>
        </w:rPr>
        <w:t>,</w:t>
      </w:r>
      <w:r w:rsidRPr="000065E0">
        <w:rPr>
          <w:rFonts w:ascii="Times New Roman" w:hAnsi="Times New Roman"/>
        </w:rPr>
        <w:t xml:space="preserve"> për veprën penale “Shkelja e rregullave të qarkullimit rrugor”, parashikuar nga neni 290/3 i Kodit Penal.</w:t>
      </w:r>
    </w:p>
    <w:p w14:paraId="68BCBA2D" w14:textId="77777777" w:rsidR="00437547" w:rsidRPr="000065E0" w:rsidRDefault="00437547" w:rsidP="003E1B7E">
      <w:pPr>
        <w:ind w:left="2880" w:hanging="2880"/>
        <w:jc w:val="both"/>
        <w:rPr>
          <w:rFonts w:ascii="Times New Roman" w:hAnsi="Times New Roman"/>
          <w:lang w:bidi="ar-SA"/>
        </w:rPr>
      </w:pPr>
    </w:p>
    <w:p w14:paraId="6CB4FB82" w14:textId="60E693FD" w:rsidR="008E61A1" w:rsidRPr="000065E0" w:rsidRDefault="00437547" w:rsidP="003E1B7E">
      <w:pPr>
        <w:ind w:left="2880" w:hanging="2880"/>
        <w:jc w:val="both"/>
        <w:rPr>
          <w:rFonts w:ascii="Times New Roman" w:hAnsi="Times New Roman"/>
        </w:rPr>
      </w:pPr>
      <w:r w:rsidRPr="000065E0">
        <w:rPr>
          <w:rFonts w:ascii="Times New Roman" w:hAnsi="Times New Roman"/>
          <w:b/>
          <w:lang w:bidi="ar-SA"/>
        </w:rPr>
        <w:t>BAZA LIGJORE</w:t>
      </w:r>
      <w:r w:rsidRPr="000065E0">
        <w:rPr>
          <w:rFonts w:ascii="Times New Roman" w:hAnsi="Times New Roman"/>
          <w:lang w:bidi="ar-SA"/>
        </w:rPr>
        <w:t>:</w:t>
      </w:r>
      <w:r w:rsidRPr="000065E0">
        <w:rPr>
          <w:rFonts w:ascii="Times New Roman" w:hAnsi="Times New Roman"/>
          <w:lang w:bidi="ar-SA"/>
        </w:rPr>
        <w:tab/>
      </w:r>
      <w:r w:rsidRPr="000065E0">
        <w:rPr>
          <w:rFonts w:ascii="Times New Roman" w:hAnsi="Times New Roman"/>
        </w:rPr>
        <w:t>Nenet 328/1, shkronja “b” dhe 332/dh, pika 1, shkronja “ç” të Kodit të Procedurës Penale.</w:t>
      </w:r>
    </w:p>
    <w:p w14:paraId="08C849C6" w14:textId="77777777" w:rsidR="00BA1E6D" w:rsidRPr="000065E0" w:rsidRDefault="00BA1E6D" w:rsidP="003E1B7E">
      <w:pPr>
        <w:ind w:left="2880" w:hanging="2880"/>
        <w:jc w:val="both"/>
        <w:rPr>
          <w:rFonts w:ascii="Times New Roman" w:hAnsi="Times New Roman"/>
          <w:lang w:bidi="ar-SA"/>
        </w:rPr>
      </w:pPr>
    </w:p>
    <w:p w14:paraId="24522764" w14:textId="77777777" w:rsidR="00C61323" w:rsidRPr="000065E0" w:rsidRDefault="00C61323" w:rsidP="003E1B7E">
      <w:pPr>
        <w:ind w:left="2160" w:hanging="2160"/>
        <w:jc w:val="both"/>
        <w:rPr>
          <w:rFonts w:ascii="Times New Roman" w:hAnsi="Times New Roman"/>
          <w:b/>
          <w:noProof/>
        </w:rPr>
      </w:pPr>
    </w:p>
    <w:p w14:paraId="58ABCF70" w14:textId="7595DB0A" w:rsidR="0031088E" w:rsidRPr="000065E0" w:rsidRDefault="0031088E" w:rsidP="003E1B7E">
      <w:pPr>
        <w:jc w:val="center"/>
        <w:rPr>
          <w:rFonts w:ascii="Times New Roman" w:hAnsi="Times New Roman"/>
          <w:b/>
          <w:noProof/>
        </w:rPr>
      </w:pPr>
      <w:r w:rsidRPr="000065E0">
        <w:rPr>
          <w:rFonts w:ascii="Times New Roman" w:hAnsi="Times New Roman"/>
          <w:b/>
          <w:noProof/>
        </w:rPr>
        <w:t>KOLEGJI PENAL I GJYKATËS SË LARTË</w:t>
      </w:r>
    </w:p>
    <w:p w14:paraId="11010AB8" w14:textId="77777777" w:rsidR="009F0CE4" w:rsidRPr="000065E0" w:rsidRDefault="009F0CE4" w:rsidP="003E1B7E">
      <w:pPr>
        <w:jc w:val="center"/>
        <w:rPr>
          <w:rFonts w:ascii="Times New Roman" w:hAnsi="Times New Roman"/>
          <w:b/>
          <w:noProof/>
        </w:rPr>
      </w:pPr>
    </w:p>
    <w:p w14:paraId="0FF6988C" w14:textId="54ECF823" w:rsidR="00D148E8" w:rsidRPr="000065E0" w:rsidRDefault="0073709C" w:rsidP="00BA1E6D">
      <w:pPr>
        <w:ind w:firstLine="360"/>
        <w:jc w:val="both"/>
        <w:rPr>
          <w:rFonts w:ascii="Times New Roman" w:hAnsi="Times New Roman"/>
          <w:bCs/>
        </w:rPr>
      </w:pPr>
      <w:r w:rsidRPr="000065E0">
        <w:rPr>
          <w:rFonts w:ascii="Times New Roman" w:hAnsi="Times New Roman"/>
        </w:rPr>
        <w:t xml:space="preserve">pasi dëgjoi relatimin e gjyqtarit </w:t>
      </w:r>
      <w:r w:rsidR="00F3110E" w:rsidRPr="000065E0">
        <w:rPr>
          <w:rFonts w:ascii="Times New Roman" w:hAnsi="Times New Roman"/>
          <w:lang w:bidi="ar-SA"/>
        </w:rPr>
        <w:t>Sokol Binaj</w:t>
      </w:r>
      <w:r w:rsidR="0067152C" w:rsidRPr="000065E0">
        <w:rPr>
          <w:rFonts w:ascii="Times New Roman" w:hAnsi="Times New Roman"/>
          <w:bCs/>
        </w:rPr>
        <w:t xml:space="preserve"> </w:t>
      </w:r>
      <w:r w:rsidRPr="000065E0">
        <w:rPr>
          <w:rFonts w:ascii="Times New Roman" w:hAnsi="Times New Roman"/>
          <w:bCs/>
        </w:rPr>
        <w:t>dhe diskutoi në dhomë këshillimi çështjen në tërësi,</w:t>
      </w:r>
    </w:p>
    <w:p w14:paraId="21F8435D" w14:textId="3F9B13F7" w:rsidR="00BA1E6D" w:rsidRPr="000065E0" w:rsidRDefault="00BA1E6D" w:rsidP="00BA1E6D">
      <w:pPr>
        <w:ind w:firstLine="360"/>
        <w:jc w:val="both"/>
        <w:rPr>
          <w:rFonts w:ascii="Times New Roman" w:hAnsi="Times New Roman"/>
          <w:bCs/>
        </w:rPr>
      </w:pPr>
    </w:p>
    <w:p w14:paraId="3B59CEFC" w14:textId="77777777" w:rsidR="00BA1E6D" w:rsidRPr="000065E0" w:rsidRDefault="00BA1E6D" w:rsidP="00BA1E6D">
      <w:pPr>
        <w:ind w:firstLine="360"/>
        <w:jc w:val="both"/>
        <w:rPr>
          <w:rFonts w:ascii="Times New Roman" w:hAnsi="Times New Roman"/>
          <w:bCs/>
        </w:rPr>
      </w:pPr>
    </w:p>
    <w:p w14:paraId="61690E7D" w14:textId="727AD112" w:rsidR="00D148E8" w:rsidRPr="000065E0" w:rsidRDefault="00BA1E6D" w:rsidP="003E1B7E">
      <w:pPr>
        <w:pStyle w:val="Heading2"/>
        <w:tabs>
          <w:tab w:val="left" w:pos="360"/>
        </w:tabs>
        <w:spacing w:before="0" w:after="0"/>
        <w:jc w:val="center"/>
        <w:rPr>
          <w:rFonts w:ascii="Times New Roman" w:hAnsi="Times New Roman"/>
          <w:i w:val="0"/>
          <w:noProof/>
          <w:sz w:val="24"/>
          <w:szCs w:val="24"/>
        </w:rPr>
      </w:pPr>
      <w:r w:rsidRPr="000065E0">
        <w:rPr>
          <w:rFonts w:ascii="Times New Roman" w:hAnsi="Times New Roman"/>
          <w:i w:val="0"/>
          <w:noProof/>
          <w:sz w:val="24"/>
          <w:szCs w:val="24"/>
        </w:rPr>
        <w:t>VËRE</w:t>
      </w:r>
      <w:r w:rsidR="00D148E8" w:rsidRPr="000065E0">
        <w:rPr>
          <w:rFonts w:ascii="Times New Roman" w:hAnsi="Times New Roman"/>
          <w:i w:val="0"/>
          <w:noProof/>
          <w:sz w:val="24"/>
          <w:szCs w:val="24"/>
        </w:rPr>
        <w:t>N</w:t>
      </w:r>
      <w:r w:rsidR="00282CEB" w:rsidRPr="000065E0">
        <w:rPr>
          <w:rFonts w:ascii="Times New Roman" w:hAnsi="Times New Roman"/>
          <w:i w:val="0"/>
          <w:noProof/>
          <w:sz w:val="24"/>
          <w:szCs w:val="24"/>
        </w:rPr>
        <w:t>:</w:t>
      </w:r>
    </w:p>
    <w:p w14:paraId="1EB33896" w14:textId="77777777" w:rsidR="00BA1E6D" w:rsidRPr="000065E0" w:rsidRDefault="00BA1E6D" w:rsidP="00BA1E6D"/>
    <w:p w14:paraId="6C47E8B5" w14:textId="1D1181A7" w:rsidR="00D148E8" w:rsidRPr="000065E0" w:rsidRDefault="00D148E8" w:rsidP="003E1B7E">
      <w:pPr>
        <w:pStyle w:val="ListParagraph"/>
        <w:numPr>
          <w:ilvl w:val="0"/>
          <w:numId w:val="1"/>
        </w:numPr>
        <w:ind w:left="360" w:firstLine="0"/>
        <w:jc w:val="both"/>
        <w:rPr>
          <w:rFonts w:ascii="Times New Roman" w:hAnsi="Times New Roman"/>
          <w:bCs/>
          <w:lang w:val="sq-AL"/>
        </w:rPr>
      </w:pPr>
      <w:r w:rsidRPr="000065E0">
        <w:rPr>
          <w:rFonts w:ascii="Times New Roman" w:hAnsi="Times New Roman"/>
          <w:b/>
          <w:bCs/>
          <w:iCs/>
          <w:lang w:val="sq-AL"/>
        </w:rPr>
        <w:t>Rrethanat e çështjes</w:t>
      </w:r>
    </w:p>
    <w:p w14:paraId="48096ACC" w14:textId="6567EE55" w:rsidR="00437547" w:rsidRPr="000065E0" w:rsidRDefault="00437547" w:rsidP="003E1B7E">
      <w:pPr>
        <w:rPr>
          <w:rFonts w:ascii="Times New Roman" w:hAnsi="Times New Roman"/>
          <w:kern w:val="2"/>
          <w14:ligatures w14:val="standardContextual"/>
        </w:rPr>
      </w:pPr>
    </w:p>
    <w:p w14:paraId="38CEC0C3" w14:textId="5F856451" w:rsidR="00437547" w:rsidRPr="000065E0" w:rsidRDefault="00437547"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lang w:val="sq-AL"/>
        </w:rPr>
        <w:t>Prokuroria pranë Gjykatës së Rrethit Gjyqësor</w:t>
      </w:r>
      <w:r w:rsidR="00BA1E6D" w:rsidRPr="000065E0">
        <w:rPr>
          <w:rFonts w:ascii="Times New Roman" w:hAnsi="Times New Roman"/>
          <w:lang w:val="sq-AL"/>
        </w:rPr>
        <w:t>,</w:t>
      </w:r>
      <w:r w:rsidRPr="000065E0">
        <w:rPr>
          <w:rFonts w:ascii="Times New Roman" w:hAnsi="Times New Roman"/>
          <w:lang w:val="sq-AL"/>
        </w:rPr>
        <w:t xml:space="preserve"> Tiranë</w:t>
      </w:r>
      <w:r w:rsidR="00BA1E6D" w:rsidRPr="000065E0">
        <w:rPr>
          <w:rFonts w:ascii="Times New Roman" w:hAnsi="Times New Roman"/>
          <w:lang w:val="sq-AL"/>
        </w:rPr>
        <w:t>,</w:t>
      </w:r>
      <w:r w:rsidRPr="000065E0">
        <w:rPr>
          <w:rFonts w:ascii="Times New Roman" w:hAnsi="Times New Roman"/>
          <w:lang w:val="sq-AL"/>
        </w:rPr>
        <w:t xml:space="preserve"> regjistroi procedimin penal nr. 5572/2020 për veprën penale “Shkelja e rregullave të mbrojtjes në punë”, parashikuar nga neni 289/2 i Kodit Penal. Më </w:t>
      </w:r>
      <w:r w:rsidR="00282CEB" w:rsidRPr="000065E0">
        <w:rPr>
          <w:rFonts w:ascii="Times New Roman" w:hAnsi="Times New Roman"/>
          <w:lang w:val="sq-AL"/>
        </w:rPr>
        <w:t xml:space="preserve">date </w:t>
      </w:r>
      <w:r w:rsidRPr="000065E0">
        <w:rPr>
          <w:rFonts w:ascii="Times New Roman" w:hAnsi="Times New Roman"/>
          <w:lang w:val="sq-AL"/>
        </w:rPr>
        <w:t xml:space="preserve">03.09.2020, rreth orës 15:50, në objektin në ndërtim të shoqërisë </w:t>
      </w:r>
      <w:r w:rsidR="00282CEB" w:rsidRPr="000065E0">
        <w:rPr>
          <w:rFonts w:ascii="Times New Roman" w:hAnsi="Times New Roman"/>
          <w:lang w:val="sq-AL"/>
        </w:rPr>
        <w:lastRenderedPageBreak/>
        <w:t xml:space="preserve">“AIA” sh.p.k., </w:t>
      </w:r>
      <w:r w:rsidR="00A21CFA" w:rsidRPr="000065E0">
        <w:rPr>
          <w:rFonts w:ascii="Times New Roman" w:hAnsi="Times New Roman"/>
          <w:lang w:val="sq-AL"/>
        </w:rPr>
        <w:t>ë</w:t>
      </w:r>
      <w:r w:rsidR="00282CEB" w:rsidRPr="000065E0">
        <w:rPr>
          <w:rFonts w:ascii="Times New Roman" w:hAnsi="Times New Roman"/>
          <w:lang w:val="sq-AL"/>
        </w:rPr>
        <w:t>sht</w:t>
      </w:r>
      <w:r w:rsidR="00A21CFA" w:rsidRPr="000065E0">
        <w:rPr>
          <w:rFonts w:ascii="Times New Roman" w:hAnsi="Times New Roman"/>
          <w:lang w:val="sq-AL"/>
        </w:rPr>
        <w:t>ë</w:t>
      </w:r>
      <w:r w:rsidR="00282CEB" w:rsidRPr="000065E0">
        <w:rPr>
          <w:rFonts w:ascii="Times New Roman" w:hAnsi="Times New Roman"/>
          <w:lang w:val="sq-AL"/>
        </w:rPr>
        <w:t xml:space="preserve"> </w:t>
      </w:r>
      <w:r w:rsidRPr="000065E0">
        <w:rPr>
          <w:rFonts w:ascii="Times New Roman" w:hAnsi="Times New Roman"/>
          <w:lang w:val="sq-AL"/>
        </w:rPr>
        <w:t xml:space="preserve"> aksidentua</w:t>
      </w:r>
      <w:r w:rsidR="00282CEB" w:rsidRPr="000065E0">
        <w:rPr>
          <w:rFonts w:ascii="Times New Roman" w:hAnsi="Times New Roman"/>
          <w:lang w:val="sq-AL"/>
        </w:rPr>
        <w:t>r</w:t>
      </w:r>
      <w:r w:rsidRPr="000065E0">
        <w:rPr>
          <w:rFonts w:ascii="Times New Roman" w:hAnsi="Times New Roman"/>
          <w:lang w:val="sq-AL"/>
        </w:rPr>
        <w:t xml:space="preserve"> duke humbur jetën i ndjeri Ibrahim Bilo. Ndërsa po mbyllte ditën e punës, humbi ekuilibrin, u mbështet në murin e sapondërtuar që nuk e mbajti dhe, bashkë me murin, ra në dyshemenë e katit të parë.</w:t>
      </w:r>
    </w:p>
    <w:p w14:paraId="46D6BB31" w14:textId="6F28B8EB" w:rsidR="00437547" w:rsidRPr="000065E0" w:rsidRDefault="00437547"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lang w:val="sq-AL"/>
        </w:rPr>
        <w:t xml:space="preserve">Nga këqyrja e vendit të ngjarjes </w:t>
      </w:r>
      <w:r w:rsidR="00282CEB" w:rsidRPr="000065E0">
        <w:rPr>
          <w:rFonts w:ascii="Times New Roman" w:hAnsi="Times New Roman"/>
          <w:lang w:val="sq-AL"/>
        </w:rPr>
        <w:t>ka rezultuar</w:t>
      </w:r>
      <w:r w:rsidRPr="000065E0">
        <w:rPr>
          <w:rFonts w:ascii="Times New Roman" w:hAnsi="Times New Roman"/>
          <w:lang w:val="sq-AL"/>
        </w:rPr>
        <w:t xml:space="preserve"> se kufoma ishte e veshur me jelek fosforeshent, bluzë gri, pantallona blu, atlete blu dhe mbante doreza gri. Në anën lindore pranë kufomës u vunë re tulla dhe mbetje inertesh të rëna nga muri i katit të dytë. Në katin e dytë u panë tulla, disa dërrasa (armaturë) të mbështetura në mure, si dhe një kaskë e verdhë. Kufoma u dërgua në IML për ekzaminime.</w:t>
      </w:r>
    </w:p>
    <w:p w14:paraId="3226D5B3" w14:textId="0E48E170" w:rsidR="00437547" w:rsidRPr="000065E0" w:rsidRDefault="00ED7A1A"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lang w:val="sq-AL"/>
        </w:rPr>
        <w:t>Jan</w:t>
      </w:r>
      <w:r w:rsidR="003F3628" w:rsidRPr="000065E0">
        <w:rPr>
          <w:rFonts w:ascii="Times New Roman" w:hAnsi="Times New Roman"/>
          <w:lang w:val="sq-AL"/>
        </w:rPr>
        <w:t>ë</w:t>
      </w:r>
      <w:r w:rsidR="00437547" w:rsidRPr="000065E0">
        <w:rPr>
          <w:rFonts w:ascii="Times New Roman" w:hAnsi="Times New Roman"/>
          <w:lang w:val="sq-AL"/>
        </w:rPr>
        <w:t xml:space="preserve"> m</w:t>
      </w:r>
      <w:r w:rsidRPr="000065E0">
        <w:rPr>
          <w:rFonts w:ascii="Times New Roman" w:hAnsi="Times New Roman"/>
          <w:lang w:val="sq-AL"/>
        </w:rPr>
        <w:t>arr</w:t>
      </w:r>
      <w:r w:rsidR="003F3628" w:rsidRPr="000065E0">
        <w:rPr>
          <w:rFonts w:ascii="Times New Roman" w:hAnsi="Times New Roman"/>
          <w:lang w:val="sq-AL"/>
        </w:rPr>
        <w:t>ë</w:t>
      </w:r>
      <w:r w:rsidR="00437547" w:rsidRPr="000065E0">
        <w:rPr>
          <w:rFonts w:ascii="Times New Roman" w:hAnsi="Times New Roman"/>
          <w:lang w:val="sq-AL"/>
        </w:rPr>
        <w:t xml:space="preserve"> deklarime nga inxhinieri i ndërtimit Drini Kingji, të cilit drejtuesi teknik i kishte deleguar përkohësisht detyrat/përgjegjësitë. Ai deklaroi se ishte i punësuar prej 5 vitesh te “AIA” sh.p.k. si inxhinier ndërtimi; më </w:t>
      </w:r>
      <w:r w:rsidR="00282CEB" w:rsidRPr="000065E0">
        <w:rPr>
          <w:rFonts w:ascii="Times New Roman" w:hAnsi="Times New Roman"/>
          <w:lang w:val="sq-AL"/>
        </w:rPr>
        <w:t xml:space="preserve">date </w:t>
      </w:r>
      <w:r w:rsidR="00437547" w:rsidRPr="000065E0">
        <w:rPr>
          <w:rFonts w:ascii="Times New Roman" w:hAnsi="Times New Roman"/>
          <w:lang w:val="sq-AL"/>
        </w:rPr>
        <w:t>03.09.2020</w:t>
      </w:r>
      <w:r w:rsidR="00282CEB" w:rsidRPr="000065E0">
        <w:rPr>
          <w:rFonts w:ascii="Times New Roman" w:hAnsi="Times New Roman"/>
          <w:lang w:val="sq-AL"/>
        </w:rPr>
        <w:t>,</w:t>
      </w:r>
      <w:r w:rsidR="00437547" w:rsidRPr="000065E0">
        <w:rPr>
          <w:rFonts w:ascii="Times New Roman" w:hAnsi="Times New Roman"/>
          <w:lang w:val="sq-AL"/>
        </w:rPr>
        <w:t xml:space="preserve"> rreth orës 15:50</w:t>
      </w:r>
      <w:r w:rsidR="00282CEB" w:rsidRPr="000065E0">
        <w:rPr>
          <w:rFonts w:ascii="Times New Roman" w:hAnsi="Times New Roman"/>
          <w:lang w:val="sq-AL"/>
        </w:rPr>
        <w:t>,</w:t>
      </w:r>
      <w:r w:rsidR="00437547" w:rsidRPr="000065E0">
        <w:rPr>
          <w:rFonts w:ascii="Times New Roman" w:hAnsi="Times New Roman"/>
          <w:lang w:val="sq-AL"/>
        </w:rPr>
        <w:t xml:space="preserve"> dëgjoi një zhurmë të fortë dhe gjeti Ibrahim Bilon të rrëzuar poshtë bashkë me një pjesë muri. Ai deklaroi se kishte kryer instruktazhin dhe kishte ndjekur zbatimin e rregullave teknike dhe të pajisjeve mbrojtëse individuale; punëtorët kishin nënshkruar librin e instruktazhit dhe ishin të siguruar, gjë që vërtetohej nga listë</w:t>
      </w:r>
      <w:r w:rsidR="00437547" w:rsidRPr="000065E0">
        <w:rPr>
          <w:rFonts w:ascii="Times New Roman" w:hAnsi="Times New Roman"/>
          <w:lang w:val="sq-AL"/>
        </w:rPr>
        <w:noBreakHyphen/>
        <w:t>pagesat (të administruara si prova bashkë me librin e instruktazhit).</w:t>
      </w:r>
    </w:p>
    <w:p w14:paraId="65408136" w14:textId="73120D9E" w:rsidR="00437547" w:rsidRPr="000065E0" w:rsidRDefault="00ED7A1A"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lang w:val="sq-AL"/>
        </w:rPr>
        <w:t>Jan</w:t>
      </w:r>
      <w:r w:rsidR="003F3628" w:rsidRPr="000065E0">
        <w:rPr>
          <w:rFonts w:ascii="Times New Roman" w:hAnsi="Times New Roman"/>
          <w:lang w:val="sq-AL"/>
        </w:rPr>
        <w:t>ë</w:t>
      </w:r>
      <w:r w:rsidRPr="000065E0">
        <w:rPr>
          <w:rFonts w:ascii="Times New Roman" w:hAnsi="Times New Roman"/>
          <w:lang w:val="sq-AL"/>
        </w:rPr>
        <w:t xml:space="preserve"> marr</w:t>
      </w:r>
      <w:r w:rsidR="003F3628" w:rsidRPr="000065E0">
        <w:rPr>
          <w:rFonts w:ascii="Times New Roman" w:hAnsi="Times New Roman"/>
          <w:lang w:val="sq-AL"/>
        </w:rPr>
        <w:t>ë</w:t>
      </w:r>
      <w:r w:rsidRPr="000065E0">
        <w:rPr>
          <w:rFonts w:ascii="Times New Roman" w:hAnsi="Times New Roman"/>
          <w:lang w:val="sq-AL"/>
        </w:rPr>
        <w:t xml:space="preserve"> </w:t>
      </w:r>
      <w:r w:rsidR="00437547" w:rsidRPr="000065E0">
        <w:rPr>
          <w:rFonts w:ascii="Times New Roman" w:hAnsi="Times New Roman"/>
          <w:lang w:val="sq-AL"/>
        </w:rPr>
        <w:t>deklarime nga administratori dhe drejtuesi teknik Ardian Lloshi, i cili deklaroi se shoqërinë “AIA” e drejtonte prej 13 vitesh pa probleme me punëtorët; me punëtorët ishin lidhur kontrata pune dhe sigurime shoqërore/shëndetësore; instruktazhi për rregullat e sigurimit teknik bëhej dhe nënshkruhej para fillimit të punës. Ai deklaroi se rreth orës 16:00 ishte telefonuar nga Drini Kingji, i cili e njoftoi se Ibrahim Bilo kishte rënë nga kati i dytë dhe kishte gjetur vdekjen e menjëhershme; ai u paraqit pranë policisë. Ditën e ngjarjes ishte jashtë Tiranës me pushime dhe detyrat ia kishte deleguar Drini Kingjit. Sipas njoftimit që Kingji kishte marrë nga një punëtor, Ibrahim Bilo nuk ishte ndier mirë dhe kishte pasur probleme shëndetësore edhe një ditë më parë, dhe mendohej se në momentin e rrëzimit kishte patur marrje mendsh.</w:t>
      </w:r>
    </w:p>
    <w:p w14:paraId="7A41BBB5" w14:textId="260056C2" w:rsidR="00437547" w:rsidRPr="000065E0" w:rsidRDefault="00ED7A1A"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lang w:val="sq-AL"/>
        </w:rPr>
        <w:t>Ësht</w:t>
      </w:r>
      <w:r w:rsidR="003F3628" w:rsidRPr="000065E0">
        <w:rPr>
          <w:rFonts w:ascii="Times New Roman" w:hAnsi="Times New Roman"/>
          <w:lang w:val="sq-AL"/>
        </w:rPr>
        <w:t>ë</w:t>
      </w:r>
      <w:r w:rsidRPr="000065E0">
        <w:rPr>
          <w:rFonts w:ascii="Times New Roman" w:hAnsi="Times New Roman"/>
          <w:lang w:val="sq-AL"/>
        </w:rPr>
        <w:t xml:space="preserve"> pyetur</w:t>
      </w:r>
      <w:r w:rsidR="00437547" w:rsidRPr="000065E0">
        <w:rPr>
          <w:rFonts w:ascii="Times New Roman" w:hAnsi="Times New Roman"/>
          <w:lang w:val="sq-AL"/>
        </w:rPr>
        <w:t xml:space="preserve"> Arjan Kordhoni (teknik ndërtimi te “AIA” sh.p.k.), i cili deklaroi se punonte te kompleksi “Zirkon” pranë spitalit nr. 5 Tiranë; rreth orës 15:45 e telefonoi Drini Kingji duke e njoftuar se “Ibrahim Dilo” kishte rënë nga kati i dytë, ishte në gjendje të rëndë dhe ishte njoftuar ambulanca. Kordhoni shkoi në vendngjarje dhe e pa Ibrahim Bilon të rënë mbi tulla, me punëtorët pranë në pritje të ambulancës; kishte lidhje fisnore me viktimën (djalë daje). Ai deklaroi se viktima punonte në katin e dytë duke bërë breza betoni rreth 2.5 m; kushtet e punës ishin të rregullta dhe kontrollet </w:t>
      </w:r>
      <w:r w:rsidR="00BA1E6D" w:rsidRPr="000065E0">
        <w:rPr>
          <w:rFonts w:ascii="Times New Roman" w:hAnsi="Times New Roman"/>
          <w:lang w:val="sq-AL"/>
        </w:rPr>
        <w:t>periodike nga IMT dhe Inspektor</w:t>
      </w:r>
      <w:r w:rsidR="00437547" w:rsidRPr="000065E0">
        <w:rPr>
          <w:rFonts w:ascii="Times New Roman" w:hAnsi="Times New Roman"/>
          <w:lang w:val="sq-AL"/>
        </w:rPr>
        <w:t>ati i Punës kishin rezultuar me plotësim kushtesh. Sipas mendimit të tij, viktima pati marrje mendsh, u mbështet në mur të sapo</w:t>
      </w:r>
      <w:r w:rsidR="00BA1E6D" w:rsidRPr="000065E0">
        <w:rPr>
          <w:rFonts w:ascii="Times New Roman" w:hAnsi="Times New Roman"/>
          <w:lang w:val="sq-AL"/>
        </w:rPr>
        <w:t xml:space="preserve"> </w:t>
      </w:r>
      <w:r w:rsidR="00437547" w:rsidRPr="000065E0">
        <w:rPr>
          <w:rFonts w:ascii="Times New Roman" w:hAnsi="Times New Roman"/>
          <w:lang w:val="sq-AL"/>
        </w:rPr>
        <w:t>bërë (të freskët) që nuk e mbajti dhe ra bashkë me tullat në katin poshtë; në dijeninë e tij viktima nuk vuante nga sëmundje, nuk konsumonte alkool dhe ishte korrekt në punë.</w:t>
      </w:r>
    </w:p>
    <w:p w14:paraId="13CF330D" w14:textId="40C158A6" w:rsidR="00437547" w:rsidRPr="000065E0" w:rsidRDefault="00ED7A1A"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lang w:val="sq-AL"/>
        </w:rPr>
        <w:t>Jan</w:t>
      </w:r>
      <w:r w:rsidR="003F3628" w:rsidRPr="000065E0">
        <w:rPr>
          <w:rFonts w:ascii="Times New Roman" w:hAnsi="Times New Roman"/>
          <w:lang w:val="sq-AL"/>
        </w:rPr>
        <w:t>ë</w:t>
      </w:r>
      <w:r w:rsidRPr="000065E0">
        <w:rPr>
          <w:rFonts w:ascii="Times New Roman" w:hAnsi="Times New Roman"/>
          <w:lang w:val="sq-AL"/>
        </w:rPr>
        <w:t xml:space="preserve"> marr</w:t>
      </w:r>
      <w:r w:rsidR="003F3628" w:rsidRPr="000065E0">
        <w:rPr>
          <w:rFonts w:ascii="Times New Roman" w:hAnsi="Times New Roman"/>
          <w:lang w:val="sq-AL"/>
        </w:rPr>
        <w:t>ë</w:t>
      </w:r>
      <w:r w:rsidRPr="000065E0">
        <w:rPr>
          <w:rFonts w:ascii="Times New Roman" w:hAnsi="Times New Roman"/>
          <w:lang w:val="sq-AL"/>
        </w:rPr>
        <w:t xml:space="preserve"> </w:t>
      </w:r>
      <w:r w:rsidR="00437547" w:rsidRPr="000065E0">
        <w:rPr>
          <w:rFonts w:ascii="Times New Roman" w:hAnsi="Times New Roman"/>
          <w:lang w:val="sq-AL"/>
        </w:rPr>
        <w:t>deklarime nga punëtori Shkëlqim Saliu, i cili deklaroi se ditën e ngjarjes ishte në punë; rreth orës 13:00 hëngri drekë pasi mbaruan punë te hyrja 1, kishin çuar materialet në katin e dytë të pallatit nr. 2 dhe ngritën skelën brenda objektit për të bërë armaturën e murit. Ai u ngjit i pari në skelë, më pas u ngjit Ibrahim Bilo (viktima); pas disa minutash Ibrahim Bilo pati humbje ekuilibri, u mënjanua nga krahu i murit, ra mbi mur dhe ranë shkallët/skela e muri; muri ishte “i njomë, i sapobërë”. Saliu zbriti me shpejtësi dhe pa kolegun që e mbante viktimën nga koka, i mbuluar me gjak. Ai deklaroi se kushtet e punës ishin të rregullta dhe kontrolloheshin çdo ditë; në momentin e rënies Ibrahimi kishte kokore (sipas tij nuk i hiqte asnjëherë), jelek dhe mjetet e nevojshme; instruktazhi bëhej nga inxhinieri para fillimit të punës.</w:t>
      </w:r>
    </w:p>
    <w:p w14:paraId="27712B70" w14:textId="66DD2446" w:rsidR="00437547" w:rsidRPr="000065E0" w:rsidRDefault="00ED7A1A"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lang w:val="sq-AL"/>
        </w:rPr>
        <w:t>Ësht</w:t>
      </w:r>
      <w:r w:rsidR="003F3628" w:rsidRPr="000065E0">
        <w:rPr>
          <w:rFonts w:ascii="Times New Roman" w:hAnsi="Times New Roman"/>
          <w:lang w:val="sq-AL"/>
        </w:rPr>
        <w:t>ë</w:t>
      </w:r>
      <w:r w:rsidRPr="000065E0">
        <w:rPr>
          <w:rFonts w:ascii="Times New Roman" w:hAnsi="Times New Roman"/>
          <w:lang w:val="sq-AL"/>
        </w:rPr>
        <w:t xml:space="preserve"> kryer</w:t>
      </w:r>
      <w:r w:rsidR="00437547" w:rsidRPr="000065E0">
        <w:rPr>
          <w:rFonts w:ascii="Times New Roman" w:hAnsi="Times New Roman"/>
          <w:lang w:val="sq-AL"/>
        </w:rPr>
        <w:t xml:space="preserve"> këqyrja e kufomës dhe </w:t>
      </w:r>
      <w:r w:rsidR="003F3628" w:rsidRPr="000065E0">
        <w:rPr>
          <w:rFonts w:ascii="Times New Roman" w:hAnsi="Times New Roman"/>
          <w:lang w:val="sq-AL"/>
        </w:rPr>
        <w:t>ë</w:t>
      </w:r>
      <w:r w:rsidRPr="000065E0">
        <w:rPr>
          <w:rFonts w:ascii="Times New Roman" w:hAnsi="Times New Roman"/>
          <w:lang w:val="sq-AL"/>
        </w:rPr>
        <w:t>sht</w:t>
      </w:r>
      <w:r w:rsidR="003F3628" w:rsidRPr="000065E0">
        <w:rPr>
          <w:rFonts w:ascii="Times New Roman" w:hAnsi="Times New Roman"/>
          <w:lang w:val="sq-AL"/>
        </w:rPr>
        <w:t>ë</w:t>
      </w:r>
      <w:r w:rsidR="00437547" w:rsidRPr="000065E0">
        <w:rPr>
          <w:rFonts w:ascii="Times New Roman" w:hAnsi="Times New Roman"/>
          <w:lang w:val="sq-AL"/>
        </w:rPr>
        <w:t xml:space="preserve"> vendos</w:t>
      </w:r>
      <w:r w:rsidRPr="000065E0">
        <w:rPr>
          <w:rFonts w:ascii="Times New Roman" w:hAnsi="Times New Roman"/>
          <w:lang w:val="sq-AL"/>
        </w:rPr>
        <w:t>ur kryerja e</w:t>
      </w:r>
      <w:r w:rsidR="00437547" w:rsidRPr="000065E0">
        <w:rPr>
          <w:rFonts w:ascii="Times New Roman" w:hAnsi="Times New Roman"/>
          <w:lang w:val="sq-AL"/>
        </w:rPr>
        <w:t xml:space="preserve"> ekspertim</w:t>
      </w:r>
      <w:r w:rsidRPr="000065E0">
        <w:rPr>
          <w:rFonts w:ascii="Times New Roman" w:hAnsi="Times New Roman"/>
          <w:lang w:val="sq-AL"/>
        </w:rPr>
        <w:t>it</w:t>
      </w:r>
      <w:r w:rsidR="00437547" w:rsidRPr="000065E0">
        <w:rPr>
          <w:rFonts w:ascii="Times New Roman" w:hAnsi="Times New Roman"/>
          <w:lang w:val="sq-AL"/>
        </w:rPr>
        <w:t xml:space="preserve"> mjeko</w:t>
      </w:r>
      <w:r w:rsidR="00437547" w:rsidRPr="000065E0">
        <w:rPr>
          <w:rFonts w:ascii="Times New Roman" w:hAnsi="Times New Roman"/>
          <w:lang w:val="sq-AL"/>
        </w:rPr>
        <w:noBreakHyphen/>
        <w:t>ligjor. Sipas aktit të ekspertimit mjeko</w:t>
      </w:r>
      <w:r w:rsidR="00437547" w:rsidRPr="000065E0">
        <w:rPr>
          <w:rFonts w:ascii="Times New Roman" w:hAnsi="Times New Roman"/>
          <w:lang w:val="sq-AL"/>
        </w:rPr>
        <w:noBreakHyphen/>
        <w:t>ligjor nr. 466, datë 03.12.2020, u konkludua: (1) thyerje e kockave të fytyrës, të kapakut dhe bazës së kafkës, hemoragji poshtë cipës së fortë dhe të butë të trurit, shembje masive e indit trunor në regjionin fronto</w:t>
      </w:r>
      <w:r w:rsidR="00437547" w:rsidRPr="000065E0">
        <w:rPr>
          <w:rFonts w:ascii="Times New Roman" w:hAnsi="Times New Roman"/>
          <w:lang w:val="sq-AL"/>
        </w:rPr>
        <w:noBreakHyphen/>
        <w:t xml:space="preserve">parital të dyanshëm; (2) dëmtime të </w:t>
      </w:r>
      <w:r w:rsidR="00437547" w:rsidRPr="000065E0">
        <w:rPr>
          <w:rFonts w:ascii="Times New Roman" w:hAnsi="Times New Roman"/>
          <w:lang w:val="sq-AL"/>
        </w:rPr>
        <w:lastRenderedPageBreak/>
        <w:t>shkaktuara me mjet të fortë mbretës, karakteristikë edhe për rëniet nga lartësia; vdekja ka ardhur nga kontuzioni hemoragjik i trurit.</w:t>
      </w:r>
    </w:p>
    <w:p w14:paraId="713423D7" w14:textId="140375EF" w:rsidR="00437547" w:rsidRPr="000065E0" w:rsidRDefault="00437547"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lang w:val="sq-AL"/>
        </w:rPr>
        <w:t>Sipas aktit të ekspertimit teknik nr. 292, datë 23.11.2020, nga ana e punëdhënësit “AIA” sh.p.k.</w:t>
      </w:r>
      <w:r w:rsidR="00ED7A1A" w:rsidRPr="000065E0">
        <w:rPr>
          <w:rFonts w:ascii="Times New Roman" w:hAnsi="Times New Roman"/>
          <w:lang w:val="sq-AL"/>
        </w:rPr>
        <w:t>,</w:t>
      </w:r>
      <w:r w:rsidRPr="000065E0">
        <w:rPr>
          <w:rFonts w:ascii="Times New Roman" w:hAnsi="Times New Roman"/>
          <w:lang w:val="sq-AL"/>
        </w:rPr>
        <w:t xml:space="preserve"> nuk u konstatuan shkelje të rregullave të sigurisë teknike në punë, ndërsa nga ana e punëmarrësit Ibrahim Bilo u konstatuan shkelje: nuk tregoi kujdesin e duhur, nuk montoi skelën sipas kushteve teknike, e mbështeti skelën në struktura të papërfunduara (mur i papërfunduar, i palidhur me brez betoni), nuk e kontrolloi përshtatshmërinë e skelës, nuk e ankoroi në pikë të qëndrueshme, humbi ekuilibrin duke u mbajtur në strukturë të papërfunduar (mur tulle i palidhur me brez betoni) dhe nuk përdori pajisje mbrojtëse individuale, konkretisht rripin e sigurimit për punët në lartësi (i vënë në dispozicion dhe për të cilin ishte informuar/instruktuar). U konkludua pakujdesi në punë në kundërshtim me nenin 24, pika 1, të ligjit nr. 7961, datë 12.07.1995 “Kodi i Punës i Republikës së Shqipërisë”, i ndryshuar (Punëmarrësi kryen me kujdes punën që i ngarkohet).</w:t>
      </w:r>
    </w:p>
    <w:p w14:paraId="51C6E948" w14:textId="385BDF61" w:rsidR="00437547" w:rsidRPr="000065E0" w:rsidRDefault="00437547"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lang w:val="sq-AL"/>
        </w:rPr>
        <w:t xml:space="preserve">Në përfundim të hetimit, Prokuroria pranë Gjykatës së Rrethit Gjyqësor Tiranë më </w:t>
      </w:r>
      <w:r w:rsidR="00282CEB" w:rsidRPr="000065E0">
        <w:rPr>
          <w:rFonts w:ascii="Times New Roman" w:hAnsi="Times New Roman"/>
          <w:lang w:val="sq-AL"/>
        </w:rPr>
        <w:t xml:space="preserve">date </w:t>
      </w:r>
      <w:r w:rsidRPr="000065E0">
        <w:rPr>
          <w:rFonts w:ascii="Times New Roman" w:hAnsi="Times New Roman"/>
          <w:lang w:val="sq-AL"/>
        </w:rPr>
        <w:t>19.01.2021</w:t>
      </w:r>
      <w:r w:rsidR="00282CEB" w:rsidRPr="000065E0">
        <w:rPr>
          <w:rFonts w:ascii="Times New Roman" w:hAnsi="Times New Roman"/>
          <w:lang w:val="sq-AL"/>
        </w:rPr>
        <w:t>,</w:t>
      </w:r>
      <w:r w:rsidRPr="000065E0">
        <w:rPr>
          <w:rFonts w:ascii="Times New Roman" w:hAnsi="Times New Roman"/>
          <w:lang w:val="sq-AL"/>
        </w:rPr>
        <w:t xml:space="preserve"> paraqiti kërkesë për pushimin e procedimit penal nr. 5572/2020, t</w:t>
      </w:r>
      <w:r w:rsidR="00E154F7" w:rsidRPr="000065E0">
        <w:rPr>
          <w:rFonts w:ascii="Times New Roman" w:hAnsi="Times New Roman"/>
          <w:lang w:val="sq-AL"/>
        </w:rPr>
        <w:t>ë</w:t>
      </w:r>
      <w:r w:rsidRPr="000065E0">
        <w:rPr>
          <w:rFonts w:ascii="Times New Roman" w:hAnsi="Times New Roman"/>
          <w:lang w:val="sq-AL"/>
        </w:rPr>
        <w:t xml:space="preserve"> regjistruar për veprën penale të parashikuar n</w:t>
      </w:r>
      <w:r w:rsidR="00E154F7" w:rsidRPr="000065E0">
        <w:rPr>
          <w:rFonts w:ascii="Times New Roman" w:hAnsi="Times New Roman"/>
          <w:lang w:val="sq-AL"/>
        </w:rPr>
        <w:t>ë</w:t>
      </w:r>
      <w:r w:rsidRPr="000065E0">
        <w:rPr>
          <w:rFonts w:ascii="Times New Roman" w:hAnsi="Times New Roman"/>
          <w:lang w:val="sq-AL"/>
        </w:rPr>
        <w:t xml:space="preserve"> nenin 289 t</w:t>
      </w:r>
      <w:r w:rsidR="00E154F7" w:rsidRPr="000065E0">
        <w:rPr>
          <w:rFonts w:ascii="Times New Roman" w:hAnsi="Times New Roman"/>
          <w:lang w:val="sq-AL"/>
        </w:rPr>
        <w:t>ë</w:t>
      </w:r>
      <w:r w:rsidRPr="000065E0">
        <w:rPr>
          <w:rFonts w:ascii="Times New Roman" w:hAnsi="Times New Roman"/>
          <w:lang w:val="sq-AL"/>
        </w:rPr>
        <w:t xml:space="preserve"> Kodit Penal, me arsyetimin se pasoja kishte ardhur si rezultat i mosrespektimit të rregullave të sigurimit në punë nga vetë viktima; për rrjedhojë hetimet duhej të pushoheshin pasi fakti nuk parashikohet nga ligji si vepër penale.</w:t>
      </w:r>
    </w:p>
    <w:p w14:paraId="704AB1F9" w14:textId="30C5BD7E" w:rsidR="00437547" w:rsidRPr="000065E0" w:rsidRDefault="00437547"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b/>
          <w:bCs/>
          <w:lang w:val="sq-AL" w:bidi="ar-SA"/>
        </w:rPr>
        <w:t>Gjykata e Rrethit Gjyqësor Tiranë</w:t>
      </w:r>
      <w:r w:rsidRPr="000065E0">
        <w:rPr>
          <w:rFonts w:ascii="Times New Roman" w:hAnsi="Times New Roman"/>
          <w:lang w:val="sq-AL" w:bidi="ar-SA"/>
        </w:rPr>
        <w:t xml:space="preserve">, me vendimin nr. 489 akti, datë 23.03.2021, ka vendosur: </w:t>
      </w:r>
      <w:r w:rsidRPr="000065E0">
        <w:rPr>
          <w:rFonts w:ascii="Times New Roman" w:hAnsi="Times New Roman"/>
          <w:i/>
          <w:iCs/>
          <w:lang w:val="sq-AL"/>
        </w:rPr>
        <w:t>“Pranimin e kërkesës. Pushimin e çështjes lidhur me procedimin penal nr. 5572/2020 të Prokurorisë pranë Gjykatës së Rrethit Gjyqësor</w:t>
      </w:r>
      <w:r w:rsidR="00BA1E6D" w:rsidRPr="000065E0">
        <w:rPr>
          <w:rFonts w:ascii="Times New Roman" w:hAnsi="Times New Roman"/>
          <w:i/>
          <w:iCs/>
          <w:lang w:val="sq-AL"/>
        </w:rPr>
        <w:t xml:space="preserve"> </w:t>
      </w:r>
      <w:r w:rsidRPr="000065E0">
        <w:rPr>
          <w:rFonts w:ascii="Times New Roman" w:hAnsi="Times New Roman"/>
          <w:i/>
          <w:iCs/>
          <w:lang w:val="sq-AL"/>
        </w:rPr>
        <w:t>Tiranë, për veprën penale “Shkelje e rregullave të mbrojtjes në punë” të parashikuar nga neni 289/2 i Kodit Penal, në ngarkim të shtetasit Drini Kingji. Në zbatim të nenit 389/1 të K.Pr.Penale, Gjykata urdhëron heqjen e masës së sigurimit personal “Detyrim për tu paraqitur në policinë gjyqësore” parashikuar nga neni 234 i K.Pr.Penale, caktuar me vendim të formës së prerë për llogari të këtij procedimi penal (...).”</w:t>
      </w:r>
    </w:p>
    <w:p w14:paraId="446EC974" w14:textId="04FC404D" w:rsidR="00437547" w:rsidRPr="000065E0" w:rsidRDefault="00437547"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lang w:val="sq-AL" w:bidi="ar-SA"/>
        </w:rPr>
        <w:t>Gjykata</w:t>
      </w:r>
      <w:r w:rsidRPr="000065E0">
        <w:rPr>
          <w:rFonts w:ascii="Times New Roman" w:hAnsi="Times New Roman"/>
          <w:lang w:val="sq-AL"/>
        </w:rPr>
        <w:t xml:space="preserve">, ndër të tjera, ka arsyetuar se: </w:t>
      </w:r>
      <w:r w:rsidRPr="000065E0">
        <w:rPr>
          <w:rFonts w:ascii="Times New Roman" w:hAnsi="Times New Roman"/>
          <w:lang w:val="sq-AL" w:bidi="ar-SA"/>
        </w:rPr>
        <w:t>“...Ekspertët e ngarkuar me aktin e ekspertimit rezultojnë të jenë të regjistruar në listën e miratuar dhe të shpallur e të regjistruar pranë Ministrisë së Drejtësisë si dhe në listat e ekspertëve pranë Gjykatës dhe Prokurorisë së Rrethit Gjyqësor Tiranë, lidhur me ekspertët e licen</w:t>
      </w:r>
      <w:r w:rsidR="00BA1E6D" w:rsidRPr="000065E0">
        <w:rPr>
          <w:rFonts w:ascii="Times New Roman" w:hAnsi="Times New Roman"/>
          <w:lang w:val="sq-AL" w:bidi="ar-SA"/>
        </w:rPr>
        <w:t>c</w:t>
      </w:r>
      <w:r w:rsidRPr="000065E0">
        <w:rPr>
          <w:rFonts w:ascii="Times New Roman" w:hAnsi="Times New Roman"/>
          <w:lang w:val="sq-AL" w:bidi="ar-SA"/>
        </w:rPr>
        <w:t>uar në fushën e inxhinierisë së ndërtimit. Nuk provohet dhe nuk rezulton të ketë një listë të miratuar nga Ministria e Drejtësisë me ekspertë të licencuar për “Rregullat e kushteve teknike të punës”. Eksperti A. H., i pajisur me licencën nr. 6891/1, të lëshuar nga Ministria e Infrastrukturës dhe Energjisë, i diplomuar si inxhinier ndërtimi, rezulton të ushtrojë cilësinë e drejtuesit teknik dhe drejtuesit ligjorë, pranë shoqërisë "Forensic Engineering Albania". Eksperti S. S., i pajisur me licencën K.1753/1, të lëshuar nga Ministria e Infrastrukturës dhe Energjisë, i diplomuar inxhinier ndërtimi. Këta të dy ekspertë, të cilët në rastin konkret kanë kryer aktin e ekspertimit teknik, së pari janë ekspertë të licen</w:t>
      </w:r>
      <w:r w:rsidR="00BA1E6D" w:rsidRPr="000065E0">
        <w:rPr>
          <w:rFonts w:ascii="Times New Roman" w:hAnsi="Times New Roman"/>
          <w:lang w:val="sq-AL" w:bidi="ar-SA"/>
        </w:rPr>
        <w:t>c</w:t>
      </w:r>
      <w:r w:rsidRPr="000065E0">
        <w:rPr>
          <w:rFonts w:ascii="Times New Roman" w:hAnsi="Times New Roman"/>
          <w:lang w:val="sq-AL" w:bidi="ar-SA"/>
        </w:rPr>
        <w:t xml:space="preserve">uar në fushën e inxhinierisë së ndërtimit, janë me arsim të lartë, të diplomuar si inxhinier ndërtimi, si dhe rezulton të kenë eksperiencë në kryerjen e ekspertimeve të tjera të ngjashme apo të njëjta, në të cilat janë caktuar me po këtë cilësi procedurale, në procese të tjera gjyqësore. Për caktimin e tyre si ekspertë, prokurori në respektim të nenit 179/2 të K.Pr. Penale, ka njoftuar personin nën hetim dhe mbrojtësin, të cilët nuk rezulton të kenë pasur pretendime. (…) Nisur nga sa më sipër, Gjykata çmon se hetimet dhe të gjitha veprimet procedurale dhe verifikuese të mundshme, të nevojshme, bazuar në faktin dhe në rrethanat konkrete të evidentuara, janë kryer dhe ezauruar nga ana e prokurorit. Sa më sipër, nuk provohet që nga ana e personit nën hetim apo nga ana e personave të tjerë kompetentë/përgjegjës lidhur me drejtimin teknik në këtë objekt në ndërtim, të jenë shkelur rregullat e mbrojtjes në punë, nga shkelja e të cilave të ketë ardhur pasoja kriminale-neni 289/2 i K. Penal. Prokurori në rastin konkret, ka kryer një hetim të plotë, shterues, konform të gjitha normave procedurale penale. Kështu, gjykata arrin në konkluzionin përfundimtar, se bazuar në faktin konkret, nuk ndodhemi përpara ekzistencës së </w:t>
      </w:r>
      <w:r w:rsidRPr="000065E0">
        <w:rPr>
          <w:rFonts w:ascii="Times New Roman" w:hAnsi="Times New Roman"/>
          <w:lang w:val="sq-AL" w:bidi="ar-SA"/>
        </w:rPr>
        <w:lastRenderedPageBreak/>
        <w:t>veprës penale “Shkelja e rregullave të mbrojtjes në punë” të parashikuar nga neni 289/2 i K.Penal. Rrjedhimisht, kërkesa e paraqitur nga organi i akuzës është e drejtë, e bazuar në prova dhe në ligj, dhe si e tillë ajo duhet të pranohet nga kjo Gjykatë”.</w:t>
      </w:r>
    </w:p>
    <w:p w14:paraId="32563319" w14:textId="77777777" w:rsidR="00437547" w:rsidRPr="000065E0" w:rsidRDefault="00437547"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shd w:val="clear" w:color="auto" w:fill="FFFFFF"/>
          <w:lang w:val="sq-AL" w:bidi="ar-SA"/>
        </w:rPr>
        <w:t xml:space="preserve">Kundër këtij vendimi </w:t>
      </w:r>
      <w:r w:rsidRPr="000065E0">
        <w:rPr>
          <w:rFonts w:ascii="Times New Roman" w:hAnsi="Times New Roman"/>
          <w:b/>
          <w:bCs/>
          <w:shd w:val="clear" w:color="auto" w:fill="FFFFFF"/>
          <w:lang w:val="sq-AL" w:bidi="ar-SA"/>
        </w:rPr>
        <w:t xml:space="preserve">kanë paraqitur ankim trashëgimtarët e viktimës Ibrahim Bilo, </w:t>
      </w:r>
      <w:r w:rsidRPr="000065E0">
        <w:rPr>
          <w:rFonts w:ascii="Times New Roman" w:hAnsi="Times New Roman"/>
          <w:shd w:val="clear" w:color="auto" w:fill="FFFFFF"/>
          <w:lang w:val="sq-AL" w:bidi="ar-SA"/>
        </w:rPr>
        <w:t xml:space="preserve">shtetasit Haxhire Bilo, Edlira Bilo, Fabjola Bilo e Lorena Bilo, me të cilin kanë kërkuar ndryshimin e vendimit dhe urdhërimin e prokurorisë për vazhdimin e hetimin e kësaj çështje. </w:t>
      </w:r>
    </w:p>
    <w:p w14:paraId="2F320A4A" w14:textId="77777777" w:rsidR="00437547" w:rsidRPr="000065E0" w:rsidRDefault="00437547" w:rsidP="003E1B7E">
      <w:pPr>
        <w:pStyle w:val="ListParagraph"/>
        <w:numPr>
          <w:ilvl w:val="0"/>
          <w:numId w:val="3"/>
        </w:numPr>
        <w:ind w:left="0" w:firstLine="360"/>
        <w:contextualSpacing w:val="0"/>
        <w:jc w:val="both"/>
        <w:rPr>
          <w:rFonts w:ascii="Times New Roman" w:hAnsi="Times New Roman"/>
          <w:kern w:val="2"/>
          <w:lang w:val="sq-AL"/>
          <w14:ligatures w14:val="standardContextual"/>
        </w:rPr>
      </w:pPr>
      <w:r w:rsidRPr="000065E0">
        <w:rPr>
          <w:rFonts w:ascii="Times New Roman" w:hAnsi="Times New Roman"/>
          <w:b/>
          <w:bCs/>
          <w:shd w:val="clear" w:color="auto" w:fill="FFFFFF"/>
          <w:lang w:val="sq-AL" w:bidi="ar-SA"/>
        </w:rPr>
        <w:t>Gjykata e Apelit të Juridiksionit të Përgjithshëm</w:t>
      </w:r>
      <w:r w:rsidRPr="000065E0">
        <w:rPr>
          <w:rFonts w:ascii="Times New Roman" w:hAnsi="Times New Roman"/>
          <w:shd w:val="clear" w:color="auto" w:fill="FFFFFF"/>
          <w:lang w:val="sq-AL" w:bidi="ar-SA"/>
        </w:rPr>
        <w:t xml:space="preserve">, me vendimin nr. 152 (30-2025-523), datë 29.01.2025, ka vendosur: </w:t>
      </w:r>
      <w:r w:rsidRPr="000065E0">
        <w:rPr>
          <w:rFonts w:ascii="Times New Roman" w:hAnsi="Times New Roman"/>
          <w:i/>
          <w:iCs/>
          <w:shd w:val="clear" w:color="auto" w:fill="FFFFFF"/>
          <w:lang w:val="sq-AL" w:bidi="ar-SA"/>
        </w:rPr>
        <w:t>“Lënien në fuqi të vendimit penal Nr.489 akti, datë 23.03.2021 të Gjykatës së Rrethit Gjyqësor Tirane.”</w:t>
      </w:r>
    </w:p>
    <w:p w14:paraId="644DFFDF" w14:textId="23B062A9" w:rsidR="00437547" w:rsidRPr="000065E0" w:rsidRDefault="00437547" w:rsidP="003E1B7E">
      <w:pPr>
        <w:pStyle w:val="ListParagraph"/>
        <w:numPr>
          <w:ilvl w:val="0"/>
          <w:numId w:val="3"/>
        </w:numPr>
        <w:ind w:left="0" w:firstLine="360"/>
        <w:contextualSpacing w:val="0"/>
        <w:jc w:val="both"/>
        <w:rPr>
          <w:rFonts w:ascii="Times New Roman" w:hAnsi="Times New Roman"/>
          <w:lang w:val="sq-AL"/>
        </w:rPr>
      </w:pPr>
      <w:r w:rsidRPr="000065E0">
        <w:rPr>
          <w:rFonts w:ascii="Times New Roman" w:hAnsi="Times New Roman"/>
          <w:shd w:val="clear" w:color="auto" w:fill="FFFFFF"/>
          <w:lang w:val="sq-AL" w:bidi="ar-SA"/>
        </w:rPr>
        <w:t>Gjykata e Apelit, ndër të tjera ka arsyetuar se:</w:t>
      </w:r>
      <w:r w:rsidRPr="000065E0">
        <w:rPr>
          <w:rFonts w:ascii="Times New Roman" w:hAnsi="Times New Roman"/>
          <w:lang w:val="sq-AL"/>
        </w:rPr>
        <w:t xml:space="preserve"> “</w:t>
      </w:r>
      <w:r w:rsidRPr="000065E0">
        <w:rPr>
          <w:rFonts w:ascii="Times New Roman" w:hAnsi="Times New Roman"/>
          <w:lang w:val="sq-AL" w:bidi="ar-SA"/>
        </w:rPr>
        <w:t>(…) Në lidhje me pretendimin se nuk është administruar si provë gjatë hetimit kontrata individuale e punës së lidhur mes punëmarrësit, të ndjerit Ibrahim Bilo e punëdhënësit AIA sh.p.k, Gjykata e Apelit çmon se, edhe nëse do aministrohej si provë ky dokument nuk do të ndryshonte rrjedhën e hetimeve dhe as rezultatin përfundimtar të arritur prej tyre. (...) Nëse i ndjeri Ibrahim Bilo, sikurse pretendohet nga trashëgimtarët e tij ishte emëruar në pozicionin “magazinier” dhe jo “punëtor ndërtimi”, atëherë ai nuk duhet të pranonte të punonte si punëtor ndërtimi pasi ky fakt do përbënte shkelje të kontratës së punës. Në ankim nuk paraqitet asnjë shpjegim se përse i ndjeri ka pranuar të punojë si punëtor ndërtimi, kur në fakt sipas kontratës së punës ishte punësuar si magazinier. Nëse i ndjeri ka pranuar të punojë si punëtor në kundërshtim me kontratën individuale të punës, atëherë përgjegjësia bie mbi vet</w:t>
      </w:r>
      <w:r w:rsidR="00E154F7" w:rsidRPr="000065E0">
        <w:rPr>
          <w:rFonts w:ascii="Times New Roman" w:hAnsi="Times New Roman"/>
          <w:lang w:val="sq-AL" w:bidi="ar-SA"/>
        </w:rPr>
        <w:t>ë</w:t>
      </w:r>
      <w:r w:rsidRPr="000065E0">
        <w:rPr>
          <w:rFonts w:ascii="Times New Roman" w:hAnsi="Times New Roman"/>
          <w:lang w:val="sq-AL" w:bidi="ar-SA"/>
        </w:rPr>
        <w:t xml:space="preserve"> atë që e ka pranuar një ndryshim të tillë të pozicionit të punës. Si rezultat, Gjykata e Apelit çmon se administrimi i kontratës individuale të punës nëse në fakt do ekzistonte një e tillë, pasi nuk është provuar gjatë hetimit se ka patur një akt të tillë me shkrim midis palëve, marrja e këtij akti nuk do të ndryshonte rezultatet e hetimit, pasi nuk do të ndryshonte shkaqet për të cilat ndodhi rënia nga lartësia e të ndjerit Ibrahim Bilo e cila lidhet me respektimin e rregullave të sigurimit teknik në punë.</w:t>
      </w:r>
    </w:p>
    <w:p w14:paraId="5B1A293D" w14:textId="3AFEEF41" w:rsidR="00437547" w:rsidRPr="000065E0" w:rsidRDefault="00437547" w:rsidP="003E1B7E">
      <w:pPr>
        <w:pStyle w:val="ListParagraph"/>
        <w:numPr>
          <w:ilvl w:val="1"/>
          <w:numId w:val="4"/>
        </w:numPr>
        <w:tabs>
          <w:tab w:val="left" w:pos="720"/>
          <w:tab w:val="left" w:pos="900"/>
        </w:tabs>
        <w:ind w:left="0" w:firstLine="360"/>
        <w:contextualSpacing w:val="0"/>
        <w:jc w:val="both"/>
        <w:rPr>
          <w:rFonts w:ascii="Times New Roman" w:hAnsi="Times New Roman"/>
          <w:lang w:val="sq-AL"/>
        </w:rPr>
      </w:pPr>
      <w:r w:rsidRPr="000065E0">
        <w:rPr>
          <w:rFonts w:ascii="Times New Roman" w:hAnsi="Times New Roman"/>
          <w:lang w:val="sq-AL" w:bidi="ar-SA"/>
        </w:rPr>
        <w:t>Lidhur me pretendimin se nuk provohet me dokumentacion, që i ndjeri Ibrahim Bilo të jetë pajisur nga shoqëria AIA sh</w:t>
      </w:r>
      <w:r w:rsidR="00BA1E6D" w:rsidRPr="000065E0">
        <w:rPr>
          <w:rFonts w:ascii="Times New Roman" w:hAnsi="Times New Roman"/>
          <w:lang w:val="sq-AL" w:bidi="ar-SA"/>
        </w:rPr>
        <w:t>.</w:t>
      </w:r>
      <w:r w:rsidRPr="000065E0">
        <w:rPr>
          <w:rFonts w:ascii="Times New Roman" w:hAnsi="Times New Roman"/>
          <w:lang w:val="sq-AL" w:bidi="ar-SA"/>
        </w:rPr>
        <w:t>p.k me rripin e sigurimit, një pajisje mbrojtëse për punëtorët e ndërtimit që punojnë në lartësi, ky pretendim për gjykatën e apelit është i pabazuar. Përveç procesverbalit datë 01.05.2020 “Për marrjen e pajisjeve mbrojtëse individuale” të nënshkruar nga i ndjeri, shtetasi Ibrahim Bilo, në dosjen hetimore ndodhet edhe një procesverbal datë 03.06.2020, i nënshkruar nga tekniku i shoqërisë shtetasi Arjan Kordhoni, ku provohet se i ndjeri ishte pajisur nga shoqëria ndërtuese edhe me rripin e sigurimit, së bashku me punëtorët e tjerë shtetasit Shkëlqim Saliu, Kevin Kordhoni, Altin Lusha, Ardian Zenuni etj. Pra, punëdhënësi, shoqëria ndërtuese AIA sh.p.k, e kishte pajisur punëtorin Ibrahim Bilo me pajisjet mbrojtëse individuale, duke respektuar detyrimet që rrjedhin nga neni 4 pika 1 e VKM nr. 563, datë 03.07.2013 “Për kërkesat minimale të sigurisë dhe shëndetit për përdorimin e pajisjeve mbrojtëse individuale të punës”.</w:t>
      </w:r>
    </w:p>
    <w:p w14:paraId="2FDD521A" w14:textId="79B9312C" w:rsidR="00437547" w:rsidRPr="000065E0" w:rsidRDefault="00437547" w:rsidP="003E1B7E">
      <w:pPr>
        <w:pStyle w:val="ListParagraph"/>
        <w:numPr>
          <w:ilvl w:val="1"/>
          <w:numId w:val="4"/>
        </w:numPr>
        <w:tabs>
          <w:tab w:val="left" w:pos="720"/>
          <w:tab w:val="left" w:pos="900"/>
        </w:tabs>
        <w:ind w:left="0" w:firstLine="360"/>
        <w:contextualSpacing w:val="0"/>
        <w:jc w:val="both"/>
        <w:rPr>
          <w:rFonts w:ascii="Times New Roman" w:hAnsi="Times New Roman"/>
          <w:lang w:val="sq-AL"/>
        </w:rPr>
      </w:pPr>
      <w:r w:rsidRPr="000065E0">
        <w:rPr>
          <w:rFonts w:ascii="Times New Roman" w:hAnsi="Times New Roman"/>
          <w:lang w:val="sq-AL" w:bidi="ar-SA"/>
        </w:rPr>
        <w:t>Gjykata e Apelit nënvizon faktin se, krahas detyrimit të shoqërisë ndërtuese për të pajisur punëtorët e saj me pajisjet përkatëse individuale, qëndron edhe e drejta e punëmarrësit (punëtorit) për të kërkuar detyrimin e shoqërisë për ta pajisur me këto mjete. Punëmarrësi ka të drejtë të ndërpresë punën nëse ai nuk është pajisur me mjetet e duhura mbrojtëse në përputhje me natyrën e punës që do të kryej</w:t>
      </w:r>
      <w:r w:rsidR="00E154F7" w:rsidRPr="000065E0">
        <w:rPr>
          <w:rFonts w:ascii="Times New Roman" w:hAnsi="Times New Roman"/>
          <w:lang w:val="sq-AL" w:bidi="ar-SA"/>
        </w:rPr>
        <w:t>ë</w:t>
      </w:r>
      <w:r w:rsidRPr="000065E0">
        <w:rPr>
          <w:rFonts w:ascii="Times New Roman" w:hAnsi="Times New Roman"/>
          <w:lang w:val="sq-AL" w:bidi="ar-SA"/>
        </w:rPr>
        <w:t xml:space="preserve">. Kjo e drejtë e punëmarrësit buron nga parashikimi i nenit 21 të Ligjit nr. 10237 “Për sigurinë dhe shëndetin në punë” dhe nga parashikimi i pikës 3 dhe pikës 15.9, Aneksi V të VKM nr. 312 “Për miratimin e rregullores për sigurinë në kantier”. Referuar këtyre akteve ligjore, rezulton e drejta e punëmarrësit që të mos fillojë apo të ndërpresë punën dhe të njoftojë punëdhënësin, nëse gjatë procesit të punës konstatohen parregullsi në lidhje me zbatimin e rregullave të sigurimit teknik që cënojnë sigurinë e tij apo të punëmarrësve të tjerë. Nuk provohet nga aktet e dosjes hetimore që punëmarrësi, i ndjeri Ibrahim Bilo, të kishte paraqitur si shqetësim faktin se atij nuk i ishin vënë në dispozicion nga </w:t>
      </w:r>
      <w:r w:rsidRPr="000065E0">
        <w:rPr>
          <w:rFonts w:ascii="Times New Roman" w:hAnsi="Times New Roman"/>
          <w:lang w:val="sq-AL" w:bidi="ar-SA"/>
        </w:rPr>
        <w:lastRenderedPageBreak/>
        <w:t>shoqëria pajisjet e duhura mbrojtëse apo se ai kishte ndërprerë punën për shkak të mos pajisjes me mjetet e duhura në përputhje me punën që kryente.</w:t>
      </w:r>
    </w:p>
    <w:p w14:paraId="6F08CE8B" w14:textId="77777777" w:rsidR="00437547" w:rsidRPr="000065E0" w:rsidRDefault="00437547" w:rsidP="003E1B7E">
      <w:pPr>
        <w:pStyle w:val="ListParagraph"/>
        <w:numPr>
          <w:ilvl w:val="1"/>
          <w:numId w:val="4"/>
        </w:numPr>
        <w:tabs>
          <w:tab w:val="left" w:pos="720"/>
          <w:tab w:val="left" w:pos="900"/>
        </w:tabs>
        <w:ind w:left="0" w:firstLine="360"/>
        <w:contextualSpacing w:val="0"/>
        <w:jc w:val="both"/>
        <w:rPr>
          <w:rFonts w:ascii="Times New Roman" w:hAnsi="Times New Roman"/>
          <w:lang w:val="sq-AL"/>
        </w:rPr>
      </w:pPr>
      <w:r w:rsidRPr="000065E0">
        <w:rPr>
          <w:rFonts w:ascii="Times New Roman" w:hAnsi="Times New Roman"/>
          <w:lang w:val="sq-AL" w:bidi="ar-SA"/>
        </w:rPr>
        <w:t>Lidhur me pretendimin e trashëgimtarëve se, nuk provohet që drejtuesi teknik Adrian Lloshi të ishte pajisur nga shoqëria me leje për mungesën në punë ditën e ndodhjes së ngjarjes, për gjykatën e apelit, mungesa e një dokumenti të tillë nuk sjell asnjë ndikim lidhur me rezultatet e hetimit dhe pasojën e ardhur, shkaqet e vdekjes së të ndjerit Ibrahim Bilo. Në ditën e ngjarjes, provohet se prezent në punë ka qënë inxhinieri i shoqërisë, personi nën hetim Drini Kingj i i cili ka zëvendësuar përkohësisht drejtuesin teknik Adrian Lloshi. Nuk rezulton e provuar që mungesa e drejtuesit Teknik shtetasit Adrian Lloshi, të jetë bërë shkak për rënien nga lartësia të punëtorit, të ndjerit Ibrahim Bilo, pasi referuar të dhënave të ekspertizës teknike apo deklarimeve të shtetasve okularë në vendngjarje, i ndjeri ka humbur ekuilibrin dhe ka rën mbi një mur i cili ishte i freskët dhe i paqëndrueshëm dhe se skela ku ishte mbështetur i ndjeri nuk ishte ndërtuar sipas kushteve të duhura teknike dhe nga persona kompetentë. Pra, shkaku i humbjes së jetës së punëtorit Ibrahim Bilo erdhi për shkak të pakujdesisë së këtij të fundit në kryerjen e detyrës dhe nuk lidhet me praninë ose jo të drejtuesit teknik Adrian Lloshi. Prandaj, hetimi lidhur me faktin nëse ky i fundit ishte apo nuk ishte i pajisur me leje nga shoqëria për të mos qënë prezent ditën e ngjarjes, për Gjykatën e Apelit, çmohet i panevojshëm dhe nuk ndikon në rezultatet e hetimit.</w:t>
      </w:r>
    </w:p>
    <w:p w14:paraId="6E2FF67D" w14:textId="1792AE72" w:rsidR="00763822" w:rsidRPr="000065E0" w:rsidRDefault="00437547" w:rsidP="003E1B7E">
      <w:pPr>
        <w:pStyle w:val="ListParagraph"/>
        <w:numPr>
          <w:ilvl w:val="1"/>
          <w:numId w:val="4"/>
        </w:numPr>
        <w:tabs>
          <w:tab w:val="left" w:pos="720"/>
          <w:tab w:val="left" w:pos="900"/>
        </w:tabs>
        <w:ind w:left="0" w:firstLine="360"/>
        <w:contextualSpacing w:val="0"/>
        <w:jc w:val="both"/>
        <w:rPr>
          <w:rFonts w:ascii="Times New Roman" w:hAnsi="Times New Roman"/>
          <w:lang w:val="sq-AL"/>
        </w:rPr>
      </w:pPr>
      <w:r w:rsidRPr="000065E0">
        <w:rPr>
          <w:rFonts w:ascii="Times New Roman" w:hAnsi="Times New Roman"/>
          <w:lang w:val="sq-AL" w:bidi="ar-SA"/>
        </w:rPr>
        <w:t xml:space="preserve">Në lidhje me pretendimin se ekspertët që kryen aktin e ekspertizës teknike nuk kishin njohuritë e duhura profesionale për të kryer këtë detyrë, gjykata e apelit, e konsideron të pabazuar në prova një pretendim të tillë. Referuar akteve që shoqërojnë akt ekspertizën teknike, ekspertët A. H. e S. S., rezultojnë të jenë diplomuar inxhinier ndërtimi, ku të dy ekspertët rezultojnë të licencuar nga Ministria e Infrastrukturës dhe Energjisë në projektimin e objekteve civile, industriale, turistike prej murature e skelet beton arme deri në pesë kate, si dhe për vlerësimin e kapaciteteve mbajtëse dhe përforcimin e strukturave mbajtëse prej beton arme, muraturë dhe metalike. Sipas deklaratave të firmosura me përgjegjësi nga të dy ekspertët, provohet se ata janë të specializuar në fushën e sigurisë në punë. Ekspertët pasi janë njohur me detyrat që do të kryenin dhe të ngarkuara nga prokurori, nuk kanë deklaruar pamundësi profesionale për kryerjen e tyre, por i janë përgjigjur me korrektesë të gjitha pyetjeve apo detyrave të shtruara për zgjidhje nga organi procedues. Në përmbajtje të ekspertizës së kryer nga dy ekspertët, nuk rezultojnë kundërshtime, kundërthënie, paqartësi apo që ekspertët të kenë patur përfundime të ndryshme nga njëri-tjetri për konkluzionet e arritura në aktin e ekspertimit. Nuk provohet që dy ekspertët të kenë patur papajtueshmëri në ushtrimin e detyrës (neni 180 i K.Pr.Penale), apo të kenë patur shkaqe përjashtimi dhe të mos i kenë </w:t>
      </w:r>
      <w:r w:rsidR="00BA1E6D" w:rsidRPr="000065E0">
        <w:rPr>
          <w:rFonts w:ascii="Times New Roman" w:hAnsi="Times New Roman"/>
          <w:lang w:val="sq-AL" w:bidi="ar-SA"/>
        </w:rPr>
        <w:t>deklaruar ato (neni 181 i K.Pr.</w:t>
      </w:r>
      <w:r w:rsidRPr="000065E0">
        <w:rPr>
          <w:rFonts w:ascii="Times New Roman" w:hAnsi="Times New Roman"/>
          <w:lang w:val="sq-AL" w:bidi="ar-SA"/>
        </w:rPr>
        <w:t>Penale). Edhe pse pala ankuese e kundërshton ekspertizën e kryer ajo, nuk jep paraqet asnjë shkak përjashtimi apo të evidentojë se ata kanë qënë në kushtet e papajtueshmërisë në ushtrimin e detyrës. Nëse eksperti/ët, deklarojnë se ata nuk janë kompetentë për të kryer detyrat e ngarkuara nga organi procedues, vetëm atëherë ata zëvendësohen me persona të tjerë kompetentë. Si rezultat, pretendimi i ngritur në ankim për mungesën e njohurive, kualifikimit të ekspertëve A. H., dhe S. S., në fushën e sigurisë në punë, vlerësohet i pabazuar në prova dhe në ligj. Ashtu, sikurse vlerësohet i pabazuar edhe pretendimi tjetër për të kryer një ekspertizë</w:t>
      </w:r>
      <w:r w:rsidR="00763822" w:rsidRPr="000065E0">
        <w:rPr>
          <w:rFonts w:ascii="Times New Roman" w:hAnsi="Times New Roman"/>
          <w:lang w:val="sq-AL" w:bidi="ar-SA"/>
        </w:rPr>
        <w:t xml:space="preserve"> </w:t>
      </w:r>
      <w:r w:rsidRPr="000065E0">
        <w:rPr>
          <w:rFonts w:ascii="Times New Roman" w:hAnsi="Times New Roman"/>
          <w:lang w:val="sq-AL" w:bidi="ar-SA"/>
        </w:rPr>
        <w:t>të re</w:t>
      </w:r>
      <w:r w:rsidR="00763822" w:rsidRPr="000065E0">
        <w:rPr>
          <w:rFonts w:ascii="Times New Roman" w:hAnsi="Times New Roman"/>
          <w:lang w:val="sq-AL" w:bidi="ar-SA"/>
        </w:rPr>
        <w:t>,</w:t>
      </w:r>
      <w:r w:rsidRPr="000065E0">
        <w:rPr>
          <w:rFonts w:ascii="Times New Roman" w:hAnsi="Times New Roman"/>
          <w:lang w:val="sq-AL" w:bidi="ar-SA"/>
        </w:rPr>
        <w:t xml:space="preserve"> me ekspertë të tjerë në kushtet kur ekspertët nuk janë ndarë në mendimet e tyre, nuk ka kundërthënie, paqartësi, kontradikta apo ekspertët nuk bien dakord për konkluzionet e ekspertizës. Vetëm nëse vërtetohej një situatë e tillë, atëherë do të mund të vlerësohej se ishte e domosdoshme kryerja e një ekspertize të re me ekspertë të tjerë sikurse kërkohet nga pala ankuese.</w:t>
      </w:r>
    </w:p>
    <w:p w14:paraId="0CDC8179" w14:textId="506B68CD" w:rsidR="00763822" w:rsidRPr="000065E0" w:rsidRDefault="00437547" w:rsidP="003E1B7E">
      <w:pPr>
        <w:pStyle w:val="ListParagraph"/>
        <w:numPr>
          <w:ilvl w:val="1"/>
          <w:numId w:val="4"/>
        </w:numPr>
        <w:tabs>
          <w:tab w:val="left" w:pos="720"/>
          <w:tab w:val="left" w:pos="900"/>
        </w:tabs>
        <w:ind w:left="0" w:firstLine="360"/>
        <w:contextualSpacing w:val="0"/>
        <w:jc w:val="both"/>
        <w:rPr>
          <w:rFonts w:ascii="Times New Roman" w:hAnsi="Times New Roman"/>
          <w:lang w:val="sq-AL"/>
        </w:rPr>
      </w:pPr>
      <w:r w:rsidRPr="000065E0">
        <w:rPr>
          <w:rFonts w:ascii="Times New Roman" w:hAnsi="Times New Roman"/>
          <w:lang w:val="sq-AL" w:bidi="ar-SA"/>
        </w:rPr>
        <w:t xml:space="preserve">Lidhur me pretendimin e ngritur në ankim se, trashëgimtarëve të viktimës apo përfaqësuesve të tyre ligjorë nuk ju është dhënë e drejta të njihen me aktet e dosjes në fazën hetimore, dhe të kishin mundësinë për të kundërshtuar provat, apo të mund të kërkonin marrjen e provave të reja në funksion të zbardhjes së të vërtetës. Gjykata e Apelit çmon se një pretendim </w:t>
      </w:r>
      <w:r w:rsidRPr="000065E0">
        <w:rPr>
          <w:rFonts w:ascii="Times New Roman" w:hAnsi="Times New Roman"/>
          <w:lang w:val="sq-AL" w:bidi="ar-SA"/>
        </w:rPr>
        <w:lastRenderedPageBreak/>
        <w:t>i tillë nuk gjen mbështetje ligjore. Gjykata e Apelit evidenton faktin se trashëgimtarët e viktimës nuk gëzojnë të gjitha të drejtat ligjore që gëzon edhe viktima nga vepra penale, por të drejtat e tyre janë më të kufizuara. Kështu, në nenin 58 të K.Pr.Penale listohen të drejtat e viktimës nga vepra penale, por edhe të drejtat e trashëgimtarëve të viktimës. Sipas parashikimit të nenit 58 të K.Pr.Penale, vetëm viktima nga vepra penale ka të drejtë në çdo kohë, të kërkojë informacion për gj</w:t>
      </w:r>
      <w:r w:rsidR="00BA1E6D" w:rsidRPr="000065E0">
        <w:rPr>
          <w:rFonts w:ascii="Times New Roman" w:hAnsi="Times New Roman"/>
          <w:lang w:val="sq-AL" w:bidi="ar-SA"/>
        </w:rPr>
        <w:t>e</w:t>
      </w:r>
      <w:r w:rsidRPr="000065E0">
        <w:rPr>
          <w:rFonts w:ascii="Times New Roman" w:hAnsi="Times New Roman"/>
          <w:lang w:val="sq-AL" w:bidi="ar-SA"/>
        </w:rPr>
        <w:t>ndjen e procedimit, si dhe të njihet me aktet e provat, të kërkojë marrjen e provave, si dhe të parashtrojë kërkesa të tjera përpara organit procedues (shiko gërmat “d” e “dh” të nenit 58 të K.Pr.Penale. Ndërsa trashëgimtarët e viktimës gëzojnë vetëm të drejtat e parashikuara nga gërmat “a”, “e”, “ë”, “f”, “</w:t>
      </w:r>
      <w:r w:rsidR="00BA1E6D" w:rsidRPr="000065E0">
        <w:rPr>
          <w:rFonts w:ascii="Times New Roman" w:hAnsi="Times New Roman"/>
          <w:lang w:val="sq-AL" w:bidi="ar-SA"/>
        </w:rPr>
        <w:t>g” dhe “j” të nenit 58 të K.Pr.</w:t>
      </w:r>
      <w:r w:rsidRPr="000065E0">
        <w:rPr>
          <w:rFonts w:ascii="Times New Roman" w:hAnsi="Times New Roman"/>
          <w:lang w:val="sq-AL" w:bidi="ar-SA"/>
        </w:rPr>
        <w:t>Penale. Pra, të drejtat e parashikuara në gërma</w:t>
      </w:r>
      <w:r w:rsidR="00BA1E6D" w:rsidRPr="000065E0">
        <w:rPr>
          <w:rFonts w:ascii="Times New Roman" w:hAnsi="Times New Roman"/>
          <w:lang w:val="sq-AL" w:bidi="ar-SA"/>
        </w:rPr>
        <w:t>t “d e dh” të nenit 58 të K.Pr.</w:t>
      </w:r>
      <w:r w:rsidRPr="000065E0">
        <w:rPr>
          <w:rFonts w:ascii="Times New Roman" w:hAnsi="Times New Roman"/>
          <w:lang w:val="sq-AL" w:bidi="ar-SA"/>
        </w:rPr>
        <w:t>Penale, i janë rezervuar personalisht vetëm viktimës, por jo edhe trashëgimtarëve të tij. Rrjedhimisht, prokurori nuk ka patur asnjë detyrim ligjor të informojë trashëgimtarët e viktimës Ibrahim Bilo për provat e dosjes, për gjëndjen e procedimit, apo për t”ju dhënë atyre mundësinë të paraqesin apo të kundërshtojnë provat e marra gjatë hetimit.</w:t>
      </w:r>
      <w:r w:rsidR="00763822" w:rsidRPr="000065E0">
        <w:rPr>
          <w:rFonts w:ascii="Times New Roman" w:hAnsi="Times New Roman"/>
          <w:lang w:val="sq-AL" w:bidi="ar-SA"/>
        </w:rPr>
        <w:t xml:space="preserve"> </w:t>
      </w:r>
      <w:r w:rsidRPr="000065E0">
        <w:rPr>
          <w:rFonts w:ascii="Times New Roman" w:hAnsi="Times New Roman"/>
          <w:lang w:val="sq-AL" w:bidi="ar-SA"/>
        </w:rPr>
        <w:t>Gjithsesi, u provua se gjatë hetimit penal, prokurori ka pranuar kërkesën e përfaqësuesve ligjorë të trashëgimtarëve të viktimës për të pyetur shtetasin Shkëlqim Saliu, si dhe për të administruar si provë një CD, që përmban një video të v</w:t>
      </w:r>
      <w:r w:rsidR="00BA1E6D" w:rsidRPr="000065E0">
        <w:rPr>
          <w:rFonts w:ascii="Times New Roman" w:hAnsi="Times New Roman"/>
          <w:lang w:val="sq-AL" w:bidi="ar-SA"/>
        </w:rPr>
        <w:t>e</w:t>
      </w:r>
      <w:r w:rsidRPr="000065E0">
        <w:rPr>
          <w:rFonts w:ascii="Times New Roman" w:hAnsi="Times New Roman"/>
          <w:lang w:val="sq-AL" w:bidi="ar-SA"/>
        </w:rPr>
        <w:t>ndit të ngjarjes, provë e cila është shqyrtuar nga organi procedues, por që nuk ka ndryshuar dot rrjedhën dhe rezultatet e hetimit. Ky fakt rezulton nga përmbajtja e vendimit datë 04.12.2020 të Prokurorit Gjon Kodra, ku provohet se janë pranuar kërkesat e trashëgimtarëve të viktimës Ibrahim Bilo. CD-ja e paraqitur si provë nga trashëgimtarët e viktimës është k</w:t>
      </w:r>
      <w:r w:rsidR="00BA1E6D" w:rsidRPr="000065E0">
        <w:rPr>
          <w:rFonts w:ascii="Times New Roman" w:hAnsi="Times New Roman"/>
          <w:lang w:val="sq-AL" w:bidi="ar-SA"/>
        </w:rPr>
        <w:t>ë</w:t>
      </w:r>
      <w:r w:rsidRPr="000065E0">
        <w:rPr>
          <w:rFonts w:ascii="Times New Roman" w:hAnsi="Times New Roman"/>
          <w:lang w:val="sq-AL" w:bidi="ar-SA"/>
        </w:rPr>
        <w:t>qyrur në date 08.01.2021 nga oficeri i policisë gjyqësore Përparim Mici.  </w:t>
      </w:r>
    </w:p>
    <w:p w14:paraId="113D5E50" w14:textId="4BED1F2A" w:rsidR="00763822" w:rsidRPr="000065E0" w:rsidRDefault="00437547" w:rsidP="003E1B7E">
      <w:pPr>
        <w:pStyle w:val="ListParagraph"/>
        <w:numPr>
          <w:ilvl w:val="1"/>
          <w:numId w:val="4"/>
        </w:numPr>
        <w:tabs>
          <w:tab w:val="left" w:pos="720"/>
          <w:tab w:val="left" w:pos="900"/>
        </w:tabs>
        <w:ind w:left="0" w:firstLine="360"/>
        <w:contextualSpacing w:val="0"/>
        <w:jc w:val="both"/>
        <w:rPr>
          <w:rFonts w:ascii="Times New Roman" w:hAnsi="Times New Roman"/>
          <w:lang w:val="sq-AL"/>
        </w:rPr>
      </w:pPr>
      <w:r w:rsidRPr="000065E0">
        <w:rPr>
          <w:rFonts w:ascii="Times New Roman" w:hAnsi="Times New Roman"/>
          <w:lang w:val="sq-AL" w:bidi="ar-SA"/>
        </w:rPr>
        <w:t xml:space="preserve">Lidhur me ekzistencën e faktit penal, veprës penale të “Shkelja e rregullave të mbrojtjes në punë” e parashikuar nga neni 289/2 i K.Penal, </w:t>
      </w:r>
      <w:r w:rsidR="00763822" w:rsidRPr="000065E0">
        <w:rPr>
          <w:rFonts w:ascii="Times New Roman" w:hAnsi="Times New Roman"/>
          <w:lang w:val="sq-AL" w:bidi="ar-SA"/>
        </w:rPr>
        <w:t>g</w:t>
      </w:r>
      <w:r w:rsidRPr="000065E0">
        <w:rPr>
          <w:rFonts w:ascii="Times New Roman" w:hAnsi="Times New Roman"/>
          <w:lang w:val="sq-AL" w:bidi="ar-SA"/>
        </w:rPr>
        <w:t xml:space="preserve">jykata e </w:t>
      </w:r>
      <w:r w:rsidR="00763822" w:rsidRPr="000065E0">
        <w:rPr>
          <w:rFonts w:ascii="Times New Roman" w:hAnsi="Times New Roman"/>
          <w:lang w:val="sq-AL" w:bidi="ar-SA"/>
        </w:rPr>
        <w:t>a</w:t>
      </w:r>
      <w:r w:rsidRPr="000065E0">
        <w:rPr>
          <w:rFonts w:ascii="Times New Roman" w:hAnsi="Times New Roman"/>
          <w:lang w:val="sq-AL" w:bidi="ar-SA"/>
        </w:rPr>
        <w:t xml:space="preserve">pelit vlerëson të drejtë përfundimin e arritur nga Gjykata e Shkallës së Parë e cila pranoi kërkesën e </w:t>
      </w:r>
      <w:r w:rsidR="00763822" w:rsidRPr="000065E0">
        <w:rPr>
          <w:rFonts w:ascii="Times New Roman" w:hAnsi="Times New Roman"/>
          <w:lang w:val="sq-AL" w:bidi="ar-SA"/>
        </w:rPr>
        <w:t>p</w:t>
      </w:r>
      <w:r w:rsidRPr="000065E0">
        <w:rPr>
          <w:rFonts w:ascii="Times New Roman" w:hAnsi="Times New Roman"/>
          <w:lang w:val="sq-AL" w:bidi="ar-SA"/>
        </w:rPr>
        <w:t>rokurorisë pranë saj për të disponuar me pushimin e çështjes penale bazuar në parashikimet e nenit 328/1, shkronja “b” të K.Pr.Penale, për shkak se fakti nuk përbën vepër penale (nukparashikohet nga ligji si vepër penale).</w:t>
      </w:r>
      <w:r w:rsidR="00763822" w:rsidRPr="000065E0">
        <w:rPr>
          <w:rFonts w:ascii="Times New Roman" w:hAnsi="Times New Roman"/>
          <w:lang w:val="sq-AL" w:bidi="ar-SA"/>
        </w:rPr>
        <w:t xml:space="preserve"> </w:t>
      </w:r>
      <w:r w:rsidRPr="000065E0">
        <w:rPr>
          <w:rFonts w:ascii="Times New Roman" w:hAnsi="Times New Roman"/>
          <w:lang w:val="sq-AL" w:bidi="ar-SA"/>
        </w:rPr>
        <w:t>Gjykata e Apelit arrin në përfundimin e mësipërm duke u bazuar tek provat e grumbulluara gjatë hetimit e më konkretisht:</w:t>
      </w:r>
      <w:r w:rsidR="00763822" w:rsidRPr="000065E0">
        <w:rPr>
          <w:rFonts w:ascii="Times New Roman" w:hAnsi="Times New Roman"/>
          <w:lang w:val="sq-AL" w:bidi="ar-SA"/>
        </w:rPr>
        <w:t xml:space="preserve"> </w:t>
      </w:r>
      <w:r w:rsidRPr="000065E0">
        <w:rPr>
          <w:rFonts w:ascii="Times New Roman" w:hAnsi="Times New Roman"/>
          <w:lang w:val="sq-AL" w:bidi="ar-SA"/>
        </w:rPr>
        <w:t>Së pari, duke u bazuar tek rezultatet e aktit të ekspertimit teknik ku ek</w:t>
      </w:r>
      <w:r w:rsidR="00763822" w:rsidRPr="000065E0">
        <w:rPr>
          <w:rFonts w:ascii="Times New Roman" w:hAnsi="Times New Roman"/>
          <w:lang w:val="sq-AL" w:bidi="ar-SA"/>
        </w:rPr>
        <w:t>s</w:t>
      </w:r>
      <w:r w:rsidRPr="000065E0">
        <w:rPr>
          <w:rFonts w:ascii="Times New Roman" w:hAnsi="Times New Roman"/>
          <w:lang w:val="sq-AL" w:bidi="ar-SA"/>
        </w:rPr>
        <w:t xml:space="preserve">pertët kanë konkluduar se: </w:t>
      </w:r>
      <w:r w:rsidR="00763822" w:rsidRPr="000065E0">
        <w:rPr>
          <w:rFonts w:ascii="Times New Roman" w:hAnsi="Times New Roman"/>
          <w:lang w:val="sq-AL" w:bidi="ar-SA"/>
        </w:rPr>
        <w:t xml:space="preserve">(…)  </w:t>
      </w:r>
      <w:r w:rsidRPr="000065E0">
        <w:rPr>
          <w:rFonts w:ascii="Times New Roman" w:hAnsi="Times New Roman"/>
          <w:lang w:val="sq-AL" w:bidi="ar-SA"/>
        </w:rPr>
        <w:t>Së dyti, provohet jo vetëm me anë të ekspertizës teknike, por edhe me provat e tjera të administruara gjatë hetimit se punëmarrësit Shkëlqim Saliu e Ibrahim Bilo (i ndjeri), kanë ndërtuar skelën në kundërshtim me rregullat e sigurimit teknik. Kështu, mënyra se si është ndërtuar skela në rastin konkret është deklaruar nga punëmarrësi, dëshmitari okular, shtetasi Shkëlqim Saliu. Edhe nga përmbajtja e procesverbalit të këqyrjes së vendit të ngjarjes, edhe nga tabelat fotografike, por edhe materiali video</w:t>
      </w:r>
      <w:r w:rsidR="00763822" w:rsidRPr="000065E0">
        <w:rPr>
          <w:rFonts w:ascii="Times New Roman" w:hAnsi="Times New Roman"/>
          <w:lang w:val="sq-AL" w:bidi="ar-SA"/>
        </w:rPr>
        <w:t xml:space="preserve"> </w:t>
      </w:r>
      <w:r w:rsidRPr="000065E0">
        <w:rPr>
          <w:rFonts w:ascii="Times New Roman" w:hAnsi="Times New Roman"/>
          <w:lang w:val="sq-AL" w:bidi="ar-SA"/>
        </w:rPr>
        <w:t>CD e paraqitur si provë nga trashëgimtarët e viktimës, provohet se fillimisht bien materiale inerte, tulla, nga muri ku ka qënë mbështetur viktima dhe pastaj bie dhe ky i fundit. Në procesverbalin e këqyrjes së vendit të ngjarjes pasqyrohet edhe skela e ndërtuar nga dy punëmarrësit dhe pozicioni i gjetjes së të ndjerit Ibrahim Bilo.</w:t>
      </w:r>
      <w:r w:rsidR="00763822" w:rsidRPr="000065E0">
        <w:rPr>
          <w:rFonts w:ascii="Times New Roman" w:hAnsi="Times New Roman"/>
          <w:lang w:val="sq-AL" w:bidi="ar-SA"/>
        </w:rPr>
        <w:t xml:space="preserve"> </w:t>
      </w:r>
      <w:r w:rsidRPr="000065E0">
        <w:rPr>
          <w:rFonts w:ascii="Times New Roman" w:hAnsi="Times New Roman"/>
          <w:lang w:val="sq-AL" w:bidi="ar-SA"/>
        </w:rPr>
        <w:t>Së treti, provohet me deklarimet e dëshmitarit okular, shtetasit Shkëlqim Saliu se për arsye të pa konfirmuara (vetëm me deklarime të punëmarrësit Shkëlqim Saliu e personit nën hetim Drini Kingji që flasin për marrje mendsh nga i ndjeri), punëmarrësi Ibrahim Bilo ka humbur ekuilibrin dhe është mbështetur mbi murin i cili nuk ishte i qëndrueshëm, (arsyet janë shpjeguar më lart për paqëndrueshmërinë e murit) dhe kjo ka qënë fatale për të pasi muri nuk ka mbajtur peshën e të ndjerit dhe bashkë me murin kanë rënë së bashku në tokë.</w:t>
      </w:r>
      <w:r w:rsidR="00763822" w:rsidRPr="000065E0">
        <w:rPr>
          <w:rFonts w:ascii="Times New Roman" w:hAnsi="Times New Roman"/>
          <w:lang w:val="sq-AL" w:bidi="ar-SA"/>
        </w:rPr>
        <w:t xml:space="preserve"> </w:t>
      </w:r>
      <w:r w:rsidRPr="000065E0">
        <w:rPr>
          <w:rFonts w:ascii="Times New Roman" w:hAnsi="Times New Roman"/>
          <w:lang w:val="sq-AL" w:bidi="ar-SA"/>
        </w:rPr>
        <w:t>Së katërti, me provat shkresore por edhe me deklarime të shtetasve Shkëlqim Saliu, Adrian Lloshi, Arjan Kordhoni, se punëmarrësit janë trajnuar për kushtet e sigurisë në punë, janë pajisur me materialet përkatëse si helmetë, rrip sigurimi, janë udhëzuar për mënyrën e ndërtimit e vendosjes së skelave, sigurinë e vendit ku ato skela duhet të mbështeten, mbajtja e rripit të sigurimit kur punohet në lartësi mbi 2 metra etj.</w:t>
      </w:r>
      <w:r w:rsidR="00763822" w:rsidRPr="000065E0">
        <w:rPr>
          <w:rFonts w:ascii="Times New Roman" w:hAnsi="Times New Roman"/>
          <w:lang w:val="sq-AL" w:bidi="ar-SA"/>
        </w:rPr>
        <w:t xml:space="preserve"> </w:t>
      </w:r>
      <w:r w:rsidRPr="000065E0">
        <w:rPr>
          <w:rFonts w:ascii="Times New Roman" w:hAnsi="Times New Roman"/>
          <w:lang w:val="sq-AL" w:bidi="ar-SA"/>
        </w:rPr>
        <w:t>Së pesti, nga të gjitha provat e grumbulluara nuk konstatohen shkelje të rregullave të sigurisë në punë për punëdhënësin (u pasqyruan më sipër argument</w:t>
      </w:r>
      <w:r w:rsidR="00893C60" w:rsidRPr="000065E0">
        <w:rPr>
          <w:rFonts w:ascii="Times New Roman" w:hAnsi="Times New Roman"/>
          <w:lang w:val="sq-AL" w:bidi="ar-SA"/>
        </w:rPr>
        <w:t>ë</w:t>
      </w:r>
      <w:r w:rsidRPr="000065E0">
        <w:rPr>
          <w:rFonts w:ascii="Times New Roman" w:hAnsi="Times New Roman"/>
          <w:lang w:val="sq-AL" w:bidi="ar-SA"/>
        </w:rPr>
        <w:t xml:space="preserve">t), </w:t>
      </w:r>
      <w:r w:rsidRPr="000065E0">
        <w:rPr>
          <w:rFonts w:ascii="Times New Roman" w:hAnsi="Times New Roman"/>
          <w:lang w:val="sq-AL" w:bidi="ar-SA"/>
        </w:rPr>
        <w:lastRenderedPageBreak/>
        <w:t>përfshirë këtu personin nën hetim Drini Kingji në cilësinë e inxhinierit të shoqërisë AIA sh.p. k, por as të përfaqësuesve të tjerë të saj përfshirë dhe drejtuesin Teknik Adrian Lloshi.</w:t>
      </w:r>
    </w:p>
    <w:p w14:paraId="769540E9" w14:textId="24555B12" w:rsidR="00437547" w:rsidRPr="000065E0" w:rsidRDefault="00437547" w:rsidP="003E1B7E">
      <w:pPr>
        <w:pStyle w:val="ListParagraph"/>
        <w:numPr>
          <w:ilvl w:val="1"/>
          <w:numId w:val="4"/>
        </w:numPr>
        <w:tabs>
          <w:tab w:val="left" w:pos="720"/>
          <w:tab w:val="left" w:pos="900"/>
        </w:tabs>
        <w:ind w:left="0" w:firstLine="360"/>
        <w:contextualSpacing w:val="0"/>
        <w:jc w:val="both"/>
        <w:rPr>
          <w:rFonts w:ascii="Times New Roman" w:hAnsi="Times New Roman"/>
          <w:lang w:val="sq-AL"/>
        </w:rPr>
      </w:pPr>
      <w:r w:rsidRPr="000065E0">
        <w:rPr>
          <w:rFonts w:ascii="Times New Roman" w:hAnsi="Times New Roman"/>
          <w:lang w:val="sq-AL" w:bidi="ar-SA"/>
        </w:rPr>
        <w:t>Si përfundim, me të drejtë është analizuar nga Prokuroria dhe Gjykata e Shkallës së Parë se, nuk ekzistojnë elementë të veprës penale të "Shkeljes së rregullave të mbrojtjes në punë" për përfaqësuesit e punëdhënësit shoqërisë AIA sh.p.k, personin nën hetim Drini Kingji apo për përfaqësues të tjerë të saj, e parashikuar nga neni 289/2 i K.Penal, pasi mungon ana objektive e kësaj vepre penale, shkeljet ligjore që duhet të konsumohen nga subjekti i kësaj vepre penale, për arsye se shkeljet ligjore janë kryer vetëm nga punëmarrësi, i ndjeri Ibrahim Bilo. Në këto kushte, Gjykata është e detyruar të zbatoj parashikimin e nenit328 pika 1, shkronja “b” e K.Pr. Penale, cili parashikon se pushohet çështja penale kur në përfundim të hetimeve paraprake, rezulton se fakti nuk parashikohet nga ligji si vepër penale.</w:t>
      </w:r>
      <w:r w:rsidR="00763822" w:rsidRPr="000065E0">
        <w:rPr>
          <w:rFonts w:ascii="Times New Roman" w:hAnsi="Times New Roman"/>
          <w:lang w:val="sq-AL" w:bidi="ar-SA"/>
        </w:rPr>
        <w:t xml:space="preserve"> </w:t>
      </w:r>
      <w:r w:rsidRPr="000065E0">
        <w:rPr>
          <w:rFonts w:ascii="Times New Roman" w:hAnsi="Times New Roman"/>
          <w:lang w:val="sq-AL" w:bidi="ar-SA"/>
        </w:rPr>
        <w:t>Në zbatim të nenit 329 pika 3, shkronja “b” e K.Pr. Penale, ashtu sikurse Gjykata e Shkallës së Parë edhe Gjykata e Apelit ndryshe nga sa pretendohet në ankim, arrin në përfundimin se hetimet për këtë çështje penale janë kryer të plota, objektive, të gjithanshme, nuk konstatohen mangësinë veprimet hetimore, se rezultatet e hetimit janë mbështetur mbi prova shkresore, shkencore, por edhe me dëshmitarë okularë. Gjithashtu, veprimet hetimore të pretenduara nga trashëgimtarët në ankim jo vetëm janë të panevojshme pasi vetëm do të zvarrisnin hetimin e çështjes, por edhe sikur të kryheshin, nuk i krijojnë bindje Gjykatës së Apelit se do të ndryshonin faktin, se vdekja e të ndjerit Ibrahim Bilo nuk erdhi për faj të tij (në formën e pakujdesisë), por për mosveprime të përfaqësuesve të punëdhënësit, shoqërisë AIA sh.p.k. Bazuar në sa më sipër, shkaqet e ngritura në ankim nuk e bëjnë të cënueshëm vendimin nr. 489 akti, datë 23.03.2021 të Gjykatës së Rrethit Gjyqësor Tiranë, prandaj çmohet lënia e tij në fuqi.”</w:t>
      </w:r>
    </w:p>
    <w:p w14:paraId="119DB5DB" w14:textId="506CE6A7" w:rsidR="00437547" w:rsidRPr="000065E0" w:rsidRDefault="00437547" w:rsidP="003E1B7E">
      <w:pPr>
        <w:pStyle w:val="ListParagraph"/>
        <w:numPr>
          <w:ilvl w:val="0"/>
          <w:numId w:val="3"/>
        </w:numPr>
        <w:tabs>
          <w:tab w:val="clear" w:pos="720"/>
          <w:tab w:val="left" w:pos="540"/>
          <w:tab w:val="left" w:pos="8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lang w:val="sq-AL"/>
        </w:rPr>
      </w:pPr>
      <w:r w:rsidRPr="000065E0">
        <w:rPr>
          <w:rFonts w:ascii="Times New Roman" w:hAnsi="Times New Roman"/>
          <w:shd w:val="clear" w:color="auto" w:fill="FFFFFF"/>
          <w:lang w:val="sq-AL" w:bidi="ar-SA"/>
        </w:rPr>
        <w:t xml:space="preserve">Kundër vendimit të mësipërm, më datë 13.02.2025, </w:t>
      </w:r>
      <w:r w:rsidRPr="000065E0">
        <w:rPr>
          <w:rFonts w:ascii="Times New Roman" w:hAnsi="Times New Roman"/>
          <w:b/>
          <w:bCs/>
          <w:shd w:val="clear" w:color="auto" w:fill="FFFFFF"/>
          <w:lang w:val="sq-AL" w:bidi="ar-SA"/>
        </w:rPr>
        <w:t xml:space="preserve">kanë paraqitur rekurs trashëgimtarët e viktimës Ibrahim Bilo, </w:t>
      </w:r>
      <w:r w:rsidRPr="000065E0">
        <w:rPr>
          <w:rFonts w:ascii="Times New Roman" w:hAnsi="Times New Roman"/>
          <w:shd w:val="clear" w:color="auto" w:fill="FFFFFF"/>
          <w:lang w:val="sq-AL" w:bidi="ar-SA"/>
        </w:rPr>
        <w:t>shtetasit Haxhire Bilo, Edlira Bilo, Fabjola Bilo e Lorena Bilo, me të cilin kanë kërkuar prishjen e të dy vendimeve.</w:t>
      </w:r>
      <w:r w:rsidR="00763822" w:rsidRPr="000065E0">
        <w:rPr>
          <w:rFonts w:ascii="Times New Roman" w:hAnsi="Times New Roman"/>
          <w:shd w:val="clear" w:color="auto" w:fill="FFFFFF"/>
          <w:lang w:val="sq-AL" w:bidi="ar-SA"/>
        </w:rPr>
        <w:t xml:space="preserve"> </w:t>
      </w:r>
      <w:r w:rsidRPr="000065E0">
        <w:rPr>
          <w:rFonts w:ascii="Times New Roman" w:hAnsi="Times New Roman"/>
          <w:shd w:val="clear" w:color="auto" w:fill="FFFFFF"/>
          <w:lang w:val="sq-AL" w:bidi="ar-SA"/>
        </w:rPr>
        <w:t>Në rekurs kërkuesit, ndër të tjera, kanë paraqitur këto shkaqe:</w:t>
      </w:r>
    </w:p>
    <w:p w14:paraId="6A565D2F" w14:textId="7D7E603D"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Zbatimi i gabuar i ligjit material dhe procedural të një rëndësie themelore për njësimin, sigurinë dhe/ose zhvillimin e praktikës gjyqësore;</w:t>
      </w:r>
    </w:p>
    <w:p w14:paraId="0E41D0FC" w14:textId="10B5A5F6"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 xml:space="preserve">Vendimi i </w:t>
      </w:r>
      <w:r w:rsidR="00763822" w:rsidRPr="000065E0">
        <w:rPr>
          <w:rFonts w:ascii="Times New Roman" w:hAnsi="Times New Roman"/>
          <w:lang w:val="sq-AL" w:bidi="ar-SA"/>
        </w:rPr>
        <w:t>g</w:t>
      </w:r>
      <w:r w:rsidRPr="000065E0">
        <w:rPr>
          <w:rFonts w:ascii="Times New Roman" w:hAnsi="Times New Roman"/>
          <w:lang w:val="sq-AL" w:bidi="ar-SA"/>
        </w:rPr>
        <w:t>jykatës nuk ka qenë i drejtë, pasi rezulton se shumë veprime hetimore të nevojshme nuk ishin kryer, veprime të cilat ndihmonin për të zbardhur rrethan</w:t>
      </w:r>
      <w:r w:rsidR="00893C60" w:rsidRPr="000065E0">
        <w:rPr>
          <w:rFonts w:ascii="Times New Roman" w:hAnsi="Times New Roman"/>
          <w:lang w:val="sq-AL" w:bidi="ar-SA"/>
        </w:rPr>
        <w:t>a</w:t>
      </w:r>
      <w:r w:rsidRPr="000065E0">
        <w:rPr>
          <w:rFonts w:ascii="Times New Roman" w:hAnsi="Times New Roman"/>
          <w:lang w:val="sq-AL" w:bidi="ar-SA"/>
        </w:rPr>
        <w:t xml:space="preserve">t e çështjes dhe mund të përcaktonin përgjegjësinë penale. Veprimet të cilat u shpjeguan përpara </w:t>
      </w:r>
      <w:r w:rsidR="00763822" w:rsidRPr="000065E0">
        <w:rPr>
          <w:rFonts w:ascii="Times New Roman" w:hAnsi="Times New Roman"/>
          <w:lang w:val="sq-AL" w:bidi="ar-SA"/>
        </w:rPr>
        <w:t>g</w:t>
      </w:r>
      <w:r w:rsidRPr="000065E0">
        <w:rPr>
          <w:rFonts w:ascii="Times New Roman" w:hAnsi="Times New Roman"/>
          <w:lang w:val="sq-AL" w:bidi="ar-SA"/>
        </w:rPr>
        <w:t>jykatës, të cilat ishin të domosdoshme të kryhen në funksion të zbardhjes së çështjes janë si më poshtë:</w:t>
      </w:r>
    </w:p>
    <w:p w14:paraId="0DFAFF29" w14:textId="6B4E93C4"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Kontrata Individuale të Punës, së lidhur ndërmjet viktimës Ibrohim Bilo dhe Shoqërisë AIA, nuk rezulton të jetë administruar nga organi i akuzës. Bazuar në kontratë, arrihej të kuptohej fillimi i marrëdhënieve të punës ndërmjet palëve, si dhe pozicioni për të cilën ishte punësuar. Rezulton se, i ndjeri Ibrahim Bilo ka qenë si i punësuar pranë shoqërisë "AIA" për të ushtruar detyrën magazinier, për këtë arsye kjo kontrata individuale e pun</w:t>
      </w:r>
      <w:r w:rsidR="00893C60" w:rsidRPr="000065E0">
        <w:rPr>
          <w:rFonts w:ascii="Times New Roman" w:hAnsi="Times New Roman"/>
          <w:lang w:val="sq-AL" w:bidi="ar-SA"/>
        </w:rPr>
        <w:t>ë</w:t>
      </w:r>
      <w:r w:rsidRPr="000065E0">
        <w:rPr>
          <w:rFonts w:ascii="Times New Roman" w:hAnsi="Times New Roman"/>
          <w:lang w:val="sq-AL" w:bidi="ar-SA"/>
        </w:rPr>
        <w:t>s nuk është vendosur në dispozicion;</w:t>
      </w:r>
    </w:p>
    <w:p w14:paraId="711B706E"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Nga ana e organit të akuzës nuk është kërkuar apo administruar kontrata individuale e punës së lidhur ndërmjet punëdhënësit Shoqëria "AIA" dhe punëmarrësit Ibrahim Bilo.</w:t>
      </w:r>
    </w:p>
    <w:p w14:paraId="44B51011" w14:textId="69973894"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Organi i akuzës nuk ka sekuestruar dokumentacionin shkresor që i përkiste Shoqërisë dhe dokument</w:t>
      </w:r>
      <w:r w:rsidR="00893C60" w:rsidRPr="000065E0">
        <w:rPr>
          <w:rFonts w:ascii="Times New Roman" w:hAnsi="Times New Roman"/>
          <w:lang w:val="sq-AL" w:bidi="ar-SA"/>
        </w:rPr>
        <w:t>e</w:t>
      </w:r>
      <w:r w:rsidRPr="000065E0">
        <w:rPr>
          <w:rFonts w:ascii="Times New Roman" w:hAnsi="Times New Roman"/>
          <w:lang w:val="sq-AL" w:bidi="ar-SA"/>
        </w:rPr>
        <w:t>ve në lidhje me të ndjerin, drejtuesit teknik, trajnimin e punonjësve apo marrjen e pajisjeve mbrojtëse në dorëzim, rezulton se i gjithë dokumentacioni është vendosur në dispozicion nga ana e personit nën hetim Drini Kingji;</w:t>
      </w:r>
    </w:p>
    <w:p w14:paraId="7136296D" w14:textId="4A994336"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 xml:space="preserve">Nuk është provuar fakti se, shtetasi Ardian Lloshi, i cili është njëherësh është drejtues teknik, koordinator i mbrojtjes dhe sigurisë në punë, si dhe administrator i Shoqërisë, nuk ka qenë në objekt kur ka ndodhur ngjarja, pasi sipas deklarimeve të tija ishte me leje, gjë e cila nuk figuron në asnjë dokument shkresor. Prokuroria dhe Gjykata kanë </w:t>
      </w:r>
      <w:r w:rsidRPr="000065E0">
        <w:rPr>
          <w:rFonts w:ascii="Times New Roman" w:hAnsi="Times New Roman"/>
          <w:lang w:val="sq-AL" w:bidi="ar-SA"/>
        </w:rPr>
        <w:lastRenderedPageBreak/>
        <w:t>marrë të mirëq</w:t>
      </w:r>
      <w:r w:rsidR="00893C60" w:rsidRPr="000065E0">
        <w:rPr>
          <w:rFonts w:ascii="Times New Roman" w:hAnsi="Times New Roman"/>
          <w:lang w:val="sq-AL" w:bidi="ar-SA"/>
        </w:rPr>
        <w:t>e</w:t>
      </w:r>
      <w:r w:rsidRPr="000065E0">
        <w:rPr>
          <w:rFonts w:ascii="Times New Roman" w:hAnsi="Times New Roman"/>
          <w:lang w:val="sq-AL" w:bidi="ar-SA"/>
        </w:rPr>
        <w:t>na thëniet e shtetasit Ardian Lloshi, pa pasur asnjë dokumentacion shkresor për të provuar pretendimet e tija.</w:t>
      </w:r>
    </w:p>
    <w:p w14:paraId="45E01EDA"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Verifikuar nga ana e organit të akuzës deklarata e drejtuesit teknik dhe koordinatorit të shëndetit dhe sigurisë në punë, Ardian Lloshi, nëse kishte kërkesën drejtuar sektorit të Burimeve Njerëzore për marrjen e lejes, si dhe autorizimin e Shoqërisë për konfirmimin e lejes. Fakti se drejtuesi teknik Ardian Lloshi, nuk ka qenë rregullisht prezent në vendin e punës ditën që ka ndodhur ngjarja, për të ushtruar detyrat e ngarkuara, nuk e shfajëson atë përpara ligjit.</w:t>
      </w:r>
    </w:p>
    <w:p w14:paraId="420C6C88"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Bazuar në dokumentin shkresor të datës 01.06.2020, të Shoqërisë "AIA" Koordinator i sigurisë në punë, nga ku Administratorit Ardian Lloshi i është ngarkuar edhe detyra e Koordinatorit të Shëndetit dhe Sigurisë në Punë, nga ku i ngarkohet ndër të tjera detyra:</w:t>
      </w:r>
    </w:p>
    <w:p w14:paraId="71AC875A"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Të kontrolloj stafin nëse mbajnë të veshur pajisjet mbrojtëse individuale.</w:t>
      </w:r>
    </w:p>
    <w:p w14:paraId="02D181C2"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Të japë ndihmën e parë në raste aksidentesh;</w:t>
      </w:r>
    </w:p>
    <w:p w14:paraId="3A6B9EE8"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Inspektim të përditshëm të pajisjeve të sigurisë;</w:t>
      </w:r>
    </w:p>
    <w:p w14:paraId="4DBC034C"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Të siguroj të gjitha pajisjet dhe medikamentet që nevojiten në rastin e dhënies së ndihmës së parë në raste aksidentesh në punë.</w:t>
      </w:r>
    </w:p>
    <w:p w14:paraId="40D7635C" w14:textId="104D2C91"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Shtetasi Ardian Lloshi, në cilësinë e drejtuesit teknik dhe Koordinatorit të sigurisë në punë, ka pasur detyrimin ligjor që të kontrollonte stafin për mbajtjen e pajisjeve mbrojtëse individuale dhe të jept</w:t>
      </w:r>
      <w:r w:rsidR="00893C60" w:rsidRPr="000065E0">
        <w:rPr>
          <w:rFonts w:ascii="Times New Roman" w:hAnsi="Times New Roman"/>
          <w:lang w:val="sq-AL" w:bidi="ar-SA"/>
        </w:rPr>
        <w:t>e</w:t>
      </w:r>
      <w:r w:rsidRPr="000065E0">
        <w:rPr>
          <w:rFonts w:ascii="Times New Roman" w:hAnsi="Times New Roman"/>
          <w:lang w:val="sq-AL" w:bidi="ar-SA"/>
        </w:rPr>
        <w:t xml:space="preserve"> ndihmën e parë. Në rastin konkret, ka rezultuar se, i ndjeri nuk ka pasur pajisjet mbrojtëse si, helmeta e kokës dhe rripi i sigurimit, pajisje për të shmangur rreziqet nga rënia nga lartësia.</w:t>
      </w:r>
    </w:p>
    <w:p w14:paraId="220B97B7"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Organi i akuzës nuk ka kryer veprimore hetimore, nëse shtetasi nën hetim, Drini Kingji, ishte i certifikuar për të qenë drejtues teknik, dhe nëse kishte autorizim të protokolluar nga ana e Shoqërisë "AIA" për të zëvendësuar në detyrë drejtuesin teknik, shtetasin Ardian Lloshi.</w:t>
      </w:r>
    </w:p>
    <w:p w14:paraId="31C81269"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Nga dosja hetimore rezulton se, i vetmi person i cili ishte i pajisur me certifikatë për shëndetin dhe sigurinë në punë, me datë lëshimi 26.10.2019, ishte vetëm administrator Ardian Lloshi.</w:t>
      </w:r>
    </w:p>
    <w:p w14:paraId="63771232" w14:textId="386EEC84"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Organi i akuzës nuk ka administruar dokumente shkresore që i shërbenin zbardhjes së ngjarjes si: certifikimi i shtetasit Drini Kingji, që të ishte trajnuar si Drejtues Teknik; dokumentacioni shkresor i protokolluar në regjistrat e Shoqërisë "AIA" nga ku drejtuesi teknik i saj, njëherësh dhe administrator i shoqëris</w:t>
      </w:r>
      <w:r w:rsidR="00893C60" w:rsidRPr="000065E0">
        <w:rPr>
          <w:rFonts w:ascii="Times New Roman" w:hAnsi="Times New Roman"/>
          <w:lang w:val="sq-AL" w:bidi="ar-SA"/>
        </w:rPr>
        <w:t>ë</w:t>
      </w:r>
      <w:r w:rsidRPr="000065E0">
        <w:rPr>
          <w:rFonts w:ascii="Times New Roman" w:hAnsi="Times New Roman"/>
          <w:lang w:val="sq-AL" w:bidi="ar-SA"/>
        </w:rPr>
        <w:t>, shtetasi Ardian Lloshi, të kishte lëshuar delegim të kompetencave të drejtuesit teknik, nga ai kundrejt shtetasit Drini Kingji, ku t'i delegonte detyrën e drejtuesit teknik, për periudhën që ai ishte me leje;</w:t>
      </w:r>
    </w:p>
    <w:p w14:paraId="6A01F003"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Nga deklarimin e dhëna përpara organit të akuzës, shtetasi Drini Kingji ka deklaruar se ështe inxhinjer kantieri, as drejtues teknik dhe as koordinar për sigurinë në punë.</w:t>
      </w:r>
    </w:p>
    <w:p w14:paraId="676199D9"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Në aktet e dosjes hetimore, vërehen deklarime të punonjësve të shoqërisë ndërtuese, të cilat vijnë në kundërshtim me këqyrjen e vendit të ngjarjes dhe pamjet filmike.</w:t>
      </w:r>
    </w:p>
    <w:p w14:paraId="26581637"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Faktet e treguara në deklarime nga ana e kolegut të të ndjerit, shtetasit Shkëlqim Saliu, nuk janë objektive për sa kohë ka qenë i pozicinuar me kurriz nga i ndjeri dhe nuk ka parë dinamikën e ngjarjes se si dhe pse ka humbur ekuilibrin i ndjeri Ibrahim Bilo. Gjithashtu, organi i akuzës duhet të marrë parasysh faktin se, shtetasi Shkëlqim Saliu vazhdon të jetë ende i punësuar pranë Shoqërisë "AIA", për këtë arsye dinamika e ngjarjes që ky shtetas ka treguar organit të akuzës, është tërësisht e ndryshme me atë që ka treguar  trashëgimtarëve të të ndjerit Ibrahim Bilo. Për këtë arsye, nga ana e përfaqësuesve të trashëgimtarëve të viktimës, është kërkuar nga organi i akuzës pyetja e shtetasit Shkëlqim Saliu.</w:t>
      </w:r>
    </w:p>
    <w:p w14:paraId="1C59038A"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 xml:space="preserve">Deklarimet e personave që janë marrë në pyetje nga ana e organit të akuzës nuk tregojnë realitetin, se viktima kishte pasur të vendosur në kokë helmetën mbrojtëse. Këto deklarime të punonjësve të shoqërisë, vijnë në kundërshtim me këqyrjen e vendit të </w:t>
      </w:r>
      <w:r w:rsidRPr="000065E0">
        <w:rPr>
          <w:rFonts w:ascii="Times New Roman" w:hAnsi="Times New Roman"/>
          <w:lang w:val="sq-AL" w:bidi="ar-SA"/>
        </w:rPr>
        <w:lastRenderedPageBreak/>
        <w:t>ngjarjes, si dhe dëmtimeve të marrra nga viktima, që kanë qenë kryesisht në kokë, nga ku sipas Aktit të ekspertimit mjeko-ligjor, nr.466, datë 03.12.2020, rezulton se është konstatuar thyerje e kockave të fytyrës, të kapakut dhe bazës së kafkës, hemoragji poshtë cipës së fortë dhe te butë të trurit. Vdekja e shtetasit Ibrahim Bilo, rezulton të ketë ardhur nga kontuzioni hemoragjik i trurit.</w:t>
      </w:r>
    </w:p>
    <w:p w14:paraId="1DE98A85"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Bazuar si në proces-verablin e këqyrjes së vendit të ngjarjes dhe të kufomës, po ashtu edhe nga akti i ekspertimit mjeko-ligjor, nga ku afër viktimës apo në kokën e tij nuk është evidentuar prania e helmetës mbrojtëse, por poshtë kokës vërehet një pjesë tulle dhe një jelek tjetër fosforeshent. Pra, i ndjeri ka pasur të veshur jelekun fosforeshent, i cili nuk paraqet ndonjë veti mbrojtëse për punonjësit, por identifikues, ka pasur dorezat e punës në të dyja duart. Në rastin kur, i ndjeri do të kishte qenë i pajisur me helmet mbrojtëse, në kokë do të kishte vendosur helmetën dhe jo jelekun fosforishent.</w:t>
      </w:r>
    </w:p>
    <w:p w14:paraId="2373CB70" w14:textId="663E908C"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Nga aktet e administruara në dosjen e prokurorisë nuk rezulton se Shoqëria e nd</w:t>
      </w:r>
      <w:r w:rsidR="00893C60" w:rsidRPr="000065E0">
        <w:rPr>
          <w:rFonts w:ascii="Times New Roman" w:hAnsi="Times New Roman"/>
          <w:lang w:val="sq-AL" w:bidi="ar-SA"/>
        </w:rPr>
        <w:t>ë</w:t>
      </w:r>
      <w:r w:rsidRPr="000065E0">
        <w:rPr>
          <w:rFonts w:ascii="Times New Roman" w:hAnsi="Times New Roman"/>
          <w:lang w:val="sq-AL" w:bidi="ar-SA"/>
        </w:rPr>
        <w:t>rtimit "AIA" ka dorëzuar rripin e sigurimit të ndjerit Ibrahim Bilo.</w:t>
      </w:r>
    </w:p>
    <w:p w14:paraId="2C50473A" w14:textId="7EA870D0"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Rezulton se, si pasojë e rënies nga lartësia, kati i 2 i ndërtimit, mungesa pajisjeve mbrojtës</w:t>
      </w:r>
      <w:r w:rsidR="00B25F7A" w:rsidRPr="000065E0">
        <w:rPr>
          <w:rFonts w:ascii="Times New Roman" w:hAnsi="Times New Roman"/>
          <w:lang w:val="sq-AL" w:bidi="ar-SA"/>
        </w:rPr>
        <w:t>e, konkretisht e rripit të sigur</w:t>
      </w:r>
      <w:r w:rsidRPr="000065E0">
        <w:rPr>
          <w:rFonts w:ascii="Times New Roman" w:hAnsi="Times New Roman"/>
          <w:lang w:val="sq-AL" w:bidi="ar-SA"/>
        </w:rPr>
        <w:t>imit, e cila nuk ishte vendosur në dispozicion nga Shoqëria, i ka shkaktuar të ndjerit thyerje të kapakut dhe bazës së kafkës, shkak edhe i ardhjes së vdekjes.</w:t>
      </w:r>
    </w:p>
    <w:p w14:paraId="1EC9571C"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Natyrshëm shtrohet pyetja se, nëse viktima ka qenë i rregullt, si në vendosjen e jelekut fosforeshent, po ashtu edhe në vendosjen e dorezave, pse nuk do të vendoste helmetën dhe rripin e sigurimit, në rastin kur do i ishte vendosur në dispozicion?</w:t>
      </w:r>
    </w:p>
    <w:p w14:paraId="2D1F9B40" w14:textId="655E308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Nga ana e organit të akuzës nuk është sekuestruar në kohë dokumentacioni i instruktazhit dhe i marrjes në dorëzim të mjet</w:t>
      </w:r>
      <w:r w:rsidR="00893C60" w:rsidRPr="000065E0">
        <w:rPr>
          <w:rFonts w:ascii="Times New Roman" w:hAnsi="Times New Roman"/>
          <w:lang w:val="sq-AL" w:bidi="ar-SA"/>
        </w:rPr>
        <w:t>e</w:t>
      </w:r>
      <w:r w:rsidRPr="000065E0">
        <w:rPr>
          <w:rFonts w:ascii="Times New Roman" w:hAnsi="Times New Roman"/>
          <w:lang w:val="sq-AL" w:bidi="ar-SA"/>
        </w:rPr>
        <w:t>ve mbrojtëse të punës. Këto dokument</w:t>
      </w:r>
      <w:r w:rsidR="00893C60" w:rsidRPr="000065E0">
        <w:rPr>
          <w:rFonts w:ascii="Times New Roman" w:hAnsi="Times New Roman"/>
          <w:lang w:val="sq-AL" w:bidi="ar-SA"/>
        </w:rPr>
        <w:t>e</w:t>
      </w:r>
      <w:r w:rsidRPr="000065E0">
        <w:rPr>
          <w:rFonts w:ascii="Times New Roman" w:hAnsi="Times New Roman"/>
          <w:lang w:val="sq-AL" w:bidi="ar-SA"/>
        </w:rPr>
        <w:t xml:space="preserve"> janë vendosur më vonë në dispozicion nga ana e personit nën hetim, shtetasi Drini Kingji.</w:t>
      </w:r>
    </w:p>
    <w:p w14:paraId="3093A411"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Fakti se, deklarimet duan të fajësojnë apo justifikojnë rënien e të ndjerit si pasojë e humbjes së ekuilibrit, rezulton se, për personat që punojnë në lartësi të mëdha, humbja e ekuilibrit është një ndër rreziqet eminente dhe të mundshme që mund t'i ndodhë punonjësve, për këtë arsye merren masat për parandalimin e rreziqeve, siç është vënia në dispozicion e rripit të sigurimit.</w:t>
      </w:r>
    </w:p>
    <w:p w14:paraId="2B09F466"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Është i provuar fakti, edhe nga kartela mjekësore, se i ndjeri nuk vuante nga tensioni apo të kishte sëmundje të cilat nuk lejonin që të punonte, për këtë arsye deklaratat e shtetasve të marrë në pyetje nga organi i akuzës, duhet të ishin marrë me shumë rezerva, pasi tregonin fakte të pa provuara me prova shkresore.</w:t>
      </w:r>
    </w:p>
    <w:p w14:paraId="37F1A6D3" w14:textId="2388FB1C"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Bazuar në nenin 289 të Kodit Penal, ligji nuk parashikon delegimin e përgjegjësisë të mbrojtjes në punë tek vetë punonjësit, por parashikon figurën e drejtuesit teknik të mbrojtjes në punë, i cili ka përgjegjësinë ligjore që jeta e punonjësve është e mbrojtur, si dhe se ana e tyre po zbatohen rregullat e mbrojtjes teknike në punë.</w:t>
      </w:r>
    </w:p>
    <w:p w14:paraId="4C99C837"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Kuptohet fakti se nga ana e personit nën hetim dhe e drejtuesve të Shoqërisë, imponojnë punonjësit për të nënshkruar formulare të kalimit të përgjegjësisë tek ata në rastin e aksidenteve në punë, ndërkohë përpara ligjit, drejtuesi teknik nuk mund të justifikohen se, ka qenë punonjësi i cili nuk ka zbatuar rregullat e sigurimit teknik.</w:t>
      </w:r>
    </w:p>
    <w:p w14:paraId="42A2BE79" w14:textId="48B2CF0D"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Personi nën hetim, Drini Kingji, ka pasur vetëm cilësinë e Inxhin</w:t>
      </w:r>
      <w:r w:rsidR="00893C60" w:rsidRPr="000065E0">
        <w:rPr>
          <w:rFonts w:ascii="Times New Roman" w:hAnsi="Times New Roman"/>
          <w:lang w:val="sq-AL" w:bidi="ar-SA"/>
        </w:rPr>
        <w:t>i</w:t>
      </w:r>
      <w:r w:rsidRPr="000065E0">
        <w:rPr>
          <w:rFonts w:ascii="Times New Roman" w:hAnsi="Times New Roman"/>
          <w:lang w:val="sq-AL" w:bidi="ar-SA"/>
        </w:rPr>
        <w:t>erit të objektit, jo të drejtuesit teknik të saj. Duke qenë se neni 289 ka të parashiku</w:t>
      </w:r>
      <w:r w:rsidR="00893C60" w:rsidRPr="000065E0">
        <w:rPr>
          <w:rFonts w:ascii="Times New Roman" w:hAnsi="Times New Roman"/>
          <w:lang w:val="sq-AL" w:bidi="ar-SA"/>
        </w:rPr>
        <w:t>a</w:t>
      </w:r>
      <w:r w:rsidRPr="000065E0">
        <w:rPr>
          <w:rFonts w:ascii="Times New Roman" w:hAnsi="Times New Roman"/>
          <w:lang w:val="sq-AL" w:bidi="ar-SA"/>
        </w:rPr>
        <w:t>r subjekt të posaçëm që konsumon këtë vepër, nën hetim duhet të merrej shtetasi i cili gëzonte këto cilësi të posaçme të subjektit të veprës penale.</w:t>
      </w:r>
    </w:p>
    <w:p w14:paraId="7871EF49"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Në lidhje me aktin e ekspertimit teknik të sigurisë në punë:</w:t>
      </w:r>
    </w:p>
    <w:p w14:paraId="45F5C0BA"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 xml:space="preserve">Eksperti Alfred Hasanaj, i cili sipas deklaratës, pa datë dhe muaj, të vitit 2020, ka deklaruar se është specialist me njohuri të posaçme në fushën e Sigurisë në Punë dhe i regjistruar në librin e ekspertëve të rrethit Tiranë. Eksperti Soen Sako, i cili sipas </w:t>
      </w:r>
      <w:r w:rsidRPr="000065E0">
        <w:rPr>
          <w:rFonts w:ascii="Times New Roman" w:hAnsi="Times New Roman"/>
          <w:lang w:val="sq-AL" w:bidi="ar-SA"/>
        </w:rPr>
        <w:lastRenderedPageBreak/>
        <w:t>deklaratës, pa datë dhe muaj, të vitit 2020, ka deklaruar se është specialist me njohuri të posaçme në fushën e Sigurisë në Punë dhe i regjistruar në librin e ekspertëve të rrethit Tiranë.</w:t>
      </w:r>
    </w:p>
    <w:p w14:paraId="7FEF6720"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Rezulton se, eksperti Alfred Hasanaj, është i pajisur me licencë me Nr.6891/1 në Projektim. Ndërsa eskperti Soen Sako, me licencë me Nr.1753/1, në Projektim.</w:t>
      </w:r>
    </w:p>
    <w:p w14:paraId="1E542260" w14:textId="3A068D52"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Nga ana e Gjykatës, në vendim është argumentuar se, fusha e sigurisë në punë, nuk është e rregulluar me licencë, dhe tek Regjistri i Ekspertëve të Ministrisë së Drejtësisë nuk figuron kategori e posaçme për fushën e sigurisë në punë, atëherë bazuar në cilat kritere caktohen ekspertët nga ana e organit të akuzës. Kriteri që prokurori i çështjes ka aplikuar për caktimin e këtyre ekspertëve ka qenë fakti se kanë kryer eks</w:t>
      </w:r>
      <w:r w:rsidR="00893C60" w:rsidRPr="000065E0">
        <w:rPr>
          <w:rFonts w:ascii="Times New Roman" w:hAnsi="Times New Roman"/>
          <w:lang w:val="sq-AL" w:bidi="ar-SA"/>
        </w:rPr>
        <w:t>pertime më përpara. Gjith</w:t>
      </w:r>
      <w:r w:rsidRPr="000065E0">
        <w:rPr>
          <w:rFonts w:ascii="Times New Roman" w:hAnsi="Times New Roman"/>
          <w:lang w:val="sq-AL" w:bidi="ar-SA"/>
        </w:rPr>
        <w:t>sesi, këto mbeten në statusin e thënieve të paprovuara.</w:t>
      </w:r>
    </w:p>
    <w:p w14:paraId="1CB77825"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Ajo që duhet theksuar është se, për të pasur njohuri në fushën e mbrojtjes në punë, të cilat në respekt të ligjit provohen dhe merren të mirëqëna vetëm kur janë të certifikuara. Në rastin konkret, për të ushtruar detyrën e Drejtuesit Teknik, duhet ndjekur një trajnim, nga ku më pas subjekti pajiset me certifikatë nga enti certifikues.</w:t>
      </w:r>
    </w:p>
    <w:p w14:paraId="4588F0EB" w14:textId="38BC3B6A"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 xml:space="preserve">Në rastin konkret, në respektim të parimit të transparencës, të provueshmërisë që ekspertët e caktuar nga organi i akuzës, kishin këto cilësi të veçanta, duhet të ishte administruar, përpos </w:t>
      </w:r>
      <w:r w:rsidR="00893C60" w:rsidRPr="000065E0">
        <w:rPr>
          <w:rFonts w:ascii="Times New Roman" w:hAnsi="Times New Roman"/>
          <w:lang w:val="sq-AL" w:bidi="ar-SA"/>
        </w:rPr>
        <w:t>licencës, edhe certifikimi i ek</w:t>
      </w:r>
      <w:r w:rsidRPr="000065E0">
        <w:rPr>
          <w:rFonts w:ascii="Times New Roman" w:hAnsi="Times New Roman"/>
          <w:lang w:val="sq-AL" w:bidi="ar-SA"/>
        </w:rPr>
        <w:t>s</w:t>
      </w:r>
      <w:r w:rsidR="00893C60" w:rsidRPr="000065E0">
        <w:rPr>
          <w:rFonts w:ascii="Times New Roman" w:hAnsi="Times New Roman"/>
          <w:lang w:val="sq-AL" w:bidi="ar-SA"/>
        </w:rPr>
        <w:t>p</w:t>
      </w:r>
      <w:r w:rsidRPr="000065E0">
        <w:rPr>
          <w:rFonts w:ascii="Times New Roman" w:hAnsi="Times New Roman"/>
          <w:lang w:val="sq-AL" w:bidi="ar-SA"/>
        </w:rPr>
        <w:t>ertëve në fushën e sigurisë në punë. Përsa i përket regjistrimit të tyre në librin e ekspertëve të rrethit të Tiranës, rezulton se, nga kontrolli i kryer në Regjistrin e librit të ekspertëve Tiranë, figuron i regjistruar vetëm eksperti Alfred Hasanaj.</w:t>
      </w:r>
    </w:p>
    <w:p w14:paraId="318F3A2B" w14:textId="6C31D74F"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 xml:space="preserve">Rezulton se, bazuar në nenin 224/d të </w:t>
      </w:r>
      <w:r w:rsidR="00763822" w:rsidRPr="000065E0">
        <w:rPr>
          <w:rFonts w:ascii="Times New Roman" w:hAnsi="Times New Roman"/>
          <w:lang w:val="sq-AL" w:bidi="ar-SA"/>
        </w:rPr>
        <w:t>Kodit t</w:t>
      </w:r>
      <w:r w:rsidR="00E154F7" w:rsidRPr="000065E0">
        <w:rPr>
          <w:rFonts w:ascii="Times New Roman" w:hAnsi="Times New Roman"/>
          <w:lang w:val="sq-AL" w:bidi="ar-SA"/>
        </w:rPr>
        <w:t>ë</w:t>
      </w:r>
      <w:r w:rsidR="00763822" w:rsidRPr="000065E0">
        <w:rPr>
          <w:rFonts w:ascii="Times New Roman" w:hAnsi="Times New Roman"/>
          <w:lang w:val="sq-AL" w:bidi="ar-SA"/>
        </w:rPr>
        <w:t xml:space="preserve"> Procedur</w:t>
      </w:r>
      <w:r w:rsidR="00E154F7" w:rsidRPr="000065E0">
        <w:rPr>
          <w:rFonts w:ascii="Times New Roman" w:hAnsi="Times New Roman"/>
          <w:lang w:val="sq-AL" w:bidi="ar-SA"/>
        </w:rPr>
        <w:t>ë</w:t>
      </w:r>
      <w:r w:rsidR="00763822" w:rsidRPr="000065E0">
        <w:rPr>
          <w:rFonts w:ascii="Times New Roman" w:hAnsi="Times New Roman"/>
          <w:lang w:val="sq-AL" w:bidi="ar-SA"/>
        </w:rPr>
        <w:t>s Civile</w:t>
      </w:r>
      <w:r w:rsidRPr="000065E0">
        <w:rPr>
          <w:rFonts w:ascii="Times New Roman" w:hAnsi="Times New Roman"/>
          <w:lang w:val="sq-AL" w:bidi="ar-SA"/>
        </w:rPr>
        <w:t>, është e parashikuar se: Ministria e Drejtësisë pranon regjistrimin e ekspertit në regjistrin elektronik, nëse ai përmbush kriteret e mëposhtme: a) të ketë dhjetë vjet përvojë profesionale në fushën specifike apo të ngjashme. Pesë vjet përvojë profesionale e këtij lloji është e mjaftueshme nëse aplikanti ka përfunduar një trajnim profesional në fushën përkatëse; Ekspertët përve</w:t>
      </w:r>
      <w:r w:rsidR="00893C60" w:rsidRPr="000065E0">
        <w:rPr>
          <w:rFonts w:ascii="Times New Roman" w:hAnsi="Times New Roman"/>
          <w:lang w:val="sq-AL" w:bidi="ar-SA"/>
        </w:rPr>
        <w:t>ç</w:t>
      </w:r>
      <w:r w:rsidRPr="000065E0">
        <w:rPr>
          <w:rFonts w:ascii="Times New Roman" w:hAnsi="Times New Roman"/>
          <w:lang w:val="sq-AL" w:bidi="ar-SA"/>
        </w:rPr>
        <w:t xml:space="preserve"> licencës për ushtrimin e profesionit si proj</w:t>
      </w:r>
      <w:r w:rsidR="00893C60" w:rsidRPr="000065E0">
        <w:rPr>
          <w:rFonts w:ascii="Times New Roman" w:hAnsi="Times New Roman"/>
          <w:lang w:val="sq-AL" w:bidi="ar-SA"/>
        </w:rPr>
        <w:t>e</w:t>
      </w:r>
      <w:r w:rsidRPr="000065E0">
        <w:rPr>
          <w:rFonts w:ascii="Times New Roman" w:hAnsi="Times New Roman"/>
          <w:lang w:val="sq-AL" w:bidi="ar-SA"/>
        </w:rPr>
        <w:t>ktues, nuk referojnë të kenë licenca apo kualifikime ligjore për kryerjen e ekspertizës pë</w:t>
      </w:r>
      <w:r w:rsidR="00893C60" w:rsidRPr="000065E0">
        <w:rPr>
          <w:rFonts w:ascii="Times New Roman" w:hAnsi="Times New Roman"/>
          <w:lang w:val="sq-AL" w:bidi="ar-SA"/>
        </w:rPr>
        <w:t>r</w:t>
      </w:r>
      <w:r w:rsidRPr="000065E0">
        <w:rPr>
          <w:rFonts w:ascii="Times New Roman" w:hAnsi="Times New Roman"/>
          <w:lang w:val="sq-AL" w:bidi="ar-SA"/>
        </w:rPr>
        <w:t xml:space="preserve"> sigurimin teknik në punë. </w:t>
      </w:r>
    </w:p>
    <w:p w14:paraId="5EB75272"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Nisur nga këto premisa, pasi studimit të pyetje të drejtuara nga ana e organit të akuzës dhe përgjigjeve të dhëna në aktin e ekspertimit teknik, vërejmë se:</w:t>
      </w:r>
    </w:p>
    <w:p w14:paraId="3944D5DD" w14:textId="62252E45" w:rsidR="00763822"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Nga ana e organit të akuzës ekspertëve i janë drejtuar pyetje të cilat nuk ishin pyetje teknike, pasi mjafton t'i refer</w:t>
      </w:r>
      <w:r w:rsidR="00893C60" w:rsidRPr="000065E0">
        <w:rPr>
          <w:rFonts w:ascii="Times New Roman" w:hAnsi="Times New Roman"/>
          <w:lang w:val="sq-AL" w:bidi="ar-SA"/>
        </w:rPr>
        <w:t>o</w:t>
      </w:r>
      <w:r w:rsidRPr="000065E0">
        <w:rPr>
          <w:rFonts w:ascii="Times New Roman" w:hAnsi="Times New Roman"/>
          <w:lang w:val="sq-AL" w:bidi="ar-SA"/>
        </w:rPr>
        <w:t>hej provat shkresore të cilat gjendeshin në dosje që, kishte një procesverbal kontrolli dhe marrjes në dorëzim të pajisjeve mbrojtëse dhe individuale, datës 03.06.2020, të firmosur nga tekniku i objektit Sorjan Kordhoni, i cili deklaron se janë instruktuar dhe pajisur punëtorët ndër të tjera, i ndjeri Ibrahim Bilo;</w:t>
      </w:r>
    </w:p>
    <w:p w14:paraId="4A683E98" w14:textId="09345F9E"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Nga dokumenti shkresor, datës 01.05.2020, i marrjes në dorëzim të pajisjeve mbrojtëse individuale, nuk lexohet të jetë dorëzuar rripi i sigurimit (për punime në lartësi mbi 2 metra). Ka rezultuar e provuar se i ndjeri nuk kishte të vendosur rripin e sigurimit ditën që ka ndodhur ngjarja. Mungesa e rripit të sigurimit ka bërë i ndjeri të rrëzohet nga lartësia dhe të gjej vdekjen.</w:t>
      </w:r>
    </w:p>
    <w:p w14:paraId="1C36311A" w14:textId="5EA1E919"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Ku jan</w:t>
      </w:r>
      <w:r w:rsidR="00893C60" w:rsidRPr="000065E0">
        <w:rPr>
          <w:rFonts w:ascii="Times New Roman" w:hAnsi="Times New Roman"/>
          <w:lang w:val="sq-AL" w:bidi="ar-SA"/>
        </w:rPr>
        <w:t>ë</w:t>
      </w:r>
      <w:r w:rsidRPr="000065E0">
        <w:rPr>
          <w:rFonts w:ascii="Times New Roman" w:hAnsi="Times New Roman"/>
          <w:lang w:val="sq-AL" w:bidi="ar-SA"/>
        </w:rPr>
        <w:t xml:space="preserve"> referuar ekspertët, të cilët në faqen 39 të aktit të ekspertimit teknik, shkruajnë se: </w:t>
      </w:r>
      <w:r w:rsidRPr="000065E0">
        <w:rPr>
          <w:rFonts w:ascii="Times New Roman" w:hAnsi="Times New Roman"/>
          <w:i/>
          <w:iCs/>
          <w:lang w:val="sq-AL" w:bidi="ar-SA"/>
        </w:rPr>
        <w:t>"Punëmarrësit nuk kanë përdorur rripin e sigurimit të vënë në dispozicion nga punëdhënësi shoqëria "AIA"?</w:t>
      </w:r>
    </w:p>
    <w:p w14:paraId="66066ACA"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Nëse nga aktet e dosjes rezulton vetëm një procesverbal i marrjes në dorëzim të mjeteve mbrojtëse individuale të punës, që mban emrin e punonjësit Ibrahim Bilo, nga ku nuk rezulton i renditur në zërin "artikulli" rripi i sigurimit. Konkretisht lexohet; Këpucë me puntel; Helmetë; Jelek Fosforeshent; Syzembrojtëse; Dorashka me korace; Kufje dhe mbyllet këtu. Pra rripi i sigurimit, i domosdoshëm për përdorim për punonjësit që punojnë mbi 2 metër lartësi, nuk i është dhënë në dorëzim të ndjerit.</w:t>
      </w:r>
    </w:p>
    <w:p w14:paraId="1F3BB801" w14:textId="7777777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lastRenderedPageBreak/>
        <w:t>Ekspertët janë treguar shumë të kujdesshëm të vendosnin të gjitha aktet e dosjes, t'i inkorporonin në aktin e ekspertimit, si ka mundësi të mos kenë konstatuar faktin se të ndjerit Ibrahim Bilo, nuk i ishte dhënë në dorëzim asnjë rrip sigurimi, si mundet që i ndjeri të përdorë një pajisje mbrojtëse që nuk i ishte vendosur në dispozicion?</w:t>
      </w:r>
    </w:p>
    <w:p w14:paraId="510EB210" w14:textId="2F6E190F"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Dosja hetimore ka vetëm një procesverbal për marrjen në dorëzim të pajisjeve mbrojtëse, pra vetëm për të ndjerin, në momentin që ekspertët përgjithësojnë situatën që punonjësit (pra edhe kolegu i të ndjerit) nuk kanë pasur rrip mbrojtës edhe pse i është vendosur në dispozicion nga shoqëria, në cilin dokument janë referuar ekspertët në nxjerrjen e një akti të tillë?</w:t>
      </w:r>
    </w:p>
    <w:p w14:paraId="3BD1F664" w14:textId="42F87187"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Nga ana e eksperteve rezulton të jetë konstatuar montimi i skelës jo në përputhje me kushtet teknike. Si mund të arrihet në konkluzion se p</w:t>
      </w:r>
      <w:r w:rsidR="00893C60" w:rsidRPr="000065E0">
        <w:rPr>
          <w:rFonts w:ascii="Times New Roman" w:hAnsi="Times New Roman"/>
          <w:lang w:val="sq-AL" w:bidi="ar-SA"/>
        </w:rPr>
        <w:t>unonjësve të cilët nuk di</w:t>
      </w:r>
      <w:r w:rsidRPr="000065E0">
        <w:rPr>
          <w:rFonts w:ascii="Times New Roman" w:hAnsi="Times New Roman"/>
          <w:lang w:val="sq-AL" w:bidi="ar-SA"/>
        </w:rPr>
        <w:t>në të montojnë skelën, i është bërë instruktazhi i nevojshëm?</w:t>
      </w:r>
    </w:p>
    <w:p w14:paraId="00E6275C" w14:textId="26315621"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Në lidhje me pyetjen 5, ekspertët rendisin faktin qe mjetet mbrojtëse janë vendosur në dispozicion nga punëdhënësi, punonjësit janë instruktuar, është kryer raporti i vlerësimit të rriskut; është vendosur koordinatori i sigurisë dhe shëndetit në punë, por harrojnë të evidentojnë faktin se, punëdhënësi ka detyrën të verifikojë nëse punonjësit mbajnë pajisjet mbrojtëse, nëse kanë vendosur rripin e sigurimit, nëse i kanë montuar mirë skelat dhe mbi të gjitha që koorniatori të jetë prezent në objekt.</w:t>
      </w:r>
    </w:p>
    <w:p w14:paraId="59334C3F" w14:textId="6FAA68DA" w:rsidR="00437547" w:rsidRPr="000065E0" w:rsidRDefault="00437547"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Me qëllim sqarimin e fakteve të çështjes, vlerësimin e drejtë të situatës dhe përgjegjësin</w:t>
      </w:r>
      <w:r w:rsidR="00893C60" w:rsidRPr="000065E0">
        <w:rPr>
          <w:rFonts w:ascii="Times New Roman" w:hAnsi="Times New Roman"/>
          <w:lang w:val="sq-AL" w:bidi="ar-SA"/>
        </w:rPr>
        <w:t>ë</w:t>
      </w:r>
      <w:r w:rsidRPr="000065E0">
        <w:rPr>
          <w:rFonts w:ascii="Times New Roman" w:hAnsi="Times New Roman"/>
          <w:lang w:val="sq-AL" w:bidi="ar-SA"/>
        </w:rPr>
        <w:t xml:space="preserve"> e shkaktarit të aksidentit, gjykata duhet të kthejë dosjen në prokurori për kryerjen e hetime të plota dhe të gjithanshme, si dhe kryerjen e një akti të ri ekspertimi nga një grup prej 3 ekspertësh të cilët të jenë të certifikuar për sigurinë në punë, duke i dhënë mundësinë viktimave të veprës penale për të propozuar emra ekspertësh, për t'u njohur me emrat e ekspertëve të caktuar, në rast të ndonjë rasti përjashtimi apo papajtueshmërie, për t'i drejtuar pyetje që ndihmojnë në zbardhjen e çështjes.</w:t>
      </w:r>
    </w:p>
    <w:p w14:paraId="189CDECD" w14:textId="26480F7A" w:rsidR="00AD667A" w:rsidRPr="000065E0" w:rsidRDefault="00763822" w:rsidP="003E1B7E">
      <w:pPr>
        <w:pStyle w:val="ListParagraph"/>
        <w:numPr>
          <w:ilvl w:val="0"/>
          <w:numId w:val="2"/>
        </w:numPr>
        <w:tabs>
          <w:tab w:val="left" w:pos="720"/>
          <w:tab w:val="left" w:pos="1170"/>
        </w:tabs>
        <w:spacing w:after="160"/>
        <w:jc w:val="both"/>
        <w:rPr>
          <w:rFonts w:ascii="Times New Roman" w:hAnsi="Times New Roman"/>
          <w:lang w:val="sq-AL" w:bidi="ar-SA"/>
        </w:rPr>
      </w:pPr>
      <w:r w:rsidRPr="000065E0">
        <w:rPr>
          <w:rFonts w:ascii="Times New Roman" w:hAnsi="Times New Roman"/>
          <w:lang w:val="sq-AL" w:bidi="ar-SA"/>
        </w:rPr>
        <w:t>T</w:t>
      </w:r>
      <w:r w:rsidR="00437547" w:rsidRPr="000065E0">
        <w:rPr>
          <w:rFonts w:ascii="Times New Roman" w:hAnsi="Times New Roman"/>
          <w:lang w:val="sq-AL" w:bidi="ar-SA"/>
        </w:rPr>
        <w:t>rashëgimtarëve të viktimës së veprës penale dhe përfaqësuesve të tyre ligjorë, nuk i është dhënë e drejta që të njihen me aktet e dosjes gjatë fazës hetimore dhe të kishin mundësinë për të kundërshtuar provat, apo të mund të kërkonin marrjen e provave të reja në funksion të zbardhjes së të vërtetës.</w:t>
      </w:r>
    </w:p>
    <w:p w14:paraId="604C6076" w14:textId="77777777" w:rsidR="00437547" w:rsidRPr="000065E0" w:rsidRDefault="00437547" w:rsidP="003E1B7E">
      <w:pPr>
        <w:pStyle w:val="ListParagraph"/>
        <w:tabs>
          <w:tab w:val="left" w:pos="720"/>
          <w:tab w:val="left" w:pos="1170"/>
        </w:tabs>
        <w:spacing w:after="160"/>
        <w:jc w:val="both"/>
        <w:rPr>
          <w:rFonts w:ascii="Times New Roman" w:hAnsi="Times New Roman"/>
          <w:lang w:val="sq-AL" w:bidi="ar-SA"/>
        </w:rPr>
      </w:pPr>
    </w:p>
    <w:p w14:paraId="781CBB48" w14:textId="67EBE1C6" w:rsidR="00D148E8" w:rsidRPr="000065E0" w:rsidRDefault="00D148E8" w:rsidP="003E1B7E">
      <w:pPr>
        <w:pStyle w:val="ListParagraph"/>
        <w:numPr>
          <w:ilvl w:val="0"/>
          <w:numId w:val="1"/>
        </w:numPr>
        <w:ind w:left="360" w:firstLine="0"/>
        <w:jc w:val="both"/>
        <w:rPr>
          <w:rFonts w:ascii="Times New Roman" w:hAnsi="Times New Roman"/>
          <w:bCs/>
          <w:lang w:val="sq-AL"/>
        </w:rPr>
      </w:pPr>
      <w:r w:rsidRPr="000065E0">
        <w:rPr>
          <w:rFonts w:ascii="Times New Roman" w:eastAsia="Calibri" w:hAnsi="Times New Roman"/>
          <w:b/>
          <w:lang w:val="sq-AL" w:bidi="ar-SA"/>
        </w:rPr>
        <w:t xml:space="preserve">Vlerësimi i Kolegjit Penal </w:t>
      </w:r>
    </w:p>
    <w:p w14:paraId="0149BEAF" w14:textId="77777777" w:rsidR="00D148E8" w:rsidRPr="000065E0" w:rsidRDefault="00D148E8" w:rsidP="003E1B7E">
      <w:pPr>
        <w:jc w:val="both"/>
        <w:rPr>
          <w:rFonts w:ascii="Times New Roman" w:hAnsi="Times New Roman"/>
          <w:bCs/>
        </w:rPr>
      </w:pPr>
    </w:p>
    <w:p w14:paraId="4ACA86BD" w14:textId="72FFFD97" w:rsidR="008420F7" w:rsidRPr="000065E0" w:rsidRDefault="008420F7"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eastAsia="MS Mincho" w:hAnsi="Times New Roman"/>
          <w:bCs/>
          <w:lang w:val="sq-AL" w:bidi="ar-SA"/>
        </w:rPr>
        <w:t>Kolegji Penal i Gjykatës së Lartë (në vijim Kolegji) vlerëson se rekursi nga trashëgimtarët e viktimës është paraqitur brenda afatit ligjor</w:t>
      </w:r>
      <w:r w:rsidRPr="000065E0">
        <w:rPr>
          <w:rFonts w:ascii="Times New Roman" w:eastAsia="MS Mincho" w:hAnsi="Times New Roman"/>
          <w:lang w:val="sq-AL" w:bidi="ar-SA"/>
        </w:rPr>
        <w:t xml:space="preserve"> </w:t>
      </w:r>
      <w:r w:rsidRPr="000065E0">
        <w:rPr>
          <w:rFonts w:ascii="Times New Roman" w:eastAsia="MS Mincho" w:hAnsi="Times New Roman"/>
          <w:bCs/>
          <w:lang w:val="sq-AL" w:bidi="ar-SA"/>
        </w:rPr>
        <w:t>dhe në formën</w:t>
      </w:r>
      <w:r w:rsidRPr="000065E0">
        <w:rPr>
          <w:rFonts w:ascii="Times New Roman" w:eastAsia="MS Mincho" w:hAnsi="Times New Roman"/>
          <w:bCs/>
          <w:vertAlign w:val="superscript"/>
          <w:lang w:val="sq-AL" w:bidi="ar-SA"/>
        </w:rPr>
        <w:t xml:space="preserve"> </w:t>
      </w:r>
      <w:r w:rsidRPr="000065E0">
        <w:rPr>
          <w:rFonts w:ascii="Times New Roman" w:eastAsia="MS Mincho" w:hAnsi="Times New Roman"/>
          <w:bCs/>
          <w:lang w:val="sq-AL" w:bidi="ar-SA"/>
        </w:rPr>
        <w:t>e parashikuar në nenin 435 të Kodit të Procedurës Penale (në vijim KPP). Prokuroria dhe personi n</w:t>
      </w:r>
      <w:r w:rsidR="00E154F7" w:rsidRPr="000065E0">
        <w:rPr>
          <w:rFonts w:ascii="Times New Roman" w:eastAsia="MS Mincho" w:hAnsi="Times New Roman"/>
          <w:bCs/>
          <w:lang w:val="sq-AL" w:bidi="ar-SA"/>
        </w:rPr>
        <w:t>ë</w:t>
      </w:r>
      <w:r w:rsidRPr="000065E0">
        <w:rPr>
          <w:rFonts w:ascii="Times New Roman" w:eastAsia="MS Mincho" w:hAnsi="Times New Roman"/>
          <w:bCs/>
          <w:lang w:val="sq-AL" w:bidi="ar-SA"/>
        </w:rPr>
        <w:t>n hetim janë njoftuar për rekursin. Për sa më sipër, rekursi plotëson kriteret formale për t’u pranuar për shqyrtim.</w:t>
      </w:r>
    </w:p>
    <w:p w14:paraId="569FDEB2" w14:textId="77777777" w:rsidR="008420F7" w:rsidRPr="000065E0" w:rsidRDefault="008420F7"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lang w:val="sq-AL"/>
        </w:rPr>
        <w:t>Kolegji rithekson se Gjykata e Lartë, si gjykatë ligji, ushtron kontroll vetëm mbi interpretimin dhe zbatimin e ligjit (neni 432 KPP dhe neni 141 i Kushtetutës), pa rivlerësuar faktet dhe provat. Në këtë kuadër, ajo verifikon nëse gjykatat e faktit kanë zbatuar drejt ligjin dhe nëse vendimet e tyre janë të arsyetuara, sipas standardeve kushtetuese dhe të Gjykatës Europiane të të Drejtave të Njeriut</w:t>
      </w:r>
      <w:r w:rsidRPr="000065E0">
        <w:rPr>
          <w:rFonts w:ascii="Times New Roman" w:hAnsi="Times New Roman"/>
          <w:spacing w:val="2"/>
          <w:shd w:val="clear" w:color="auto" w:fill="FFFFFF"/>
          <w:vertAlign w:val="superscript"/>
          <w:lang w:val="sq-AL"/>
        </w:rPr>
        <w:footnoteReference w:id="1"/>
      </w:r>
      <w:r w:rsidRPr="000065E0">
        <w:rPr>
          <w:rFonts w:ascii="Times New Roman" w:hAnsi="Times New Roman"/>
          <w:lang w:val="sq-AL"/>
        </w:rPr>
        <w:t>. Po ashtu, në përputhje me jurisprudencën kushtetuese</w:t>
      </w:r>
      <w:r w:rsidRPr="000065E0">
        <w:rPr>
          <w:rStyle w:val="FootnoteReference"/>
          <w:rFonts w:ascii="Times New Roman" w:hAnsi="Times New Roman"/>
          <w:bCs/>
          <w:lang w:val="sq-AL"/>
        </w:rPr>
        <w:footnoteReference w:id="2"/>
      </w:r>
      <w:r w:rsidRPr="000065E0">
        <w:rPr>
          <w:rFonts w:ascii="Times New Roman" w:hAnsi="Times New Roman"/>
          <w:lang w:val="sq-AL"/>
        </w:rPr>
        <w:t>, Kolegji vlerëson paraprakisht plotësimin e kërkesave ligjore të rekursit dhe, kur shkaqet e ngritura nuk mbështeten në aktet e dosjes ose janë haptazi të pabazuara, të vendosë mospranimin e tij me arsyetim të përmbledhur në dhomë këshillimi.</w:t>
      </w:r>
    </w:p>
    <w:p w14:paraId="4E2F2AEE" w14:textId="3849D532" w:rsidR="008420F7" w:rsidRPr="000065E0" w:rsidRDefault="008420F7"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lang w:val="sq-AL"/>
        </w:rPr>
        <w:t>Sipas nenit 432/1 t</w:t>
      </w:r>
      <w:r w:rsidR="00E154F7" w:rsidRPr="000065E0">
        <w:rPr>
          <w:rFonts w:ascii="Times New Roman" w:hAnsi="Times New Roman"/>
          <w:lang w:val="sq-AL"/>
        </w:rPr>
        <w:t>ë</w:t>
      </w:r>
      <w:r w:rsidRPr="000065E0">
        <w:rPr>
          <w:rFonts w:ascii="Times New Roman" w:hAnsi="Times New Roman"/>
          <w:lang w:val="sq-AL"/>
        </w:rPr>
        <w:t xml:space="preserve"> KPP, rekursi kundër vendimeve të gjykatës së apelit lejohet vetëm për shkaqe taksative: </w:t>
      </w:r>
      <w:r w:rsidRPr="000065E0">
        <w:rPr>
          <w:rFonts w:ascii="Times New Roman" w:hAnsi="Times New Roman"/>
          <w:bCs/>
          <w:lang w:val="sq-AL"/>
        </w:rPr>
        <w:t xml:space="preserve">a) për mosrespektimin ose zbatimin e gabuar të ligjit material ose </w:t>
      </w:r>
      <w:r w:rsidRPr="000065E0">
        <w:rPr>
          <w:rFonts w:ascii="Times New Roman" w:hAnsi="Times New Roman"/>
          <w:bCs/>
          <w:lang w:val="sq-AL"/>
        </w:rPr>
        <w:lastRenderedPageBreak/>
        <w:t>procedural, me rëndësi për njësimin ose zhvillimin e praktikës gjyqësore; b) për mosrespektimin ose zbatimin e gabuar të ligjit procedural me pasojë pavlefshmërinë e vendimit, pavlefshmërinë absolutë të aktëve ose papërdorshmërinë e provave; c) kur vendimi i ankimuar vjen në kundërshtim me praktikën e Kolegjit Penal ose të Kolegjeve të Bashkuara të Gjykatës së Lartë</w:t>
      </w:r>
      <w:r w:rsidRPr="000065E0">
        <w:rPr>
          <w:rFonts w:ascii="Times New Roman" w:hAnsi="Times New Roman"/>
          <w:lang w:val="sq-AL"/>
        </w:rPr>
        <w:t>. Pretendimet jashtë këtyre rasteve, ose të pambështetura në dosje, e bëjnë rekursin të papranueshëm. Për pasojë, pala që ushtron rekurs ka detyrimin të identifikojë qartë se cilit rast të nenit 432/1 t</w:t>
      </w:r>
      <w:r w:rsidR="00E154F7" w:rsidRPr="000065E0">
        <w:rPr>
          <w:rFonts w:ascii="Times New Roman" w:hAnsi="Times New Roman"/>
          <w:lang w:val="sq-AL"/>
        </w:rPr>
        <w:t>ë</w:t>
      </w:r>
      <w:r w:rsidRPr="000065E0">
        <w:rPr>
          <w:rFonts w:ascii="Times New Roman" w:hAnsi="Times New Roman"/>
          <w:lang w:val="sq-AL"/>
        </w:rPr>
        <w:t xml:space="preserve"> KPP i referohet dhe të paraqesë argumente juridike të mbështetura në aktet e dosjes. Kur shkaqet janë të ndryshme nga ato që lejon ligji ose nuk rezultojnë të mbështetura, rekursi nuk pranohet, sipas nenit 433 KPP.</w:t>
      </w:r>
    </w:p>
    <w:p w14:paraId="0F0F3F1F" w14:textId="77777777" w:rsidR="004A0B17" w:rsidRPr="000065E0" w:rsidRDefault="008420F7"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eastAsia="MS Mincho" w:hAnsi="Times New Roman"/>
          <w:bCs/>
          <w:lang w:val="sq-AL" w:bidi="ar-SA"/>
        </w:rPr>
        <w:t>Nga aktet e administruara në dosje rezulton se më datë 03.09.2020, në një objekt ndërtimi të shoqërisë “AIA” sh.p.k., punëmarrësi Ibrahim Bilo ka humbur jetën si pasojë e rënies nga lartësia gjatë kryerjes së punimeve në katin e dytë të objektit. Sipas hetimeve paraprake dhe aktit të ekspertimit teknik, viktima, së bashku me një punëtor tjetër, kishin ndërtuar një skelë të brendshme të mbështetur në një strukturë murore të papërfunduar. Skela rezultoi e montuar në kundërshtim me kërkesat teknike dhe pa u vendosur në mënyrë të qëndrueshme. Në momentin e aksidentit, viktima nuk kishte të vendosur rrip sigurimi për punë në lartësi. Ekspertët kanë konkluduar se punëdhënësi kishte kryer instruktimin për sigurinë në punë; kishte hartuar dokumentin e vlerësimit të rrezikut; kishte pajisur punëmarrësit me mjete mbrojtëse individuale; nuk konstatoheshin shkelje nga ana e punëdhënësit; aksidenti kishte ardhur si pasojë e pakujdesisë së vetë punëmarrësit. Gjykata e Shkallës së Parë dhe Gjykata e Apelit kanë pranuar kërkesën e prokurorisë për pushimin e procedimit penal, me arsyetimin se fakti nuk përbën vepër penale në kuptim të nenit 289 të Kodit Penal. Kundër vendimit të Gjykatës së Apelit është paraqitur rekurs nga trashëgimtarët e viktimës.</w:t>
      </w:r>
    </w:p>
    <w:p w14:paraId="6D35FFA8" w14:textId="5AF7C8B1" w:rsidR="002E2BF4" w:rsidRPr="000065E0" w:rsidRDefault="002E2BF4"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lang w:val="sq-AL"/>
        </w:rPr>
        <w:t xml:space="preserve">Kolegji konstaton se shkaqet e parashtruara në rekurs, në thelb, ngrihen mbi: (i) pretendimin për zbatim të gabuar të ligjit material penal (neni 289 KP), lidhur me mosidentifikimin e subjektit të posaçëm dhe me vlerësimin e </w:t>
      </w:r>
      <w:r w:rsidR="00772E78" w:rsidRPr="000065E0">
        <w:rPr>
          <w:rFonts w:ascii="Times New Roman" w:hAnsi="Times New Roman"/>
          <w:lang w:val="sq-AL"/>
        </w:rPr>
        <w:t>paarsyetuar</w:t>
      </w:r>
      <w:r w:rsidRPr="000065E0">
        <w:rPr>
          <w:rFonts w:ascii="Times New Roman" w:hAnsi="Times New Roman"/>
          <w:lang w:val="sq-AL"/>
        </w:rPr>
        <w:t xml:space="preserve"> se “mungojnë elementet e veprës penale” (shkak rekursi sipas nenit 432/1, shkronja “a” të KPP); dhe (ii) pretendimin për shkelje të ligjit procedural, për mungesë kontrolli substancial mbi plotësinë e hetimeve dhe mangësi të arsyetimit në raport me pretendimet/provat e ngritura në ankim (shkak rekursi sipas nenit 432/1, shkronja “b” të KPP). </w:t>
      </w:r>
    </w:p>
    <w:p w14:paraId="5C03B715" w14:textId="1F8068B7" w:rsidR="004F64CF" w:rsidRPr="000065E0" w:rsidRDefault="008420F7"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lang w:val="sq-AL"/>
        </w:rPr>
        <w:t>Shkaku i par</w:t>
      </w:r>
      <w:r w:rsidR="00E154F7" w:rsidRPr="000065E0">
        <w:rPr>
          <w:rFonts w:ascii="Times New Roman" w:hAnsi="Times New Roman"/>
          <w:lang w:val="sq-AL"/>
        </w:rPr>
        <w:t>ë</w:t>
      </w:r>
      <w:r w:rsidRPr="000065E0">
        <w:rPr>
          <w:rFonts w:ascii="Times New Roman" w:hAnsi="Times New Roman"/>
          <w:lang w:val="sq-AL"/>
        </w:rPr>
        <w:t xml:space="preserve"> lidhet me pretendimin se gjykatat e faktit kanë përjashtuar përgjegjësinë penale për veprën e parashikuar nga neni 289 i Kodit Penal (KP) pa individualizuar personin mbi të cilin rëndonte detyrimi ligjor për organizimin, zbatimin dhe kontrollin e rregullave të sigurisë në punë në momentin e ngjarjes, duke pranuar, pa verifikim mbi baz</w:t>
      </w:r>
      <w:r w:rsidR="00E154F7" w:rsidRPr="000065E0">
        <w:rPr>
          <w:rFonts w:ascii="Times New Roman" w:hAnsi="Times New Roman"/>
          <w:lang w:val="sq-AL"/>
        </w:rPr>
        <w:t>ë</w:t>
      </w:r>
      <w:r w:rsidRPr="000065E0">
        <w:rPr>
          <w:rFonts w:ascii="Times New Roman" w:hAnsi="Times New Roman"/>
          <w:lang w:val="sq-AL"/>
        </w:rPr>
        <w:t xml:space="preserve">n e akteve, një “zëvendësim” të drejtuesit teknik/koordinatorit të sigurisë. </w:t>
      </w:r>
    </w:p>
    <w:p w14:paraId="6D20D56B" w14:textId="641EDB63" w:rsidR="00433307" w:rsidRPr="000065E0" w:rsidRDefault="002E2BF4"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lang w:val="sq-AL"/>
        </w:rPr>
        <w:t xml:space="preserve">Objekt i hetimit ka qenë vepra penale “Shkelja e rregullave të mbrojtjes në punë”, e parashikuar nga neni 289 </w:t>
      </w:r>
      <w:r w:rsidR="0049728E" w:rsidRPr="000065E0">
        <w:rPr>
          <w:rFonts w:ascii="Times New Roman" w:hAnsi="Times New Roman"/>
          <w:lang w:val="sq-AL"/>
        </w:rPr>
        <w:t xml:space="preserve">i </w:t>
      </w:r>
      <w:r w:rsidRPr="000065E0">
        <w:rPr>
          <w:rFonts w:ascii="Times New Roman" w:hAnsi="Times New Roman"/>
          <w:lang w:val="sq-AL"/>
        </w:rPr>
        <w:t>KP. Kjo dispozitë është blankete dhe kërkon të identifikohen normat konkrete ligjore/nënligjore të sigurisë që pretendohet se janë shkelur, subjekti i posaçëm mbi të cilin rëndon detyrimi ligjor për organizimin, zbatimin dhe kontrollin e masave të sigurisë, si dhe lidhja shkakësore ndërmjet shkeljes dhe pasojës së rëndë. Cilësia e subjektit të posaçëm nuk fitohet me “delegime” faktike, por vetëm sipas rregullimeve ligjore dhe nënligjore që përcaktojnë emërimin/kompetencat e personave përgjegjës për sigurinë në punë. Në punimet në lartësi, humbja e ekuilibrit përbën rrezik tipik dhe të parashikueshëm të aktivitetit, ndaj rregullat e sigurisë kërkojnë jo vetëm pajisje/instruktim, por edhe kontroll efektiv të zbatimit të tyre në kantier.</w:t>
      </w:r>
    </w:p>
    <w:p w14:paraId="6D6D03E4" w14:textId="3007D81E" w:rsidR="002E2BF4" w:rsidRPr="000065E0" w:rsidRDefault="002E2BF4"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lang w:val="sq-AL"/>
        </w:rPr>
        <w:t xml:space="preserve">Nga aktet e dosjes dhe arsyetimet e gjykatave rezulton se Ardian Lloshi ka qenë administrator i shoqërisë punëdhënëse, drejtues teknik dhe koordinator për sigurinë në punë, si dhe i vetmi i certifikuar në këtë fushë. Në ditën e ngjarjes ai ka qenë me leje, ndërsa është pretenduar se kompetencat i ishin deleguar inxhinierit të objektit, Drini Kingji. Megjithatë, në vendim nuk rezulton të jetë analizuar ekzistenca e një dokumenti formal delegimi dhe as të </w:t>
      </w:r>
      <w:r w:rsidRPr="000065E0">
        <w:rPr>
          <w:rFonts w:ascii="Times New Roman" w:hAnsi="Times New Roman"/>
          <w:lang w:val="sq-AL"/>
        </w:rPr>
        <w:lastRenderedPageBreak/>
        <w:t xml:space="preserve">jenë verifikuar kriteret ligjore/profesionale (kualifikimi/certifikimi) të personit të pretenduar si zëvendësues për ushtrimin e funksioneve të drejtuesit teknik/koordinatorit të sigurisë. Në këto rrethana, kërkuesit kanë ngritur </w:t>
      </w:r>
      <w:r w:rsidR="0049728E" w:rsidRPr="000065E0">
        <w:rPr>
          <w:rFonts w:ascii="Times New Roman" w:hAnsi="Times New Roman"/>
          <w:lang w:val="sq-AL"/>
        </w:rPr>
        <w:t xml:space="preserve">pretendimin </w:t>
      </w:r>
      <w:r w:rsidRPr="000065E0">
        <w:rPr>
          <w:rFonts w:ascii="Times New Roman" w:hAnsi="Times New Roman"/>
          <w:lang w:val="sq-AL"/>
        </w:rPr>
        <w:t xml:space="preserve">se subjekti i posaçëm i nenit 289 </w:t>
      </w:r>
      <w:r w:rsidR="0049728E" w:rsidRPr="000065E0">
        <w:rPr>
          <w:rFonts w:ascii="Times New Roman" w:hAnsi="Times New Roman"/>
          <w:lang w:val="sq-AL"/>
        </w:rPr>
        <w:t>t</w:t>
      </w:r>
      <w:r w:rsidR="003F3628" w:rsidRPr="000065E0">
        <w:rPr>
          <w:rFonts w:ascii="Times New Roman" w:hAnsi="Times New Roman"/>
          <w:lang w:val="sq-AL"/>
        </w:rPr>
        <w:t>ë</w:t>
      </w:r>
      <w:r w:rsidR="0049728E" w:rsidRPr="000065E0">
        <w:rPr>
          <w:rFonts w:ascii="Times New Roman" w:hAnsi="Times New Roman"/>
          <w:lang w:val="sq-AL"/>
        </w:rPr>
        <w:t xml:space="preserve"> </w:t>
      </w:r>
      <w:r w:rsidRPr="000065E0">
        <w:rPr>
          <w:rFonts w:ascii="Times New Roman" w:hAnsi="Times New Roman"/>
          <w:lang w:val="sq-AL"/>
        </w:rPr>
        <w:t>KP</w:t>
      </w:r>
      <w:r w:rsidR="00A21CFA" w:rsidRPr="000065E0">
        <w:rPr>
          <w:rFonts w:ascii="Times New Roman" w:hAnsi="Times New Roman"/>
          <w:lang w:val="sq-AL"/>
        </w:rPr>
        <w:t xml:space="preserve">, </w:t>
      </w:r>
      <w:r w:rsidRPr="000065E0">
        <w:rPr>
          <w:rFonts w:ascii="Times New Roman" w:hAnsi="Times New Roman"/>
          <w:lang w:val="sq-AL"/>
        </w:rPr>
        <w:t>nuk është inxhinieri i objektit, por drejtuesi teknik/koordinatori i sigurisë.</w:t>
      </w:r>
    </w:p>
    <w:p w14:paraId="13C110B2" w14:textId="1AFA7CB5" w:rsidR="00433307" w:rsidRPr="000065E0" w:rsidRDefault="008420F7"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bCs/>
          <w:lang w:val="sq-AL"/>
        </w:rPr>
        <w:t>Gjykata e Apelit ka konkluduar për mungesë të element</w:t>
      </w:r>
      <w:r w:rsidR="0049728E" w:rsidRPr="000065E0">
        <w:rPr>
          <w:rFonts w:ascii="Times New Roman" w:hAnsi="Times New Roman"/>
          <w:bCs/>
          <w:lang w:val="sq-AL"/>
        </w:rPr>
        <w:t>e</w:t>
      </w:r>
      <w:r w:rsidRPr="000065E0">
        <w:rPr>
          <w:rFonts w:ascii="Times New Roman" w:hAnsi="Times New Roman"/>
          <w:bCs/>
          <w:lang w:val="sq-AL"/>
        </w:rPr>
        <w:t>ve të veprës penale, duke vlerësuar se mungesa e drejtuesit teknik në ditën e ngjarjes nuk ka ndikuar në ardhjen e pasojës, pasi në vendngjarje ishte prezent inxhinieri i shoqërisë, i cili e kishte zëvendësuar përkohësisht. Sipas kësaj gjykate, vdekja e punëmarrësit ka ardhur si pasojë e pakujdesisë së vetë viktimës dhe e paqëndrueshmërisë së murit ku ishte mbështetur skela, ndërsa janë konsideruar të marra masat për pajisje dhe trajnim nga ana e punëdhënësit dhe drejtuesit teknik. Mbi baz</w:t>
      </w:r>
      <w:r w:rsidR="00E154F7" w:rsidRPr="000065E0">
        <w:rPr>
          <w:rFonts w:ascii="Times New Roman" w:hAnsi="Times New Roman"/>
          <w:bCs/>
          <w:lang w:val="sq-AL"/>
        </w:rPr>
        <w:t>ë</w:t>
      </w:r>
      <w:r w:rsidRPr="000065E0">
        <w:rPr>
          <w:rFonts w:ascii="Times New Roman" w:hAnsi="Times New Roman"/>
          <w:bCs/>
          <w:lang w:val="sq-AL"/>
        </w:rPr>
        <w:t>n e k</w:t>
      </w:r>
      <w:r w:rsidR="00E154F7" w:rsidRPr="000065E0">
        <w:rPr>
          <w:rFonts w:ascii="Times New Roman" w:hAnsi="Times New Roman"/>
          <w:bCs/>
          <w:lang w:val="sq-AL"/>
        </w:rPr>
        <w:t>ë</w:t>
      </w:r>
      <w:r w:rsidRPr="000065E0">
        <w:rPr>
          <w:rFonts w:ascii="Times New Roman" w:hAnsi="Times New Roman"/>
          <w:bCs/>
          <w:lang w:val="sq-AL"/>
        </w:rPr>
        <w:t>tij arsyetimi, Gjykata e Apelit ka përjashtuar përgjegjësinë si të punëdhënësit, ashtu edhe të drejtuesit teknik dhe personit nën hetim.</w:t>
      </w:r>
    </w:p>
    <w:p w14:paraId="46ABBA9F" w14:textId="3B1801FA" w:rsidR="00AC2085" w:rsidRPr="000065E0" w:rsidRDefault="002E2BF4"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lang w:val="sq-AL"/>
        </w:rPr>
        <w:t xml:space="preserve">Kolegji vlerëson se ky përfundim i Gjykatës së Apelit është arritur pa analizën juridike të domosdoshme mbi një element thelbësor të nenit 289 </w:t>
      </w:r>
      <w:r w:rsidR="0049728E" w:rsidRPr="000065E0">
        <w:rPr>
          <w:rFonts w:ascii="Times New Roman" w:hAnsi="Times New Roman"/>
          <w:lang w:val="sq-AL"/>
        </w:rPr>
        <w:t>t</w:t>
      </w:r>
      <w:r w:rsidR="003F3628" w:rsidRPr="000065E0">
        <w:rPr>
          <w:rFonts w:ascii="Times New Roman" w:hAnsi="Times New Roman"/>
          <w:lang w:val="sq-AL"/>
        </w:rPr>
        <w:t>ë</w:t>
      </w:r>
      <w:r w:rsidR="0049728E" w:rsidRPr="000065E0">
        <w:rPr>
          <w:rFonts w:ascii="Times New Roman" w:hAnsi="Times New Roman"/>
          <w:lang w:val="sq-AL"/>
        </w:rPr>
        <w:t xml:space="preserve"> </w:t>
      </w:r>
      <w:r w:rsidRPr="000065E0">
        <w:rPr>
          <w:rFonts w:ascii="Times New Roman" w:hAnsi="Times New Roman"/>
          <w:lang w:val="sq-AL"/>
        </w:rPr>
        <w:t xml:space="preserve">KP (subjektin e posaçëm) dhe, rrjedhimisht, pa u verifikuar premisat mbi të cilat mund të përjashtohet përgjegjësia penale. Gjykata e Apelit, duke u mjaftuar me konkluzionin se pasoja i atribuohet vetëm pakujdesisë së viktimës, nuk ka analizuar në mënyrë të argumentuar: (i) cilin person e ngarkon drejtpërdrejt </w:t>
      </w:r>
      <w:r w:rsidR="00A21CFA" w:rsidRPr="000065E0">
        <w:rPr>
          <w:rFonts w:ascii="Times New Roman" w:hAnsi="Times New Roman"/>
          <w:lang w:val="sq-AL"/>
        </w:rPr>
        <w:t xml:space="preserve">ligji </w:t>
      </w:r>
      <w:r w:rsidRPr="000065E0">
        <w:rPr>
          <w:rFonts w:ascii="Times New Roman" w:hAnsi="Times New Roman"/>
          <w:lang w:val="sq-AL"/>
        </w:rPr>
        <w:t>me detyrimin për kontroll efektiv të masave të sigurisë në kantier; (ii) nëse “zëvendësimi/delegimi” i pretenduar i drejtuesit teknik ka qenë juridikisht i vlefshëm; dhe (iii) nëse personi i deleguar përmbushte kriteret ligjore/profesionale për të qenë subjekt i posaçëm</w:t>
      </w:r>
      <w:r w:rsidR="0049728E" w:rsidRPr="000065E0">
        <w:rPr>
          <w:rFonts w:ascii="Times New Roman" w:hAnsi="Times New Roman"/>
          <w:lang w:val="sq-AL"/>
        </w:rPr>
        <w:t xml:space="preserve"> p</w:t>
      </w:r>
      <w:r w:rsidR="003F3628" w:rsidRPr="000065E0">
        <w:rPr>
          <w:rFonts w:ascii="Times New Roman" w:hAnsi="Times New Roman"/>
          <w:lang w:val="sq-AL"/>
        </w:rPr>
        <w:t>ë</w:t>
      </w:r>
      <w:r w:rsidR="0049728E" w:rsidRPr="000065E0">
        <w:rPr>
          <w:rFonts w:ascii="Times New Roman" w:hAnsi="Times New Roman"/>
          <w:lang w:val="sq-AL"/>
        </w:rPr>
        <w:t>r ushtrimin e funksioneve të drejtuesit teknik/koordinatorit të sigurisë</w:t>
      </w:r>
      <w:r w:rsidRPr="000065E0">
        <w:rPr>
          <w:rFonts w:ascii="Times New Roman" w:hAnsi="Times New Roman"/>
          <w:lang w:val="sq-AL"/>
        </w:rPr>
        <w:t xml:space="preserve">. Pa këtë </w:t>
      </w:r>
      <w:r w:rsidR="00A21CFA" w:rsidRPr="000065E0">
        <w:rPr>
          <w:rFonts w:ascii="Times New Roman" w:hAnsi="Times New Roman"/>
          <w:lang w:val="sq-AL"/>
        </w:rPr>
        <w:t>verifikim</w:t>
      </w:r>
      <w:r w:rsidRPr="000065E0">
        <w:rPr>
          <w:rFonts w:ascii="Times New Roman" w:hAnsi="Times New Roman"/>
          <w:lang w:val="sq-AL"/>
        </w:rPr>
        <w:t xml:space="preserve">, përfundimi se “mungojnë elementet e veprës penale” mbetet i </w:t>
      </w:r>
      <w:r w:rsidR="0049728E" w:rsidRPr="000065E0">
        <w:rPr>
          <w:rFonts w:ascii="Times New Roman" w:hAnsi="Times New Roman"/>
          <w:lang w:val="sq-AL"/>
        </w:rPr>
        <w:t>paargumentuar</w:t>
      </w:r>
      <w:r w:rsidRPr="000065E0">
        <w:rPr>
          <w:rFonts w:ascii="Times New Roman" w:hAnsi="Times New Roman"/>
          <w:lang w:val="sq-AL"/>
        </w:rPr>
        <w:t xml:space="preserve"> dhe përbën zbatim të gabuar të ligjit material penal, në kuptim të nenit 432/1, shkronja “a” të KPP.</w:t>
      </w:r>
      <w:r w:rsidR="0049728E" w:rsidRPr="000065E0">
        <w:rPr>
          <w:rFonts w:ascii="Times New Roman" w:hAnsi="Times New Roman"/>
          <w:lang w:val="sq-AL"/>
        </w:rPr>
        <w:t xml:space="preserve"> </w:t>
      </w:r>
      <w:r w:rsidRPr="000065E0">
        <w:rPr>
          <w:rFonts w:ascii="Times New Roman" w:hAnsi="Times New Roman"/>
          <w:lang w:val="sq-AL"/>
        </w:rPr>
        <w:t xml:space="preserve">Në këto kushte, </w:t>
      </w:r>
      <w:r w:rsidR="0049728E" w:rsidRPr="000065E0">
        <w:rPr>
          <w:rFonts w:ascii="Times New Roman" w:hAnsi="Times New Roman"/>
          <w:lang w:val="sq-AL"/>
        </w:rPr>
        <w:t>Kolegji vler</w:t>
      </w:r>
      <w:r w:rsidR="003F3628" w:rsidRPr="000065E0">
        <w:rPr>
          <w:rFonts w:ascii="Times New Roman" w:hAnsi="Times New Roman"/>
          <w:lang w:val="sq-AL"/>
        </w:rPr>
        <w:t>ë</w:t>
      </w:r>
      <w:r w:rsidR="0049728E" w:rsidRPr="000065E0">
        <w:rPr>
          <w:rFonts w:ascii="Times New Roman" w:hAnsi="Times New Roman"/>
          <w:lang w:val="sq-AL"/>
        </w:rPr>
        <w:t xml:space="preserve">son se, </w:t>
      </w:r>
      <w:r w:rsidRPr="000065E0">
        <w:rPr>
          <w:rFonts w:ascii="Times New Roman" w:hAnsi="Times New Roman"/>
          <w:lang w:val="sq-AL"/>
        </w:rPr>
        <w:t xml:space="preserve">Gjykata e Apelit ka barazuar praninë faktike të një inxhinieri në objekt me ushtrimin e detyrimit ligjor të drejtuesit teknik/koordinatorit të sigurisë, duke pranuar në mënyrë të tërthortë një delegim informal, në kundërshtim me natyrën e subjektit të posaçëm të nenit 289 </w:t>
      </w:r>
      <w:r w:rsidR="0049728E" w:rsidRPr="000065E0">
        <w:rPr>
          <w:rFonts w:ascii="Times New Roman" w:hAnsi="Times New Roman"/>
          <w:lang w:val="sq-AL"/>
        </w:rPr>
        <w:t>t</w:t>
      </w:r>
      <w:r w:rsidR="003F3628" w:rsidRPr="000065E0">
        <w:rPr>
          <w:rFonts w:ascii="Times New Roman" w:hAnsi="Times New Roman"/>
          <w:lang w:val="sq-AL"/>
        </w:rPr>
        <w:t>ë</w:t>
      </w:r>
      <w:r w:rsidR="0049728E" w:rsidRPr="000065E0">
        <w:rPr>
          <w:rFonts w:ascii="Times New Roman" w:hAnsi="Times New Roman"/>
          <w:lang w:val="sq-AL"/>
        </w:rPr>
        <w:t xml:space="preserve"> </w:t>
      </w:r>
      <w:r w:rsidRPr="000065E0">
        <w:rPr>
          <w:rFonts w:ascii="Times New Roman" w:hAnsi="Times New Roman"/>
          <w:lang w:val="sq-AL"/>
        </w:rPr>
        <w:t xml:space="preserve">KP. Ky mosindividualizim i subjektit të posaçëm dhe </w:t>
      </w:r>
      <w:r w:rsidR="0049728E" w:rsidRPr="000065E0">
        <w:rPr>
          <w:rFonts w:ascii="Times New Roman" w:hAnsi="Times New Roman"/>
          <w:lang w:val="sq-AL"/>
        </w:rPr>
        <w:t>munges</w:t>
      </w:r>
      <w:r w:rsidR="003F3628" w:rsidRPr="000065E0">
        <w:rPr>
          <w:rFonts w:ascii="Times New Roman" w:hAnsi="Times New Roman"/>
          <w:lang w:val="sq-AL"/>
        </w:rPr>
        <w:t>ë</w:t>
      </w:r>
      <w:r w:rsidR="0049728E" w:rsidRPr="000065E0">
        <w:rPr>
          <w:rFonts w:ascii="Times New Roman" w:hAnsi="Times New Roman"/>
          <w:lang w:val="sq-AL"/>
        </w:rPr>
        <w:t xml:space="preserve"> analize e</w:t>
      </w:r>
      <w:r w:rsidRPr="000065E0">
        <w:rPr>
          <w:rFonts w:ascii="Times New Roman" w:hAnsi="Times New Roman"/>
          <w:lang w:val="sq-AL"/>
        </w:rPr>
        <w:t xml:space="preserve"> detyrimit ligjor konkret </w:t>
      </w:r>
      <w:r w:rsidR="0049728E" w:rsidRPr="000065E0">
        <w:rPr>
          <w:rFonts w:ascii="Times New Roman" w:hAnsi="Times New Roman"/>
          <w:lang w:val="sq-AL"/>
        </w:rPr>
        <w:t>t</w:t>
      </w:r>
      <w:r w:rsidR="003F3628" w:rsidRPr="000065E0">
        <w:rPr>
          <w:rFonts w:ascii="Times New Roman" w:hAnsi="Times New Roman"/>
          <w:lang w:val="sq-AL"/>
        </w:rPr>
        <w:t>ë</w:t>
      </w:r>
      <w:r w:rsidR="0049728E" w:rsidRPr="000065E0">
        <w:rPr>
          <w:rFonts w:ascii="Times New Roman" w:hAnsi="Times New Roman"/>
          <w:lang w:val="sq-AL"/>
        </w:rPr>
        <w:t xml:space="preserve"> k</w:t>
      </w:r>
      <w:r w:rsidR="003F3628" w:rsidRPr="000065E0">
        <w:rPr>
          <w:rFonts w:ascii="Times New Roman" w:hAnsi="Times New Roman"/>
          <w:lang w:val="sq-AL"/>
        </w:rPr>
        <w:t>ë</w:t>
      </w:r>
      <w:r w:rsidR="0049728E" w:rsidRPr="000065E0">
        <w:rPr>
          <w:rFonts w:ascii="Times New Roman" w:hAnsi="Times New Roman"/>
          <w:lang w:val="sq-AL"/>
        </w:rPr>
        <w:t xml:space="preserve">tij subjekti </w:t>
      </w:r>
      <w:r w:rsidRPr="000065E0">
        <w:rPr>
          <w:rFonts w:ascii="Times New Roman" w:hAnsi="Times New Roman"/>
          <w:lang w:val="sq-AL"/>
        </w:rPr>
        <w:t>e bën vendimin të pa</w:t>
      </w:r>
      <w:r w:rsidR="0049728E" w:rsidRPr="000065E0">
        <w:rPr>
          <w:rFonts w:ascii="Times New Roman" w:hAnsi="Times New Roman"/>
          <w:lang w:val="sq-AL"/>
        </w:rPr>
        <w:t xml:space="preserve">argumentuar </w:t>
      </w:r>
      <w:r w:rsidRPr="000065E0">
        <w:rPr>
          <w:rFonts w:ascii="Times New Roman" w:hAnsi="Times New Roman"/>
          <w:lang w:val="sq-AL"/>
        </w:rPr>
        <w:t>në ligj. Për rrjedhojë, konstatohet zbatim i gabuar i ligjit material (neni 432/1/a KPP) dhe, në mënyrë të lidhur, mangësi thelbësore arsyetimi mbi një element vendimtar të çështjes.</w:t>
      </w:r>
    </w:p>
    <w:p w14:paraId="73F0B1C4" w14:textId="005A6604" w:rsidR="008420F7" w:rsidRPr="000065E0" w:rsidRDefault="008420F7"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bCs/>
          <w:lang w:val="sq-AL"/>
        </w:rPr>
        <w:t>Shkaku i dytë i rekursit lidhet me pretendimin se hetimet paraprake nuk kanë qenë të plota, të gjithanshme dhe objektive, si dhe se Gjykata e Apelit nuk ka dhënë një arsyetim shterues lidhur me pretendimet e ngritura në ankim nga trashëgimtarët e viktimës. Ankuesit kanë evidentuar, ndër të tjera, mosadministrimin apo mossekuestrimin në kohë të dokumentacionit për sigurinë në punë (kontratën individuale të punës, dokumentacionin e trajnimeve, regjistrat e protokollit, dokumentet e instruktazhit dhe procesverbalet e dorëzimit të mjeteve mbrojtëse), si dhe mospërputhjet</w:t>
      </w:r>
      <w:r w:rsidR="00A21CFA" w:rsidRPr="000065E0">
        <w:rPr>
          <w:rFonts w:ascii="Times New Roman" w:hAnsi="Times New Roman"/>
          <w:bCs/>
          <w:lang w:val="sq-AL"/>
        </w:rPr>
        <w:t xml:space="preserve"> mes provave</w:t>
      </w:r>
      <w:r w:rsidRPr="000065E0">
        <w:rPr>
          <w:rFonts w:ascii="Times New Roman" w:hAnsi="Times New Roman"/>
          <w:bCs/>
          <w:lang w:val="sq-AL"/>
        </w:rPr>
        <w:t xml:space="preserve"> lidhur me pajisjen e viktimës me rripin e sigurimit, i domosdoshëm për punë në lartësi mbi 2 metra. Ky shkak vlerësohet i bazuar. Sipas neneve 328, 329, 329/a dhe 329/b të KPP, gjykata që shqyrton kundërshtimin e vendimit të pushimit </w:t>
      </w:r>
      <w:r w:rsidR="00A21CFA" w:rsidRPr="000065E0">
        <w:rPr>
          <w:rFonts w:ascii="Times New Roman" w:hAnsi="Times New Roman"/>
          <w:bCs/>
          <w:lang w:val="sq-AL"/>
        </w:rPr>
        <w:t>ose k</w:t>
      </w:r>
      <w:r w:rsidR="00300535" w:rsidRPr="000065E0">
        <w:rPr>
          <w:rFonts w:ascii="Times New Roman" w:hAnsi="Times New Roman"/>
          <w:bCs/>
          <w:lang w:val="sq-AL"/>
        </w:rPr>
        <w:t>ë</w:t>
      </w:r>
      <w:r w:rsidR="00A21CFA" w:rsidRPr="000065E0">
        <w:rPr>
          <w:rFonts w:ascii="Times New Roman" w:hAnsi="Times New Roman"/>
          <w:bCs/>
          <w:lang w:val="sq-AL"/>
        </w:rPr>
        <w:t>rkes</w:t>
      </w:r>
      <w:r w:rsidR="00300535" w:rsidRPr="000065E0">
        <w:rPr>
          <w:rFonts w:ascii="Times New Roman" w:hAnsi="Times New Roman"/>
          <w:bCs/>
          <w:lang w:val="sq-AL"/>
        </w:rPr>
        <w:t>ë</w:t>
      </w:r>
      <w:r w:rsidR="00A21CFA" w:rsidRPr="000065E0">
        <w:rPr>
          <w:rFonts w:ascii="Times New Roman" w:hAnsi="Times New Roman"/>
          <w:bCs/>
          <w:lang w:val="sq-AL"/>
        </w:rPr>
        <w:t>n p</w:t>
      </w:r>
      <w:r w:rsidR="00300535" w:rsidRPr="000065E0">
        <w:rPr>
          <w:rFonts w:ascii="Times New Roman" w:hAnsi="Times New Roman"/>
          <w:bCs/>
          <w:lang w:val="sq-AL"/>
        </w:rPr>
        <w:t>ë</w:t>
      </w:r>
      <w:r w:rsidR="00A21CFA" w:rsidRPr="000065E0">
        <w:rPr>
          <w:rFonts w:ascii="Times New Roman" w:hAnsi="Times New Roman"/>
          <w:bCs/>
          <w:lang w:val="sq-AL"/>
        </w:rPr>
        <w:t xml:space="preserve">r pushim, </w:t>
      </w:r>
      <w:r w:rsidRPr="000065E0">
        <w:rPr>
          <w:rFonts w:ascii="Times New Roman" w:hAnsi="Times New Roman"/>
          <w:bCs/>
          <w:lang w:val="sq-AL"/>
        </w:rPr>
        <w:t>ka detyrimin të ushtrojë kontroll real dhe substancial mbi plotësinë e hetimeve paraprake. Ky standard është p</w:t>
      </w:r>
      <w:r w:rsidR="00E154F7" w:rsidRPr="000065E0">
        <w:rPr>
          <w:rFonts w:ascii="Times New Roman" w:hAnsi="Times New Roman"/>
          <w:bCs/>
          <w:lang w:val="sq-AL"/>
        </w:rPr>
        <w:t>ë</w:t>
      </w:r>
      <w:r w:rsidRPr="000065E0">
        <w:rPr>
          <w:rFonts w:ascii="Times New Roman" w:hAnsi="Times New Roman"/>
          <w:bCs/>
          <w:lang w:val="sq-AL"/>
        </w:rPr>
        <w:t xml:space="preserve">rcaktuar nga </w:t>
      </w:r>
      <w:r w:rsidR="0049728E" w:rsidRPr="000065E0">
        <w:rPr>
          <w:rFonts w:ascii="Times New Roman" w:hAnsi="Times New Roman"/>
          <w:bCs/>
          <w:lang w:val="sq-AL"/>
        </w:rPr>
        <w:t>v</w:t>
      </w:r>
      <w:r w:rsidRPr="000065E0">
        <w:rPr>
          <w:rFonts w:ascii="Times New Roman" w:hAnsi="Times New Roman"/>
          <w:bCs/>
          <w:lang w:val="sq-AL"/>
        </w:rPr>
        <w:t xml:space="preserve">endimi </w:t>
      </w:r>
      <w:r w:rsidR="0049728E" w:rsidRPr="000065E0">
        <w:rPr>
          <w:rFonts w:ascii="Times New Roman" w:hAnsi="Times New Roman"/>
          <w:bCs/>
          <w:lang w:val="sq-AL"/>
        </w:rPr>
        <w:t>u</w:t>
      </w:r>
      <w:r w:rsidRPr="000065E0">
        <w:rPr>
          <w:rFonts w:ascii="Times New Roman" w:hAnsi="Times New Roman"/>
          <w:bCs/>
          <w:lang w:val="sq-AL"/>
        </w:rPr>
        <w:t>nifikues nr. 2, datë 20.06.2013</w:t>
      </w:r>
      <w:r w:rsidR="0049728E" w:rsidRPr="000065E0">
        <w:rPr>
          <w:rFonts w:ascii="Times New Roman" w:hAnsi="Times New Roman"/>
          <w:bCs/>
          <w:lang w:val="sq-AL"/>
        </w:rPr>
        <w:t>,</w:t>
      </w:r>
      <w:r w:rsidRPr="000065E0">
        <w:rPr>
          <w:rFonts w:ascii="Times New Roman" w:hAnsi="Times New Roman"/>
          <w:bCs/>
          <w:lang w:val="sq-AL"/>
        </w:rPr>
        <w:t xml:space="preserve"> i Kolegjeve të Bashkuara të Gjykatës së Lartë, sipas të cilit gjykata duhet të verifikojë jo vetëm bazueshmërinë e pretendimeve të ankuesit, por edhe nëse prokuroria ka respektuar drejt rastet ligjore të pushimit. </w:t>
      </w:r>
      <w:r w:rsidRPr="000065E0">
        <w:rPr>
          <w:rFonts w:ascii="Times New Roman" w:eastAsia="MS Mincho" w:hAnsi="Times New Roman"/>
          <w:bCs/>
          <w:lang w:val="sq-AL" w:bidi="ar-SA"/>
        </w:rPr>
        <w:t>Kur vendos rr</w:t>
      </w:r>
      <w:r w:rsidR="00E154F7" w:rsidRPr="000065E0">
        <w:rPr>
          <w:rFonts w:ascii="Times New Roman" w:eastAsia="MS Mincho" w:hAnsi="Times New Roman"/>
          <w:bCs/>
          <w:lang w:val="sq-AL" w:bidi="ar-SA"/>
        </w:rPr>
        <w:t>ë</w:t>
      </w:r>
      <w:r w:rsidRPr="000065E0">
        <w:rPr>
          <w:rFonts w:ascii="Times New Roman" w:eastAsia="MS Mincho" w:hAnsi="Times New Roman"/>
          <w:bCs/>
          <w:lang w:val="sq-AL" w:bidi="ar-SA"/>
        </w:rPr>
        <w:t>zimin e k</w:t>
      </w:r>
      <w:r w:rsidR="00E154F7" w:rsidRPr="000065E0">
        <w:rPr>
          <w:rFonts w:ascii="Times New Roman" w:eastAsia="MS Mincho" w:hAnsi="Times New Roman"/>
          <w:bCs/>
          <w:lang w:val="sq-AL" w:bidi="ar-SA"/>
        </w:rPr>
        <w:t>ë</w:t>
      </w:r>
      <w:r w:rsidRPr="000065E0">
        <w:rPr>
          <w:rFonts w:ascii="Times New Roman" w:eastAsia="MS Mincho" w:hAnsi="Times New Roman"/>
          <w:bCs/>
          <w:lang w:val="sq-AL" w:bidi="ar-SA"/>
        </w:rPr>
        <w:t>rkes</w:t>
      </w:r>
      <w:r w:rsidR="00E154F7" w:rsidRPr="000065E0">
        <w:rPr>
          <w:rFonts w:ascii="Times New Roman" w:eastAsia="MS Mincho" w:hAnsi="Times New Roman"/>
          <w:bCs/>
          <w:lang w:val="sq-AL" w:bidi="ar-SA"/>
        </w:rPr>
        <w:t>ë</w:t>
      </w:r>
      <w:r w:rsidRPr="000065E0">
        <w:rPr>
          <w:rFonts w:ascii="Times New Roman" w:eastAsia="MS Mincho" w:hAnsi="Times New Roman"/>
          <w:bCs/>
          <w:lang w:val="sq-AL" w:bidi="ar-SA"/>
        </w:rPr>
        <w:t>s p</w:t>
      </w:r>
      <w:r w:rsidR="00E154F7" w:rsidRPr="000065E0">
        <w:rPr>
          <w:rFonts w:ascii="Times New Roman" w:eastAsia="MS Mincho" w:hAnsi="Times New Roman"/>
          <w:bCs/>
          <w:lang w:val="sq-AL" w:bidi="ar-SA"/>
        </w:rPr>
        <w:t>ë</w:t>
      </w:r>
      <w:r w:rsidRPr="000065E0">
        <w:rPr>
          <w:rFonts w:ascii="Times New Roman" w:eastAsia="MS Mincho" w:hAnsi="Times New Roman"/>
          <w:bCs/>
          <w:lang w:val="sq-AL" w:bidi="ar-SA"/>
        </w:rPr>
        <w:t>r pushim, gjykata ka të drejtë të disponojë mbi kryerjen e veprimeve të tjera që kanë lidhje me akuzën dhe me veprimet hetimore të kryera deri në atë çast, në funksion të zbulimit të fakteve dhe të vërtetës për ushtrimin e ndjekjes penale sipas ligjit.</w:t>
      </w:r>
    </w:p>
    <w:p w14:paraId="73E0A0A4" w14:textId="6AA77DD4" w:rsidR="008420F7" w:rsidRPr="000065E0" w:rsidRDefault="008420F7"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bCs/>
          <w:lang w:val="sq-AL"/>
        </w:rPr>
        <w:t>Nga aktet e dosjes dhe sipas pretendimeve t</w:t>
      </w:r>
      <w:r w:rsidR="00E154F7" w:rsidRPr="000065E0">
        <w:rPr>
          <w:rFonts w:ascii="Times New Roman" w:hAnsi="Times New Roman"/>
          <w:bCs/>
          <w:lang w:val="sq-AL"/>
        </w:rPr>
        <w:t>ë</w:t>
      </w:r>
      <w:r w:rsidRPr="000065E0">
        <w:rPr>
          <w:rFonts w:ascii="Times New Roman" w:hAnsi="Times New Roman"/>
          <w:bCs/>
          <w:lang w:val="sq-AL"/>
        </w:rPr>
        <w:t xml:space="preserve"> ngritura n</w:t>
      </w:r>
      <w:r w:rsidR="00E154F7" w:rsidRPr="000065E0">
        <w:rPr>
          <w:rFonts w:ascii="Times New Roman" w:hAnsi="Times New Roman"/>
          <w:bCs/>
          <w:lang w:val="sq-AL"/>
        </w:rPr>
        <w:t>ë</w:t>
      </w:r>
      <w:r w:rsidRPr="000065E0">
        <w:rPr>
          <w:rFonts w:ascii="Times New Roman" w:hAnsi="Times New Roman"/>
          <w:bCs/>
          <w:lang w:val="sq-AL"/>
        </w:rPr>
        <w:t xml:space="preserve"> rekurs rezulton se</w:t>
      </w:r>
      <w:r w:rsidR="0049728E" w:rsidRPr="000065E0">
        <w:rPr>
          <w:rFonts w:ascii="Times New Roman" w:hAnsi="Times New Roman"/>
          <w:bCs/>
          <w:lang w:val="sq-AL"/>
        </w:rPr>
        <w:t>,</w:t>
      </w:r>
      <w:r w:rsidRPr="000065E0">
        <w:rPr>
          <w:rFonts w:ascii="Times New Roman" w:hAnsi="Times New Roman"/>
          <w:bCs/>
          <w:lang w:val="sq-AL"/>
        </w:rPr>
        <w:t xml:space="preserve"> ekzistojnë elementë faktikë të paargumentuar n</w:t>
      </w:r>
      <w:r w:rsidR="00E154F7" w:rsidRPr="000065E0">
        <w:rPr>
          <w:rFonts w:ascii="Times New Roman" w:hAnsi="Times New Roman"/>
          <w:bCs/>
          <w:lang w:val="sq-AL"/>
        </w:rPr>
        <w:t>ë</w:t>
      </w:r>
      <w:r w:rsidRPr="000065E0">
        <w:rPr>
          <w:rFonts w:ascii="Times New Roman" w:hAnsi="Times New Roman"/>
          <w:bCs/>
          <w:lang w:val="sq-AL"/>
        </w:rPr>
        <w:t xml:space="preserve"> vendimmarrjen objekt rekursi. Konkretisht rripi i sigurimit nuk figuron i sh</w:t>
      </w:r>
      <w:r w:rsidR="00E154F7" w:rsidRPr="000065E0">
        <w:rPr>
          <w:rFonts w:ascii="Times New Roman" w:hAnsi="Times New Roman"/>
          <w:bCs/>
          <w:lang w:val="sq-AL"/>
        </w:rPr>
        <w:t>ë</w:t>
      </w:r>
      <w:r w:rsidRPr="000065E0">
        <w:rPr>
          <w:rFonts w:ascii="Times New Roman" w:hAnsi="Times New Roman"/>
          <w:bCs/>
          <w:lang w:val="sq-AL"/>
        </w:rPr>
        <w:t xml:space="preserve">nuar në procesverbalin e dorëzimit të pajisjeve mbrojtëse viktimës; </w:t>
      </w:r>
      <w:r w:rsidRPr="000065E0">
        <w:rPr>
          <w:rFonts w:ascii="Times New Roman" w:hAnsi="Times New Roman"/>
          <w:bCs/>
          <w:lang w:val="sq-AL"/>
        </w:rPr>
        <w:lastRenderedPageBreak/>
        <w:t>ekziston një procesverbal tjetër për rripin e sigurimit, i nënshkruar vetëm nga tekniku, jo nga viktima; viktima nuk kishte të vendosur rrip sigurimi në momentin e rënies, ndërsa kaska mbrojtëse është gjetur e pavendosur</w:t>
      </w:r>
      <w:r w:rsidR="00A21CFA" w:rsidRPr="000065E0">
        <w:rPr>
          <w:rFonts w:ascii="Times New Roman" w:hAnsi="Times New Roman"/>
          <w:bCs/>
          <w:lang w:val="sq-AL"/>
        </w:rPr>
        <w:t>,</w:t>
      </w:r>
      <w:r w:rsidRPr="000065E0">
        <w:rPr>
          <w:rFonts w:ascii="Times New Roman" w:hAnsi="Times New Roman"/>
          <w:bCs/>
          <w:lang w:val="sq-AL"/>
        </w:rPr>
        <w:t xml:space="preserve"> në vendngjarje; skela ishte montuar në mënyrë të parregullt dhe e mbështetur në mur të papërfunduar. Këto rrethana krijojnë dyshime të arsyeshme mbi efektivitetin e kontrollit dhe mbikëqyrjes së sigurisë në kantier, të cilat nuk janë analizuar në mënyrë të </w:t>
      </w:r>
      <w:r w:rsidR="0049728E" w:rsidRPr="000065E0">
        <w:rPr>
          <w:rFonts w:ascii="Times New Roman" w:hAnsi="Times New Roman"/>
          <w:bCs/>
          <w:lang w:val="sq-AL"/>
        </w:rPr>
        <w:t>argumentuar</w:t>
      </w:r>
      <w:r w:rsidRPr="000065E0">
        <w:rPr>
          <w:rFonts w:ascii="Times New Roman" w:hAnsi="Times New Roman"/>
          <w:bCs/>
          <w:lang w:val="sq-AL"/>
        </w:rPr>
        <w:t xml:space="preserve"> nga Gjykata e Apelit. Ajo është kufizuar në një vlerësim </w:t>
      </w:r>
      <w:r w:rsidR="0049728E" w:rsidRPr="000065E0">
        <w:rPr>
          <w:rFonts w:ascii="Times New Roman" w:hAnsi="Times New Roman"/>
          <w:bCs/>
          <w:lang w:val="sq-AL"/>
        </w:rPr>
        <w:t>apriori</w:t>
      </w:r>
      <w:r w:rsidRPr="000065E0">
        <w:rPr>
          <w:rFonts w:ascii="Times New Roman" w:hAnsi="Times New Roman"/>
          <w:bCs/>
          <w:lang w:val="sq-AL"/>
        </w:rPr>
        <w:t xml:space="preserve"> të ekspertimit teknik, pa e vlerësuar atë në mënyrë unitare me provat e tjera, në kundërshtim me nenin 152 të KPP, sipas të cilit asnjë provë nuk ka vlerë të paracaktuar.</w:t>
      </w:r>
    </w:p>
    <w:p w14:paraId="0B7F97E9" w14:textId="7B2C3011" w:rsidR="008420F7" w:rsidRPr="000065E0" w:rsidRDefault="008420F7"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bCs/>
          <w:lang w:val="sq-AL"/>
        </w:rPr>
        <w:t>Edhe pse pretendimi për mungesë kualifikimi të ekspertëve nuk përbën në vetvete shkak pavlefshmërie absolute</w:t>
      </w:r>
      <w:r w:rsidR="0049728E" w:rsidRPr="000065E0">
        <w:rPr>
          <w:rFonts w:ascii="Times New Roman" w:hAnsi="Times New Roman"/>
          <w:bCs/>
          <w:lang w:val="sq-AL"/>
        </w:rPr>
        <w:t xml:space="preserve"> </w:t>
      </w:r>
      <w:r w:rsidR="00A21CFA" w:rsidRPr="000065E0">
        <w:rPr>
          <w:rFonts w:ascii="Times New Roman" w:hAnsi="Times New Roman"/>
          <w:bCs/>
          <w:lang w:val="sq-AL"/>
        </w:rPr>
        <w:t>t</w:t>
      </w:r>
      <w:r w:rsidR="00300535" w:rsidRPr="000065E0">
        <w:rPr>
          <w:rFonts w:ascii="Times New Roman" w:hAnsi="Times New Roman"/>
          <w:bCs/>
          <w:lang w:val="sq-AL"/>
        </w:rPr>
        <w:t>ë</w:t>
      </w:r>
      <w:r w:rsidR="00A21CFA" w:rsidRPr="000065E0">
        <w:rPr>
          <w:rFonts w:ascii="Times New Roman" w:hAnsi="Times New Roman"/>
          <w:bCs/>
          <w:lang w:val="sq-AL"/>
        </w:rPr>
        <w:t xml:space="preserve"> aktit </w:t>
      </w:r>
      <w:r w:rsidR="0049728E" w:rsidRPr="000065E0">
        <w:rPr>
          <w:rFonts w:ascii="Times New Roman" w:hAnsi="Times New Roman"/>
          <w:bCs/>
          <w:lang w:val="sq-AL"/>
        </w:rPr>
        <w:t>apo pap</w:t>
      </w:r>
      <w:r w:rsidR="003F3628" w:rsidRPr="000065E0">
        <w:rPr>
          <w:rFonts w:ascii="Times New Roman" w:hAnsi="Times New Roman"/>
          <w:bCs/>
          <w:lang w:val="sq-AL"/>
        </w:rPr>
        <w:t>ë</w:t>
      </w:r>
      <w:r w:rsidR="0049728E" w:rsidRPr="000065E0">
        <w:rPr>
          <w:rFonts w:ascii="Times New Roman" w:hAnsi="Times New Roman"/>
          <w:bCs/>
          <w:lang w:val="sq-AL"/>
        </w:rPr>
        <w:t>rdorshm</w:t>
      </w:r>
      <w:r w:rsidR="003F3628" w:rsidRPr="000065E0">
        <w:rPr>
          <w:rFonts w:ascii="Times New Roman" w:hAnsi="Times New Roman"/>
          <w:bCs/>
          <w:lang w:val="sq-AL"/>
        </w:rPr>
        <w:t>ë</w:t>
      </w:r>
      <w:r w:rsidR="0049728E" w:rsidRPr="000065E0">
        <w:rPr>
          <w:rFonts w:ascii="Times New Roman" w:hAnsi="Times New Roman"/>
          <w:bCs/>
          <w:lang w:val="sq-AL"/>
        </w:rPr>
        <w:t>ri</w:t>
      </w:r>
      <w:r w:rsidR="00A21CFA" w:rsidRPr="000065E0">
        <w:rPr>
          <w:rFonts w:ascii="Times New Roman" w:hAnsi="Times New Roman"/>
          <w:bCs/>
          <w:lang w:val="sq-AL"/>
        </w:rPr>
        <w:t xml:space="preserve"> t</w:t>
      </w:r>
      <w:r w:rsidR="00300535" w:rsidRPr="000065E0">
        <w:rPr>
          <w:rFonts w:ascii="Times New Roman" w:hAnsi="Times New Roman"/>
          <w:bCs/>
          <w:lang w:val="sq-AL"/>
        </w:rPr>
        <w:t>ë</w:t>
      </w:r>
      <w:r w:rsidR="00A21CFA" w:rsidRPr="000065E0">
        <w:rPr>
          <w:rFonts w:ascii="Times New Roman" w:hAnsi="Times New Roman"/>
          <w:bCs/>
          <w:lang w:val="sq-AL"/>
        </w:rPr>
        <w:t xml:space="preserve"> prov</w:t>
      </w:r>
      <w:r w:rsidR="00300535" w:rsidRPr="000065E0">
        <w:rPr>
          <w:rFonts w:ascii="Times New Roman" w:hAnsi="Times New Roman"/>
          <w:bCs/>
          <w:lang w:val="sq-AL"/>
        </w:rPr>
        <w:t>ë</w:t>
      </w:r>
      <w:r w:rsidR="00A21CFA" w:rsidRPr="000065E0">
        <w:rPr>
          <w:rFonts w:ascii="Times New Roman" w:hAnsi="Times New Roman"/>
          <w:bCs/>
          <w:lang w:val="sq-AL"/>
        </w:rPr>
        <w:t>s</w:t>
      </w:r>
      <w:r w:rsidRPr="000065E0">
        <w:rPr>
          <w:rFonts w:ascii="Times New Roman" w:hAnsi="Times New Roman"/>
          <w:bCs/>
          <w:lang w:val="sq-AL"/>
        </w:rPr>
        <w:t xml:space="preserve">, përfundimet e ekspertimit nuk mund të pranohen në mënyrë apriori </w:t>
      </w:r>
      <w:r w:rsidR="0049728E" w:rsidRPr="000065E0">
        <w:rPr>
          <w:rFonts w:ascii="Times New Roman" w:hAnsi="Times New Roman"/>
          <w:bCs/>
          <w:lang w:val="sq-AL"/>
        </w:rPr>
        <w:t>por</w:t>
      </w:r>
      <w:r w:rsidRPr="000065E0">
        <w:rPr>
          <w:rFonts w:ascii="Times New Roman" w:hAnsi="Times New Roman"/>
          <w:bCs/>
          <w:lang w:val="sq-AL"/>
        </w:rPr>
        <w:t xml:space="preserve"> duhet të analizohen në raport me mospërputhjet faktike dhe dokumentare të evidentuara</w:t>
      </w:r>
      <w:r w:rsidR="0049728E" w:rsidRPr="000065E0">
        <w:rPr>
          <w:rFonts w:ascii="Times New Roman" w:hAnsi="Times New Roman"/>
          <w:bCs/>
          <w:lang w:val="sq-AL"/>
        </w:rPr>
        <w:t xml:space="preserve"> nga aktet e hetimit paraprak</w:t>
      </w:r>
      <w:r w:rsidRPr="000065E0">
        <w:rPr>
          <w:rFonts w:ascii="Times New Roman" w:hAnsi="Times New Roman"/>
          <w:bCs/>
          <w:lang w:val="sq-AL"/>
        </w:rPr>
        <w:t>. Sipas ligjit nr. 10237/2010 “Për sigurinë dhe shëndetin në punë” dhe akteve nënligjore përkatëse (VKM nr. 312 dhe VKM nr. 563/2013), detyrimet e drejtuesit teknik dhe koordinatorit të sigurisë përfshijnë jo vetëm pajisjen me mjete mbrojtëse, por edhe kontrollin efektiv të përdorimit të tyre nga pun</w:t>
      </w:r>
      <w:r w:rsidR="00E154F7" w:rsidRPr="000065E0">
        <w:rPr>
          <w:rFonts w:ascii="Times New Roman" w:hAnsi="Times New Roman"/>
          <w:bCs/>
          <w:lang w:val="sq-AL"/>
        </w:rPr>
        <w:t>ë</w:t>
      </w:r>
      <w:r w:rsidRPr="000065E0">
        <w:rPr>
          <w:rFonts w:ascii="Times New Roman" w:hAnsi="Times New Roman"/>
          <w:bCs/>
          <w:lang w:val="sq-AL"/>
        </w:rPr>
        <w:t>marr</w:t>
      </w:r>
      <w:r w:rsidR="00E154F7" w:rsidRPr="000065E0">
        <w:rPr>
          <w:rFonts w:ascii="Times New Roman" w:hAnsi="Times New Roman"/>
          <w:bCs/>
          <w:lang w:val="sq-AL"/>
        </w:rPr>
        <w:t>ë</w:t>
      </w:r>
      <w:r w:rsidRPr="000065E0">
        <w:rPr>
          <w:rFonts w:ascii="Times New Roman" w:hAnsi="Times New Roman"/>
          <w:bCs/>
          <w:lang w:val="sq-AL"/>
        </w:rPr>
        <w:t>sit dhe garantimin e kushteve teknike të sigurta të punës. Gjykata e Apelit ka arritur në përfundimin për mungesë të elementeve të veprës penale pa analizuar n</w:t>
      </w:r>
      <w:r w:rsidR="00E154F7" w:rsidRPr="000065E0">
        <w:rPr>
          <w:rFonts w:ascii="Times New Roman" w:hAnsi="Times New Roman"/>
          <w:bCs/>
          <w:lang w:val="sq-AL"/>
        </w:rPr>
        <w:t>ë</w:t>
      </w:r>
      <w:r w:rsidRPr="000065E0">
        <w:rPr>
          <w:rFonts w:ascii="Times New Roman" w:hAnsi="Times New Roman"/>
          <w:bCs/>
          <w:lang w:val="sq-AL"/>
        </w:rPr>
        <w:t xml:space="preserve"> m</w:t>
      </w:r>
      <w:r w:rsidR="00E154F7" w:rsidRPr="000065E0">
        <w:rPr>
          <w:rFonts w:ascii="Times New Roman" w:hAnsi="Times New Roman"/>
          <w:bCs/>
          <w:lang w:val="sq-AL"/>
        </w:rPr>
        <w:t>ë</w:t>
      </w:r>
      <w:r w:rsidRPr="000065E0">
        <w:rPr>
          <w:rFonts w:ascii="Times New Roman" w:hAnsi="Times New Roman"/>
          <w:bCs/>
          <w:lang w:val="sq-AL"/>
        </w:rPr>
        <w:t>nyr</w:t>
      </w:r>
      <w:r w:rsidR="00E154F7" w:rsidRPr="000065E0">
        <w:rPr>
          <w:rFonts w:ascii="Times New Roman" w:hAnsi="Times New Roman"/>
          <w:bCs/>
          <w:lang w:val="sq-AL"/>
        </w:rPr>
        <w:t>ë</w:t>
      </w:r>
      <w:r w:rsidRPr="000065E0">
        <w:rPr>
          <w:rFonts w:ascii="Times New Roman" w:hAnsi="Times New Roman"/>
          <w:bCs/>
          <w:lang w:val="sq-AL"/>
        </w:rPr>
        <w:t xml:space="preserve"> shteruese p</w:t>
      </w:r>
      <w:r w:rsidR="00E154F7" w:rsidRPr="000065E0">
        <w:rPr>
          <w:rFonts w:ascii="Times New Roman" w:hAnsi="Times New Roman"/>
          <w:bCs/>
          <w:lang w:val="sq-AL"/>
        </w:rPr>
        <w:t>ë</w:t>
      </w:r>
      <w:r w:rsidRPr="000065E0">
        <w:rPr>
          <w:rFonts w:ascii="Times New Roman" w:hAnsi="Times New Roman"/>
          <w:bCs/>
          <w:lang w:val="sq-AL"/>
        </w:rPr>
        <w:t>rmbushjen e këtyre detyrimeve dhe pa vlerësuar nëse mospërputhjet e konstatuara përbëjnë shkelje të tyre. Mosanalizimi i këtyre kundërthënieve</w:t>
      </w:r>
      <w:r w:rsidR="0049728E" w:rsidRPr="000065E0">
        <w:rPr>
          <w:rFonts w:ascii="Times New Roman" w:hAnsi="Times New Roman"/>
          <w:bCs/>
          <w:lang w:val="sq-AL"/>
        </w:rPr>
        <w:t xml:space="preserve"> </w:t>
      </w:r>
      <w:r w:rsidR="00466E99" w:rsidRPr="000065E0">
        <w:rPr>
          <w:rFonts w:ascii="Times New Roman" w:hAnsi="Times New Roman"/>
          <w:bCs/>
          <w:lang w:val="sq-AL"/>
        </w:rPr>
        <w:t>mes provave t</w:t>
      </w:r>
      <w:r w:rsidR="003F3628" w:rsidRPr="000065E0">
        <w:rPr>
          <w:rFonts w:ascii="Times New Roman" w:hAnsi="Times New Roman"/>
          <w:bCs/>
          <w:lang w:val="sq-AL"/>
        </w:rPr>
        <w:t>ë</w:t>
      </w:r>
      <w:r w:rsidR="00466E99" w:rsidRPr="000065E0">
        <w:rPr>
          <w:rFonts w:ascii="Times New Roman" w:hAnsi="Times New Roman"/>
          <w:bCs/>
          <w:lang w:val="sq-AL"/>
        </w:rPr>
        <w:t xml:space="preserve"> marra gjat</w:t>
      </w:r>
      <w:r w:rsidR="003F3628" w:rsidRPr="000065E0">
        <w:rPr>
          <w:rFonts w:ascii="Times New Roman" w:hAnsi="Times New Roman"/>
          <w:bCs/>
          <w:lang w:val="sq-AL"/>
        </w:rPr>
        <w:t>ë</w:t>
      </w:r>
      <w:r w:rsidR="00466E99" w:rsidRPr="000065E0">
        <w:rPr>
          <w:rFonts w:ascii="Times New Roman" w:hAnsi="Times New Roman"/>
          <w:bCs/>
          <w:lang w:val="sq-AL"/>
        </w:rPr>
        <w:t xml:space="preserve"> hetimit par</w:t>
      </w:r>
      <w:r w:rsidR="00893C60" w:rsidRPr="000065E0">
        <w:rPr>
          <w:rFonts w:ascii="Times New Roman" w:hAnsi="Times New Roman"/>
          <w:bCs/>
          <w:lang w:val="sq-AL"/>
        </w:rPr>
        <w:t>a</w:t>
      </w:r>
      <w:r w:rsidR="00466E99" w:rsidRPr="000065E0">
        <w:rPr>
          <w:rFonts w:ascii="Times New Roman" w:hAnsi="Times New Roman"/>
          <w:bCs/>
          <w:lang w:val="sq-AL"/>
        </w:rPr>
        <w:t>prak</w:t>
      </w:r>
      <w:r w:rsidRPr="000065E0">
        <w:rPr>
          <w:rFonts w:ascii="Times New Roman" w:hAnsi="Times New Roman"/>
          <w:bCs/>
          <w:lang w:val="sq-AL"/>
        </w:rPr>
        <w:t xml:space="preserve"> përbën mangësi thelb</w:t>
      </w:r>
      <w:r w:rsidR="00E154F7" w:rsidRPr="000065E0">
        <w:rPr>
          <w:rFonts w:ascii="Times New Roman" w:hAnsi="Times New Roman"/>
          <w:bCs/>
          <w:lang w:val="sq-AL"/>
        </w:rPr>
        <w:t>ë</w:t>
      </w:r>
      <w:r w:rsidRPr="000065E0">
        <w:rPr>
          <w:rFonts w:ascii="Times New Roman" w:hAnsi="Times New Roman"/>
          <w:bCs/>
          <w:lang w:val="sq-AL"/>
        </w:rPr>
        <w:t>sore në arsyetim. Këto elemente, ndonëse të ngritura shprehimisht në ankim, nuk janë analizuar nga Gjykata e Apelit në funksion të identifikimit të subjektit të posaçëm dhe të p</w:t>
      </w:r>
      <w:r w:rsidR="00E154F7" w:rsidRPr="000065E0">
        <w:rPr>
          <w:rFonts w:ascii="Times New Roman" w:hAnsi="Times New Roman"/>
          <w:bCs/>
          <w:lang w:val="sq-AL"/>
        </w:rPr>
        <w:t>ë</w:t>
      </w:r>
      <w:r w:rsidRPr="000065E0">
        <w:rPr>
          <w:rFonts w:ascii="Times New Roman" w:hAnsi="Times New Roman"/>
          <w:bCs/>
          <w:lang w:val="sq-AL"/>
        </w:rPr>
        <w:t>rmbushjes s</w:t>
      </w:r>
      <w:r w:rsidR="00E154F7" w:rsidRPr="000065E0">
        <w:rPr>
          <w:rFonts w:ascii="Times New Roman" w:hAnsi="Times New Roman"/>
          <w:bCs/>
          <w:lang w:val="sq-AL"/>
        </w:rPr>
        <w:t>ë</w:t>
      </w:r>
      <w:r w:rsidRPr="000065E0">
        <w:rPr>
          <w:rFonts w:ascii="Times New Roman" w:hAnsi="Times New Roman"/>
          <w:bCs/>
          <w:lang w:val="sq-AL"/>
        </w:rPr>
        <w:t xml:space="preserve"> detyrimeve konkrete ligjore në momentin e ngjarjes.</w:t>
      </w:r>
    </w:p>
    <w:p w14:paraId="5303B154" w14:textId="053D8542" w:rsidR="004C5DCE" w:rsidRPr="000065E0" w:rsidRDefault="008420F7"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bCs/>
          <w:lang w:val="sq-AL"/>
        </w:rPr>
        <w:t>Kolegji v</w:t>
      </w:r>
      <w:r w:rsidR="00E154F7" w:rsidRPr="000065E0">
        <w:rPr>
          <w:rFonts w:ascii="Times New Roman" w:hAnsi="Times New Roman"/>
          <w:bCs/>
          <w:lang w:val="sq-AL"/>
        </w:rPr>
        <w:t>ë</w:t>
      </w:r>
      <w:r w:rsidRPr="000065E0">
        <w:rPr>
          <w:rFonts w:ascii="Times New Roman" w:hAnsi="Times New Roman"/>
          <w:bCs/>
          <w:lang w:val="sq-AL"/>
        </w:rPr>
        <w:t>ren se</w:t>
      </w:r>
      <w:r w:rsidR="00466E99" w:rsidRPr="000065E0">
        <w:rPr>
          <w:rFonts w:ascii="Times New Roman" w:hAnsi="Times New Roman"/>
          <w:bCs/>
          <w:lang w:val="sq-AL"/>
        </w:rPr>
        <w:t>,</w:t>
      </w:r>
      <w:r w:rsidRPr="000065E0">
        <w:rPr>
          <w:rFonts w:ascii="Times New Roman" w:hAnsi="Times New Roman"/>
          <w:bCs/>
          <w:lang w:val="sq-AL"/>
        </w:rPr>
        <w:t xml:space="preserve"> Gjykata e Apelit ka arsyetuar se</w:t>
      </w:r>
      <w:r w:rsidR="00466E99" w:rsidRPr="000065E0">
        <w:rPr>
          <w:rFonts w:ascii="Times New Roman" w:hAnsi="Times New Roman"/>
          <w:bCs/>
          <w:lang w:val="sq-AL"/>
        </w:rPr>
        <w:t>,</w:t>
      </w:r>
      <w:r w:rsidRPr="000065E0">
        <w:rPr>
          <w:rFonts w:ascii="Times New Roman" w:hAnsi="Times New Roman"/>
          <w:bCs/>
          <w:lang w:val="sq-AL"/>
        </w:rPr>
        <w:t xml:space="preserve"> referuar akteve ligjore, rezulton e drejta e punëmarrësit që të mos fillojë apo të ndërpresë punën dhe të njoftojë punëdhënësin, nëse gjatë procesit të punës konstatohen parregullsi në lidhje me zbatimin e rregullave të sigurimit teknik që c</w:t>
      </w:r>
      <w:r w:rsidR="00893C60" w:rsidRPr="000065E0">
        <w:rPr>
          <w:rFonts w:ascii="Times New Roman" w:hAnsi="Times New Roman"/>
          <w:bCs/>
          <w:lang w:val="sq-AL"/>
        </w:rPr>
        <w:t>e</w:t>
      </w:r>
      <w:r w:rsidRPr="000065E0">
        <w:rPr>
          <w:rFonts w:ascii="Times New Roman" w:hAnsi="Times New Roman"/>
          <w:bCs/>
          <w:lang w:val="sq-AL"/>
        </w:rPr>
        <w:t xml:space="preserve">nojnë sigurinë e tij apo të punëmarrësve të tjerë. Nuk provohet nga aktet e </w:t>
      </w:r>
      <w:r w:rsidR="00A21CFA" w:rsidRPr="000065E0">
        <w:rPr>
          <w:rFonts w:ascii="Times New Roman" w:hAnsi="Times New Roman"/>
          <w:bCs/>
          <w:lang w:val="sq-AL"/>
        </w:rPr>
        <w:t>fashikullit</w:t>
      </w:r>
      <w:r w:rsidRPr="000065E0">
        <w:rPr>
          <w:rFonts w:ascii="Times New Roman" w:hAnsi="Times New Roman"/>
          <w:bCs/>
          <w:lang w:val="sq-AL"/>
        </w:rPr>
        <w:t xml:space="preserve"> hetimor që punëmarrësi, i ndjeri Ibrahim Bilo, të kishte paraqitur si shqetësim faktin se atij nuk i ishin vënë në dispozicion nga shoqëria pajisjet e duhura mbrojtëse apo se ai kishte ndërprerë punën për shkak të mos pajisjes me mjetet e duhura në përputhje me punën që kryente. N</w:t>
      </w:r>
      <w:r w:rsidR="00E154F7" w:rsidRPr="000065E0">
        <w:rPr>
          <w:rFonts w:ascii="Times New Roman" w:hAnsi="Times New Roman"/>
          <w:bCs/>
          <w:lang w:val="sq-AL"/>
        </w:rPr>
        <w:t>ë</w:t>
      </w:r>
      <w:r w:rsidRPr="000065E0">
        <w:rPr>
          <w:rFonts w:ascii="Times New Roman" w:hAnsi="Times New Roman"/>
          <w:bCs/>
          <w:lang w:val="sq-AL"/>
        </w:rPr>
        <w:t xml:space="preserve"> lidhje me k</w:t>
      </w:r>
      <w:r w:rsidR="00E154F7" w:rsidRPr="000065E0">
        <w:rPr>
          <w:rFonts w:ascii="Times New Roman" w:hAnsi="Times New Roman"/>
          <w:bCs/>
          <w:lang w:val="sq-AL"/>
        </w:rPr>
        <w:t>ë</w:t>
      </w:r>
      <w:r w:rsidRPr="000065E0">
        <w:rPr>
          <w:rFonts w:ascii="Times New Roman" w:hAnsi="Times New Roman"/>
          <w:bCs/>
          <w:lang w:val="sq-AL"/>
        </w:rPr>
        <w:t>t</w:t>
      </w:r>
      <w:r w:rsidR="00E154F7" w:rsidRPr="000065E0">
        <w:rPr>
          <w:rFonts w:ascii="Times New Roman" w:hAnsi="Times New Roman"/>
          <w:bCs/>
          <w:lang w:val="sq-AL"/>
        </w:rPr>
        <w:t>ë</w:t>
      </w:r>
      <w:r w:rsidRPr="000065E0">
        <w:rPr>
          <w:rFonts w:ascii="Times New Roman" w:hAnsi="Times New Roman"/>
          <w:bCs/>
          <w:lang w:val="sq-AL"/>
        </w:rPr>
        <w:t xml:space="preserve"> arsyetim, Kolegji vler</w:t>
      </w:r>
      <w:r w:rsidR="00E154F7" w:rsidRPr="000065E0">
        <w:rPr>
          <w:rFonts w:ascii="Times New Roman" w:hAnsi="Times New Roman"/>
          <w:bCs/>
          <w:lang w:val="sq-AL"/>
        </w:rPr>
        <w:t>ë</w:t>
      </w:r>
      <w:r w:rsidRPr="000065E0">
        <w:rPr>
          <w:rFonts w:ascii="Times New Roman" w:hAnsi="Times New Roman"/>
          <w:bCs/>
          <w:lang w:val="sq-AL"/>
        </w:rPr>
        <w:t>son t</w:t>
      </w:r>
      <w:r w:rsidR="00E154F7" w:rsidRPr="000065E0">
        <w:rPr>
          <w:rFonts w:ascii="Times New Roman" w:hAnsi="Times New Roman"/>
          <w:bCs/>
          <w:lang w:val="sq-AL"/>
        </w:rPr>
        <w:t>ë</w:t>
      </w:r>
      <w:r w:rsidRPr="000065E0">
        <w:rPr>
          <w:rFonts w:ascii="Times New Roman" w:hAnsi="Times New Roman"/>
          <w:bCs/>
          <w:lang w:val="sq-AL"/>
        </w:rPr>
        <w:t xml:space="preserve"> theksoj</w:t>
      </w:r>
      <w:r w:rsidR="00E154F7" w:rsidRPr="000065E0">
        <w:rPr>
          <w:rFonts w:ascii="Times New Roman" w:hAnsi="Times New Roman"/>
          <w:bCs/>
          <w:lang w:val="sq-AL"/>
        </w:rPr>
        <w:t>ë</w:t>
      </w:r>
      <w:r w:rsidRPr="000065E0">
        <w:rPr>
          <w:rFonts w:ascii="Times New Roman" w:hAnsi="Times New Roman"/>
          <w:bCs/>
          <w:lang w:val="sq-AL"/>
        </w:rPr>
        <w:t xml:space="preserve"> se, e drejta e punëmarrësit për të ndërprerë punën në kushte rreziku është garanci mbrojtëse, jo mekanizëm transferimi përgjegjësie penale. Ajo nuk shmang detyrimin aktiv dhe parësor të punëdhënësit/drejtuesit teknik për organizimin, pajisjen dhe kontrollin efektiv të masave të sigurisë. </w:t>
      </w:r>
      <w:r w:rsidR="00466E99" w:rsidRPr="000065E0">
        <w:rPr>
          <w:rFonts w:ascii="Times New Roman" w:hAnsi="Times New Roman"/>
          <w:bCs/>
          <w:lang w:val="sq-AL"/>
        </w:rPr>
        <w:t>Ushtrimi</w:t>
      </w:r>
      <w:r w:rsidRPr="000065E0">
        <w:rPr>
          <w:rFonts w:ascii="Times New Roman" w:hAnsi="Times New Roman"/>
          <w:bCs/>
          <w:lang w:val="sq-AL"/>
        </w:rPr>
        <w:t xml:space="preserve"> i kësaj të drejte nga punëmarrësi nuk është kusht i përgjegjësisë së subjektit të posaçëm sipas nenit 289 </w:t>
      </w:r>
      <w:r w:rsidR="00466E99" w:rsidRPr="000065E0">
        <w:rPr>
          <w:rFonts w:ascii="Times New Roman" w:hAnsi="Times New Roman"/>
          <w:bCs/>
          <w:lang w:val="sq-AL"/>
        </w:rPr>
        <w:t>t</w:t>
      </w:r>
      <w:r w:rsidR="003F3628" w:rsidRPr="000065E0">
        <w:rPr>
          <w:rFonts w:ascii="Times New Roman" w:hAnsi="Times New Roman"/>
          <w:bCs/>
          <w:lang w:val="sq-AL"/>
        </w:rPr>
        <w:t>ë</w:t>
      </w:r>
      <w:r w:rsidR="00466E99" w:rsidRPr="000065E0">
        <w:rPr>
          <w:rFonts w:ascii="Times New Roman" w:hAnsi="Times New Roman"/>
          <w:bCs/>
          <w:lang w:val="sq-AL"/>
        </w:rPr>
        <w:t xml:space="preserve"> </w:t>
      </w:r>
      <w:r w:rsidRPr="000065E0">
        <w:rPr>
          <w:rFonts w:ascii="Times New Roman" w:hAnsi="Times New Roman"/>
          <w:bCs/>
          <w:lang w:val="sq-AL"/>
        </w:rPr>
        <w:t xml:space="preserve">KP. Ky interpretim ngatërron </w:t>
      </w:r>
      <w:r w:rsidR="00466E99" w:rsidRPr="000065E0">
        <w:rPr>
          <w:rFonts w:ascii="Times New Roman" w:hAnsi="Times New Roman"/>
          <w:bCs/>
          <w:lang w:val="sq-AL"/>
        </w:rPr>
        <w:t>ushtrimin</w:t>
      </w:r>
      <w:r w:rsidRPr="000065E0">
        <w:rPr>
          <w:rFonts w:ascii="Times New Roman" w:hAnsi="Times New Roman"/>
          <w:bCs/>
          <w:lang w:val="sq-AL"/>
        </w:rPr>
        <w:t xml:space="preserve"> e të drejtave të punëmarrësit me </w:t>
      </w:r>
      <w:r w:rsidR="00466E99" w:rsidRPr="000065E0">
        <w:rPr>
          <w:rFonts w:ascii="Times New Roman" w:hAnsi="Times New Roman"/>
          <w:bCs/>
          <w:lang w:val="sq-AL"/>
        </w:rPr>
        <w:t>zbatimin</w:t>
      </w:r>
      <w:r w:rsidRPr="000065E0">
        <w:rPr>
          <w:rFonts w:ascii="Times New Roman" w:hAnsi="Times New Roman"/>
          <w:bCs/>
          <w:lang w:val="sq-AL"/>
        </w:rPr>
        <w:t xml:space="preserve"> e detyrimeve ligjore të subjektit të posaçëm. Në veprën e parashikuar n</w:t>
      </w:r>
      <w:r w:rsidR="00E154F7" w:rsidRPr="000065E0">
        <w:rPr>
          <w:rFonts w:ascii="Times New Roman" w:hAnsi="Times New Roman"/>
          <w:bCs/>
          <w:lang w:val="sq-AL"/>
        </w:rPr>
        <w:t>ë</w:t>
      </w:r>
      <w:r w:rsidRPr="000065E0">
        <w:rPr>
          <w:rFonts w:ascii="Times New Roman" w:hAnsi="Times New Roman"/>
          <w:bCs/>
          <w:lang w:val="sq-AL"/>
        </w:rPr>
        <w:t xml:space="preserve"> nenin 289 </w:t>
      </w:r>
      <w:r w:rsidR="00466E99" w:rsidRPr="000065E0">
        <w:rPr>
          <w:rFonts w:ascii="Times New Roman" w:hAnsi="Times New Roman"/>
          <w:bCs/>
          <w:lang w:val="sq-AL"/>
        </w:rPr>
        <w:t>t</w:t>
      </w:r>
      <w:r w:rsidR="003F3628" w:rsidRPr="000065E0">
        <w:rPr>
          <w:rFonts w:ascii="Times New Roman" w:hAnsi="Times New Roman"/>
          <w:bCs/>
          <w:lang w:val="sq-AL"/>
        </w:rPr>
        <w:t>ë</w:t>
      </w:r>
      <w:r w:rsidR="00466E99" w:rsidRPr="000065E0">
        <w:rPr>
          <w:rFonts w:ascii="Times New Roman" w:hAnsi="Times New Roman"/>
          <w:bCs/>
          <w:lang w:val="sq-AL"/>
        </w:rPr>
        <w:t xml:space="preserve"> </w:t>
      </w:r>
      <w:r w:rsidRPr="000065E0">
        <w:rPr>
          <w:rFonts w:ascii="Times New Roman" w:hAnsi="Times New Roman"/>
          <w:bCs/>
          <w:lang w:val="sq-AL"/>
        </w:rPr>
        <w:t>KP (dispozitë blankete), përgjegjësia vlerësohet mbi shkeljen e detyrimeve ligjore të atij që ka kompetencë dhe kontroll mbi sigurinë, jo mbi zgjedhjen individuale të punëmarrësit në situatë konkrete rreziku. Nga ana tjet</w:t>
      </w:r>
      <w:r w:rsidR="00E154F7" w:rsidRPr="000065E0">
        <w:rPr>
          <w:rFonts w:ascii="Times New Roman" w:hAnsi="Times New Roman"/>
          <w:bCs/>
          <w:lang w:val="sq-AL"/>
        </w:rPr>
        <w:t>ë</w:t>
      </w:r>
      <w:r w:rsidRPr="000065E0">
        <w:rPr>
          <w:rFonts w:ascii="Times New Roman" w:hAnsi="Times New Roman"/>
          <w:bCs/>
          <w:lang w:val="sq-AL"/>
        </w:rPr>
        <w:t>r, ky arsyetim nuk mund t</w:t>
      </w:r>
      <w:r w:rsidR="00E154F7" w:rsidRPr="000065E0">
        <w:rPr>
          <w:rFonts w:ascii="Times New Roman" w:hAnsi="Times New Roman"/>
          <w:bCs/>
          <w:lang w:val="sq-AL"/>
        </w:rPr>
        <w:t>ë</w:t>
      </w:r>
      <w:r w:rsidRPr="000065E0">
        <w:rPr>
          <w:rFonts w:ascii="Times New Roman" w:hAnsi="Times New Roman"/>
          <w:bCs/>
          <w:lang w:val="sq-AL"/>
        </w:rPr>
        <w:t xml:space="preserve"> pranohet pasi relativizon detyrimin e kontrollit efektiv (p.sh. verifikimin e përdorimit real të mjeteve mbrojtëse, mbikëqyrjen e </w:t>
      </w:r>
      <w:r w:rsidR="00A21CFA" w:rsidRPr="000065E0">
        <w:rPr>
          <w:rFonts w:ascii="Times New Roman" w:hAnsi="Times New Roman"/>
          <w:bCs/>
          <w:lang w:val="sq-AL"/>
        </w:rPr>
        <w:t>nd</w:t>
      </w:r>
      <w:r w:rsidR="00300535" w:rsidRPr="000065E0">
        <w:rPr>
          <w:rFonts w:ascii="Times New Roman" w:hAnsi="Times New Roman"/>
          <w:bCs/>
          <w:lang w:val="sq-AL"/>
        </w:rPr>
        <w:t>ë</w:t>
      </w:r>
      <w:r w:rsidR="00A21CFA" w:rsidRPr="000065E0">
        <w:rPr>
          <w:rFonts w:ascii="Times New Roman" w:hAnsi="Times New Roman"/>
          <w:bCs/>
          <w:lang w:val="sq-AL"/>
        </w:rPr>
        <w:t>rtimit dhe vendosjes s</w:t>
      </w:r>
      <w:r w:rsidR="00300535" w:rsidRPr="000065E0">
        <w:rPr>
          <w:rFonts w:ascii="Times New Roman" w:hAnsi="Times New Roman"/>
          <w:bCs/>
          <w:lang w:val="sq-AL"/>
        </w:rPr>
        <w:t>ë</w:t>
      </w:r>
      <w:r w:rsidR="00A21CFA" w:rsidRPr="000065E0">
        <w:rPr>
          <w:rFonts w:ascii="Times New Roman" w:hAnsi="Times New Roman"/>
          <w:bCs/>
          <w:lang w:val="sq-AL"/>
        </w:rPr>
        <w:t xml:space="preserve"> </w:t>
      </w:r>
      <w:r w:rsidRPr="000065E0">
        <w:rPr>
          <w:rFonts w:ascii="Times New Roman" w:hAnsi="Times New Roman"/>
          <w:bCs/>
          <w:lang w:val="sq-AL"/>
        </w:rPr>
        <w:t xml:space="preserve">skelave dhe punimeve në lartësi), duke e zhvendosur fokusin </w:t>
      </w:r>
      <w:r w:rsidR="00A21CFA" w:rsidRPr="000065E0">
        <w:rPr>
          <w:rFonts w:ascii="Times New Roman" w:hAnsi="Times New Roman"/>
          <w:bCs/>
          <w:lang w:val="sq-AL"/>
        </w:rPr>
        <w:t xml:space="preserve">e hetimit </w:t>
      </w:r>
      <w:r w:rsidRPr="000065E0">
        <w:rPr>
          <w:rFonts w:ascii="Times New Roman" w:hAnsi="Times New Roman"/>
          <w:bCs/>
          <w:lang w:val="sq-AL"/>
        </w:rPr>
        <w:t>nga mosveprimi i subjektit të posaçëm te sjellja e viktimës. Kjo bie ndesh me rregullat ligjore të sigurisë në punë që kërkojn</w:t>
      </w:r>
      <w:r w:rsidR="00E154F7" w:rsidRPr="000065E0">
        <w:rPr>
          <w:rFonts w:ascii="Times New Roman" w:hAnsi="Times New Roman"/>
          <w:bCs/>
          <w:lang w:val="sq-AL"/>
        </w:rPr>
        <w:t>ë</w:t>
      </w:r>
      <w:r w:rsidRPr="000065E0">
        <w:rPr>
          <w:rFonts w:ascii="Times New Roman" w:hAnsi="Times New Roman"/>
          <w:bCs/>
          <w:lang w:val="sq-AL"/>
        </w:rPr>
        <w:t xml:space="preserve"> masa parandaluese dhe kontrolluese, jo thjesht informuese. </w:t>
      </w:r>
    </w:p>
    <w:p w14:paraId="4C13DD6E" w14:textId="7E5A0EA1" w:rsidR="005D3EDA" w:rsidRPr="000065E0" w:rsidRDefault="002E2BF4"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lang w:val="sq-AL"/>
        </w:rPr>
        <w:t xml:space="preserve">Sa i përket pretendimit për cenimin e të drejtave të trashëgimtarëve gjatë hetimit paraprak, Kolegji vlerëson se ai është i pabazuar, pasi neni 58 KPP u njeh trashëgimtarëve vetëm të drejta të kufizuara dhe nuk parashikon të drejtë për t’u njohur me aktet/provat gjatë hetimit. Po ashtu, pretendimi mbi kualifikimin </w:t>
      </w:r>
      <w:r w:rsidR="00F1000E" w:rsidRPr="000065E0">
        <w:rPr>
          <w:rFonts w:ascii="Times New Roman" w:hAnsi="Times New Roman"/>
          <w:lang w:val="sq-AL"/>
        </w:rPr>
        <w:t>e</w:t>
      </w:r>
      <w:r w:rsidRPr="000065E0">
        <w:rPr>
          <w:rFonts w:ascii="Times New Roman" w:hAnsi="Times New Roman"/>
          <w:lang w:val="sq-AL"/>
        </w:rPr>
        <w:t xml:space="preserve"> ekspertëve, në vetvete, nuk përbën shkak rekursi në kuptim të nenit 432/1/b KPP, për sa kohë nuk provohet papajtueshmëri/shkak </w:t>
      </w:r>
      <w:r w:rsidRPr="000065E0">
        <w:rPr>
          <w:rFonts w:ascii="Times New Roman" w:hAnsi="Times New Roman"/>
          <w:lang w:val="sq-AL"/>
        </w:rPr>
        <w:lastRenderedPageBreak/>
        <w:t xml:space="preserve">përjashtimi ose shkelje </w:t>
      </w:r>
      <w:r w:rsidR="00A21CFA" w:rsidRPr="000065E0">
        <w:rPr>
          <w:rFonts w:ascii="Times New Roman" w:hAnsi="Times New Roman"/>
          <w:lang w:val="sq-AL"/>
        </w:rPr>
        <w:t xml:space="preserve">ligji </w:t>
      </w:r>
      <w:r w:rsidRPr="000065E0">
        <w:rPr>
          <w:rFonts w:ascii="Times New Roman" w:hAnsi="Times New Roman"/>
          <w:lang w:val="sq-AL"/>
        </w:rPr>
        <w:t>që sjell papërdorshmëri prove; përmbajtja e aktit të ekspertimit vlerësohet nga gjykata në tërësi me provat e tjera, sipas nenit 152 KPP.</w:t>
      </w:r>
    </w:p>
    <w:p w14:paraId="4FF1C916" w14:textId="57014460" w:rsidR="002E2BF4" w:rsidRPr="000065E0" w:rsidRDefault="002E2BF4"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lang w:val="sq-AL"/>
        </w:rPr>
        <w:t xml:space="preserve">Për rrjedhojë, Kolegji arrin në përfundimin se Gjykata e Apelit nuk ka identifikuar dhe argumentuar </w:t>
      </w:r>
      <w:r w:rsidR="00A21CFA" w:rsidRPr="000065E0">
        <w:rPr>
          <w:rFonts w:ascii="Times New Roman" w:hAnsi="Times New Roman"/>
          <w:lang w:val="sq-AL"/>
        </w:rPr>
        <w:t>p</w:t>
      </w:r>
      <w:r w:rsidR="00300535" w:rsidRPr="000065E0">
        <w:rPr>
          <w:rFonts w:ascii="Times New Roman" w:hAnsi="Times New Roman"/>
          <w:lang w:val="sq-AL"/>
        </w:rPr>
        <w:t>ë</w:t>
      </w:r>
      <w:r w:rsidR="00A21CFA" w:rsidRPr="000065E0">
        <w:rPr>
          <w:rFonts w:ascii="Times New Roman" w:hAnsi="Times New Roman"/>
          <w:lang w:val="sq-AL"/>
        </w:rPr>
        <w:t xml:space="preserve">r </w:t>
      </w:r>
      <w:r w:rsidRPr="000065E0">
        <w:rPr>
          <w:rFonts w:ascii="Times New Roman" w:hAnsi="Times New Roman"/>
          <w:lang w:val="sq-AL"/>
        </w:rPr>
        <w:t xml:space="preserve">subjektin e posaçëm në kuptim të nenit 289 </w:t>
      </w:r>
      <w:r w:rsidR="00466E99" w:rsidRPr="000065E0">
        <w:rPr>
          <w:rFonts w:ascii="Times New Roman" w:hAnsi="Times New Roman"/>
          <w:lang w:val="sq-AL"/>
        </w:rPr>
        <w:t>t</w:t>
      </w:r>
      <w:r w:rsidR="003F3628" w:rsidRPr="000065E0">
        <w:rPr>
          <w:rFonts w:ascii="Times New Roman" w:hAnsi="Times New Roman"/>
          <w:lang w:val="sq-AL"/>
        </w:rPr>
        <w:t>ë</w:t>
      </w:r>
      <w:r w:rsidR="00466E99" w:rsidRPr="000065E0">
        <w:rPr>
          <w:rFonts w:ascii="Times New Roman" w:hAnsi="Times New Roman"/>
          <w:lang w:val="sq-AL"/>
        </w:rPr>
        <w:t xml:space="preserve"> </w:t>
      </w:r>
      <w:r w:rsidRPr="000065E0">
        <w:rPr>
          <w:rFonts w:ascii="Times New Roman" w:hAnsi="Times New Roman"/>
          <w:lang w:val="sq-AL"/>
        </w:rPr>
        <w:t>KP</w:t>
      </w:r>
      <w:r w:rsidR="00466E99" w:rsidRPr="000065E0">
        <w:rPr>
          <w:rFonts w:ascii="Times New Roman" w:hAnsi="Times New Roman"/>
          <w:lang w:val="sq-AL"/>
        </w:rPr>
        <w:t xml:space="preserve">, </w:t>
      </w:r>
      <w:r w:rsidRPr="000065E0">
        <w:rPr>
          <w:rFonts w:ascii="Times New Roman" w:hAnsi="Times New Roman"/>
          <w:lang w:val="sq-AL"/>
        </w:rPr>
        <w:t xml:space="preserve">vlefshmërinë e delegimit të pretenduar, </w:t>
      </w:r>
      <w:r w:rsidR="00466E99" w:rsidRPr="000065E0">
        <w:rPr>
          <w:rFonts w:ascii="Times New Roman" w:hAnsi="Times New Roman"/>
          <w:lang w:val="sq-AL"/>
        </w:rPr>
        <w:t xml:space="preserve">si dhe zbatimin e </w:t>
      </w:r>
      <w:r w:rsidR="00A21CFA" w:rsidRPr="000065E0">
        <w:rPr>
          <w:rFonts w:ascii="Times New Roman" w:hAnsi="Times New Roman"/>
          <w:lang w:val="sq-AL"/>
        </w:rPr>
        <w:t>d</w:t>
      </w:r>
      <w:r w:rsidR="00466E99" w:rsidRPr="000065E0">
        <w:rPr>
          <w:rFonts w:ascii="Times New Roman" w:hAnsi="Times New Roman"/>
          <w:lang w:val="sq-AL"/>
        </w:rPr>
        <w:t>etyrimeve ligjore nga subjekti i posa</w:t>
      </w:r>
      <w:r w:rsidR="003F3628" w:rsidRPr="000065E0">
        <w:rPr>
          <w:rFonts w:ascii="Times New Roman" w:hAnsi="Times New Roman"/>
          <w:lang w:val="sq-AL"/>
        </w:rPr>
        <w:t>çë</w:t>
      </w:r>
      <w:r w:rsidR="00466E99" w:rsidRPr="000065E0">
        <w:rPr>
          <w:rFonts w:ascii="Times New Roman" w:hAnsi="Times New Roman"/>
          <w:lang w:val="sq-AL"/>
        </w:rPr>
        <w:t xml:space="preserve">m, </w:t>
      </w:r>
      <w:r w:rsidRPr="000065E0">
        <w:rPr>
          <w:rFonts w:ascii="Times New Roman" w:hAnsi="Times New Roman"/>
          <w:lang w:val="sq-AL"/>
        </w:rPr>
        <w:t xml:space="preserve">duke </w:t>
      </w:r>
      <w:r w:rsidR="005D3EDA" w:rsidRPr="000065E0">
        <w:rPr>
          <w:rFonts w:ascii="Times New Roman" w:hAnsi="Times New Roman"/>
          <w:lang w:val="sq-AL"/>
        </w:rPr>
        <w:t>zbatuar</w:t>
      </w:r>
      <w:r w:rsidRPr="000065E0">
        <w:rPr>
          <w:rFonts w:ascii="Times New Roman" w:hAnsi="Times New Roman"/>
          <w:lang w:val="sq-AL"/>
        </w:rPr>
        <w:t xml:space="preserve"> </w:t>
      </w:r>
      <w:r w:rsidR="005D3EDA" w:rsidRPr="000065E0">
        <w:rPr>
          <w:rFonts w:ascii="Times New Roman" w:hAnsi="Times New Roman"/>
          <w:lang w:val="sq-AL"/>
        </w:rPr>
        <w:t>gabim</w:t>
      </w:r>
      <w:r w:rsidRPr="000065E0">
        <w:rPr>
          <w:rFonts w:ascii="Times New Roman" w:hAnsi="Times New Roman"/>
          <w:lang w:val="sq-AL"/>
        </w:rPr>
        <w:t xml:space="preserve"> ligji</w:t>
      </w:r>
      <w:r w:rsidR="005D3EDA" w:rsidRPr="000065E0">
        <w:rPr>
          <w:rFonts w:ascii="Times New Roman" w:hAnsi="Times New Roman"/>
          <w:lang w:val="sq-AL"/>
        </w:rPr>
        <w:t>n</w:t>
      </w:r>
      <w:r w:rsidRPr="000065E0">
        <w:rPr>
          <w:rFonts w:ascii="Times New Roman" w:hAnsi="Times New Roman"/>
          <w:lang w:val="sq-AL"/>
        </w:rPr>
        <w:t xml:space="preserve"> material (neni 432/1/a KPP)</w:t>
      </w:r>
      <w:r w:rsidR="00466E99" w:rsidRPr="000065E0">
        <w:rPr>
          <w:rFonts w:ascii="Times New Roman" w:hAnsi="Times New Roman"/>
          <w:lang w:val="sq-AL"/>
        </w:rPr>
        <w:t>,</w:t>
      </w:r>
      <w:r w:rsidRPr="000065E0">
        <w:rPr>
          <w:rFonts w:ascii="Times New Roman" w:hAnsi="Times New Roman"/>
          <w:lang w:val="sq-AL"/>
        </w:rPr>
        <w:t xml:space="preserve"> nuk ka ushtruar kontroll substancial mbi plotësinë e hetimeve</w:t>
      </w:r>
      <w:r w:rsidR="00A21CFA" w:rsidRPr="000065E0">
        <w:rPr>
          <w:rFonts w:ascii="Times New Roman" w:hAnsi="Times New Roman"/>
          <w:lang w:val="sq-AL"/>
        </w:rPr>
        <w:t xml:space="preserve">, si dhe </w:t>
      </w:r>
      <w:r w:rsidRPr="000065E0">
        <w:rPr>
          <w:rFonts w:ascii="Times New Roman" w:hAnsi="Times New Roman"/>
          <w:lang w:val="sq-AL"/>
        </w:rPr>
        <w:t>nuk ka dhënë arsyetim të mjaftueshëm mbi pretendimet</w:t>
      </w:r>
      <w:r w:rsidR="00466E99" w:rsidRPr="000065E0">
        <w:rPr>
          <w:rFonts w:ascii="Times New Roman" w:hAnsi="Times New Roman"/>
          <w:lang w:val="sq-AL"/>
        </w:rPr>
        <w:t xml:space="preserve"> e ngritura n</w:t>
      </w:r>
      <w:r w:rsidR="003F3628" w:rsidRPr="000065E0">
        <w:rPr>
          <w:rFonts w:ascii="Times New Roman" w:hAnsi="Times New Roman"/>
          <w:lang w:val="sq-AL"/>
        </w:rPr>
        <w:t>ë</w:t>
      </w:r>
      <w:r w:rsidR="00466E99" w:rsidRPr="000065E0">
        <w:rPr>
          <w:rFonts w:ascii="Times New Roman" w:hAnsi="Times New Roman"/>
          <w:lang w:val="sq-AL"/>
        </w:rPr>
        <w:t xml:space="preserve"> raport me </w:t>
      </w:r>
      <w:r w:rsidRPr="000065E0">
        <w:rPr>
          <w:rFonts w:ascii="Times New Roman" w:hAnsi="Times New Roman"/>
          <w:lang w:val="sq-AL"/>
        </w:rPr>
        <w:t xml:space="preserve">provat e </w:t>
      </w:r>
      <w:r w:rsidR="00466E99" w:rsidRPr="000065E0">
        <w:rPr>
          <w:rFonts w:ascii="Times New Roman" w:hAnsi="Times New Roman"/>
          <w:lang w:val="sq-AL"/>
        </w:rPr>
        <w:t>marra gjat</w:t>
      </w:r>
      <w:r w:rsidR="003F3628" w:rsidRPr="000065E0">
        <w:rPr>
          <w:rFonts w:ascii="Times New Roman" w:hAnsi="Times New Roman"/>
          <w:lang w:val="sq-AL"/>
        </w:rPr>
        <w:t>ë</w:t>
      </w:r>
      <w:r w:rsidR="00466E99" w:rsidRPr="000065E0">
        <w:rPr>
          <w:rFonts w:ascii="Times New Roman" w:hAnsi="Times New Roman"/>
          <w:lang w:val="sq-AL"/>
        </w:rPr>
        <w:t xml:space="preserve"> hetimit paraprak</w:t>
      </w:r>
      <w:r w:rsidRPr="000065E0">
        <w:rPr>
          <w:rFonts w:ascii="Times New Roman" w:hAnsi="Times New Roman"/>
          <w:lang w:val="sq-AL"/>
        </w:rPr>
        <w:t xml:space="preserve">, duke cenuar standardin e </w:t>
      </w:r>
      <w:r w:rsidR="00AA10CB" w:rsidRPr="000065E0">
        <w:rPr>
          <w:rFonts w:ascii="Times New Roman" w:hAnsi="Times New Roman"/>
          <w:lang w:val="sq-AL"/>
        </w:rPr>
        <w:t>arsyetimit t</w:t>
      </w:r>
      <w:r w:rsidR="00E154F7" w:rsidRPr="000065E0">
        <w:rPr>
          <w:rFonts w:ascii="Times New Roman" w:hAnsi="Times New Roman"/>
          <w:lang w:val="sq-AL"/>
        </w:rPr>
        <w:t>ë</w:t>
      </w:r>
      <w:r w:rsidR="00AA10CB" w:rsidRPr="000065E0">
        <w:rPr>
          <w:rFonts w:ascii="Times New Roman" w:hAnsi="Times New Roman"/>
          <w:lang w:val="sq-AL"/>
        </w:rPr>
        <w:t xml:space="preserve"> </w:t>
      </w:r>
      <w:r w:rsidRPr="000065E0">
        <w:rPr>
          <w:rFonts w:ascii="Times New Roman" w:hAnsi="Times New Roman"/>
          <w:lang w:val="sq-AL"/>
        </w:rPr>
        <w:t>vendimit (neni 432/1/b KPP). Për këto arsye, vendimi i Gjykatës së Apelit duhet të prishet dhe çështja të kthehet për rigjykim.</w:t>
      </w:r>
    </w:p>
    <w:p w14:paraId="2260CD53" w14:textId="4E9DF13E" w:rsidR="00763822" w:rsidRPr="000065E0" w:rsidRDefault="008420F7" w:rsidP="003E1B7E">
      <w:pPr>
        <w:pStyle w:val="ListParagraph"/>
        <w:numPr>
          <w:ilvl w:val="0"/>
          <w:numId w:val="3"/>
        </w:numPr>
        <w:tabs>
          <w:tab w:val="left" w:pos="720"/>
        </w:tabs>
        <w:ind w:left="0" w:firstLine="360"/>
        <w:jc w:val="both"/>
        <w:rPr>
          <w:rFonts w:ascii="Times New Roman" w:hAnsi="Times New Roman"/>
          <w:bCs/>
          <w:lang w:val="sq-AL"/>
        </w:rPr>
      </w:pPr>
      <w:r w:rsidRPr="000065E0">
        <w:rPr>
          <w:rFonts w:ascii="Times New Roman" w:hAnsi="Times New Roman"/>
          <w:bCs/>
          <w:lang w:val="sq-AL"/>
        </w:rPr>
        <w:t>Në rigjykim, Gjykata e Apelit e Juridiksionit të Përgjithshëm duhet të identifikojë qartë dhe të argumentojë subjektin e posaçëm të veprës penale sipas nenit 289 të KP dhe legjislacionit të posaçëm në fushën e ndërtimit, duke përcaktuar se mbi cilin person rëndonte konkretisht detyrimi ligjor për organizimin dhe kontrollin e rregullave të sigurisë në punë në ditën e ngjarjes. Për këtë qëllim, gjykata duhet të vlerësojë vlefshmërinë juridike të delegimit të pretenduar të kompetencave, duke verifikuar ekzistencën e dokumentimit formal të këtij delegimi dhe nëse personi i deleguar përmbushte kriteret ligjore dhe profesionale për ushtrimin e funksionit të drejtuesit teknik apo koordinatorit të sigurisë. Vetëm pas këtij verifikimi mund të konkludohet nëse subjekti i posaçëm është identifikuar në përputhje me kërkesat e ligjit material penal</w:t>
      </w:r>
      <w:r w:rsidR="00466E99" w:rsidRPr="000065E0">
        <w:rPr>
          <w:rFonts w:ascii="Times New Roman" w:hAnsi="Times New Roman"/>
          <w:bCs/>
          <w:lang w:val="sq-AL"/>
        </w:rPr>
        <w:t xml:space="preserve"> dhe cilat jan</w:t>
      </w:r>
      <w:r w:rsidR="003F3628" w:rsidRPr="000065E0">
        <w:rPr>
          <w:rFonts w:ascii="Times New Roman" w:hAnsi="Times New Roman"/>
          <w:bCs/>
          <w:lang w:val="sq-AL"/>
        </w:rPr>
        <w:t>ë</w:t>
      </w:r>
      <w:r w:rsidR="00466E99" w:rsidRPr="000065E0">
        <w:rPr>
          <w:rFonts w:ascii="Times New Roman" w:hAnsi="Times New Roman"/>
          <w:bCs/>
          <w:lang w:val="sq-AL"/>
        </w:rPr>
        <w:t xml:space="preserve"> detyrimet ligjore dhe n</w:t>
      </w:r>
      <w:r w:rsidR="003F3628" w:rsidRPr="000065E0">
        <w:rPr>
          <w:rFonts w:ascii="Times New Roman" w:hAnsi="Times New Roman"/>
          <w:bCs/>
          <w:lang w:val="sq-AL"/>
        </w:rPr>
        <w:t>ë</w:t>
      </w:r>
      <w:r w:rsidR="00466E99" w:rsidRPr="000065E0">
        <w:rPr>
          <w:rFonts w:ascii="Times New Roman" w:hAnsi="Times New Roman"/>
          <w:bCs/>
          <w:lang w:val="sq-AL"/>
        </w:rPr>
        <w:t>se k</w:t>
      </w:r>
      <w:r w:rsidR="003F3628" w:rsidRPr="000065E0">
        <w:rPr>
          <w:rFonts w:ascii="Times New Roman" w:hAnsi="Times New Roman"/>
          <w:bCs/>
          <w:lang w:val="sq-AL"/>
        </w:rPr>
        <w:t>ë</w:t>
      </w:r>
      <w:r w:rsidR="00466E99" w:rsidRPr="000065E0">
        <w:rPr>
          <w:rFonts w:ascii="Times New Roman" w:hAnsi="Times New Roman"/>
          <w:bCs/>
          <w:lang w:val="sq-AL"/>
        </w:rPr>
        <w:t>to jan</w:t>
      </w:r>
      <w:r w:rsidR="003F3628" w:rsidRPr="000065E0">
        <w:rPr>
          <w:rFonts w:ascii="Times New Roman" w:hAnsi="Times New Roman"/>
          <w:bCs/>
          <w:lang w:val="sq-AL"/>
        </w:rPr>
        <w:t>ë</w:t>
      </w:r>
      <w:r w:rsidR="00466E99" w:rsidRPr="000065E0">
        <w:rPr>
          <w:rFonts w:ascii="Times New Roman" w:hAnsi="Times New Roman"/>
          <w:bCs/>
          <w:lang w:val="sq-AL"/>
        </w:rPr>
        <w:t xml:space="preserve"> zbatuar prej tij (subjektit t</w:t>
      </w:r>
      <w:r w:rsidR="003F3628" w:rsidRPr="000065E0">
        <w:rPr>
          <w:rFonts w:ascii="Times New Roman" w:hAnsi="Times New Roman"/>
          <w:bCs/>
          <w:lang w:val="sq-AL"/>
        </w:rPr>
        <w:t>ë</w:t>
      </w:r>
      <w:r w:rsidR="00466E99" w:rsidRPr="000065E0">
        <w:rPr>
          <w:rFonts w:ascii="Times New Roman" w:hAnsi="Times New Roman"/>
          <w:bCs/>
          <w:lang w:val="sq-AL"/>
        </w:rPr>
        <w:t xml:space="preserve"> posa</w:t>
      </w:r>
      <w:r w:rsidR="003F3628" w:rsidRPr="000065E0">
        <w:rPr>
          <w:rFonts w:ascii="Times New Roman" w:hAnsi="Times New Roman"/>
          <w:bCs/>
          <w:lang w:val="sq-AL"/>
        </w:rPr>
        <w:t>çë</w:t>
      </w:r>
      <w:r w:rsidR="00466E99" w:rsidRPr="000065E0">
        <w:rPr>
          <w:rFonts w:ascii="Times New Roman" w:hAnsi="Times New Roman"/>
          <w:bCs/>
          <w:lang w:val="sq-AL"/>
        </w:rPr>
        <w:t>m)</w:t>
      </w:r>
      <w:r w:rsidRPr="000065E0">
        <w:rPr>
          <w:rFonts w:ascii="Times New Roman" w:hAnsi="Times New Roman"/>
          <w:bCs/>
          <w:lang w:val="sq-AL"/>
        </w:rPr>
        <w:t xml:space="preserve">. Njëkohësisht, Gjykata e Apelit duhet të kryejë një analizë të plotë të përmbushjes reale të detyrimeve të sigurisë në punë, duke vlerësuar në mënyrë shteruese aktin e ekspertimit teknik mbi montimin e skelës, mospërputhjet ndërmjet dokumentacionit të pajisjeve mbrojtëse dhe gjendjes faktike në vendngjarje, si dhe efektivitetin e kontrollit </w:t>
      </w:r>
      <w:r w:rsidR="00397DF4" w:rsidRPr="000065E0">
        <w:rPr>
          <w:rFonts w:ascii="Times New Roman" w:hAnsi="Times New Roman"/>
          <w:bCs/>
          <w:lang w:val="sq-AL"/>
        </w:rPr>
        <w:t>nga subjekti i posa</w:t>
      </w:r>
      <w:r w:rsidR="00300535" w:rsidRPr="000065E0">
        <w:rPr>
          <w:rFonts w:ascii="Times New Roman" w:hAnsi="Times New Roman"/>
          <w:bCs/>
          <w:lang w:val="sq-AL"/>
        </w:rPr>
        <w:t>çë</w:t>
      </w:r>
      <w:r w:rsidR="00397DF4" w:rsidRPr="000065E0">
        <w:rPr>
          <w:rFonts w:ascii="Times New Roman" w:hAnsi="Times New Roman"/>
          <w:bCs/>
          <w:lang w:val="sq-AL"/>
        </w:rPr>
        <w:t xml:space="preserve">m </w:t>
      </w:r>
      <w:r w:rsidRPr="000065E0">
        <w:rPr>
          <w:rFonts w:ascii="Times New Roman" w:hAnsi="Times New Roman"/>
          <w:bCs/>
          <w:lang w:val="sq-AL"/>
        </w:rPr>
        <w:t>mbi përdorimin e mjeteve mbrojtëse</w:t>
      </w:r>
      <w:r w:rsidR="00397DF4" w:rsidRPr="000065E0">
        <w:rPr>
          <w:rFonts w:ascii="Times New Roman" w:hAnsi="Times New Roman"/>
          <w:bCs/>
          <w:lang w:val="sq-AL"/>
        </w:rPr>
        <w:t xml:space="preserve"> sipas llojit t</w:t>
      </w:r>
      <w:r w:rsidR="00300535" w:rsidRPr="000065E0">
        <w:rPr>
          <w:rFonts w:ascii="Times New Roman" w:hAnsi="Times New Roman"/>
          <w:bCs/>
          <w:lang w:val="sq-AL"/>
        </w:rPr>
        <w:t>ë</w:t>
      </w:r>
      <w:r w:rsidR="00397DF4" w:rsidRPr="000065E0">
        <w:rPr>
          <w:rFonts w:ascii="Times New Roman" w:hAnsi="Times New Roman"/>
          <w:bCs/>
          <w:lang w:val="sq-AL"/>
        </w:rPr>
        <w:t xml:space="preserve"> pun</w:t>
      </w:r>
      <w:r w:rsidR="00300535" w:rsidRPr="000065E0">
        <w:rPr>
          <w:rFonts w:ascii="Times New Roman" w:hAnsi="Times New Roman"/>
          <w:bCs/>
          <w:lang w:val="sq-AL"/>
        </w:rPr>
        <w:t>ë</w:t>
      </w:r>
      <w:r w:rsidR="00397DF4" w:rsidRPr="000065E0">
        <w:rPr>
          <w:rFonts w:ascii="Times New Roman" w:hAnsi="Times New Roman"/>
          <w:bCs/>
          <w:lang w:val="sq-AL"/>
        </w:rPr>
        <w:t>s q</w:t>
      </w:r>
      <w:r w:rsidR="00300535" w:rsidRPr="000065E0">
        <w:rPr>
          <w:rFonts w:ascii="Times New Roman" w:hAnsi="Times New Roman"/>
          <w:bCs/>
          <w:lang w:val="sq-AL"/>
        </w:rPr>
        <w:t>ë</w:t>
      </w:r>
      <w:r w:rsidR="00397DF4" w:rsidRPr="000065E0">
        <w:rPr>
          <w:rFonts w:ascii="Times New Roman" w:hAnsi="Times New Roman"/>
          <w:bCs/>
          <w:lang w:val="sq-AL"/>
        </w:rPr>
        <w:t xml:space="preserve"> kryente viktima</w:t>
      </w:r>
      <w:r w:rsidRPr="000065E0">
        <w:rPr>
          <w:rFonts w:ascii="Times New Roman" w:hAnsi="Times New Roman"/>
          <w:bCs/>
          <w:lang w:val="sq-AL"/>
        </w:rPr>
        <w:t>. Gjykata duhet gjithashtu të ushtrojë kontroll substancial mbi plotësinë dhe gjithanshmërinë e hetimeve paraprake, duke u shprehur për çdo pretendim të ngritur në ankim nga trashëgimtarët e viktimës, me qëllim që vendimi përfundimtar të jetë rezultat i një analize të plotë, të arsyetuar dhe të mbështetur në ligj dhe prova, në përputhje me standardet e kontrollit efektiv të pushimit të procedimit penal.</w:t>
      </w:r>
    </w:p>
    <w:p w14:paraId="6F3A9DE7" w14:textId="77777777" w:rsidR="00466E99" w:rsidRPr="000065E0" w:rsidRDefault="00466E99" w:rsidP="003E1B7E">
      <w:pPr>
        <w:pStyle w:val="ListParagraph"/>
        <w:tabs>
          <w:tab w:val="left" w:pos="720"/>
        </w:tabs>
        <w:ind w:left="360"/>
        <w:jc w:val="both"/>
        <w:rPr>
          <w:rFonts w:ascii="Times New Roman" w:hAnsi="Times New Roman"/>
          <w:bCs/>
          <w:lang w:val="sq-AL"/>
        </w:rPr>
      </w:pPr>
    </w:p>
    <w:p w14:paraId="1B76ADD2" w14:textId="77777777" w:rsidR="0031088E" w:rsidRPr="000065E0" w:rsidRDefault="0031088E" w:rsidP="003E1B7E">
      <w:pPr>
        <w:jc w:val="center"/>
        <w:rPr>
          <w:rFonts w:ascii="Times New Roman" w:eastAsia="Calibri" w:hAnsi="Times New Roman"/>
          <w:b/>
          <w:lang w:bidi="ar-SA"/>
        </w:rPr>
      </w:pPr>
      <w:r w:rsidRPr="000065E0">
        <w:rPr>
          <w:rFonts w:ascii="Times New Roman" w:eastAsia="Calibri" w:hAnsi="Times New Roman"/>
          <w:b/>
          <w:lang w:bidi="ar-SA"/>
        </w:rPr>
        <w:t>PËR KËTO ARSYE,</w:t>
      </w:r>
      <w:bookmarkEnd w:id="1"/>
    </w:p>
    <w:p w14:paraId="427D13A0" w14:textId="77777777" w:rsidR="006A7CCE" w:rsidRPr="000065E0" w:rsidRDefault="006A7CCE" w:rsidP="003E1B7E">
      <w:pPr>
        <w:jc w:val="center"/>
        <w:rPr>
          <w:rFonts w:ascii="Times New Roman" w:eastAsia="Calibri" w:hAnsi="Times New Roman"/>
          <w:b/>
          <w:lang w:bidi="ar-SA"/>
        </w:rPr>
      </w:pPr>
    </w:p>
    <w:p w14:paraId="3ABFA379" w14:textId="085838A1" w:rsidR="00FA6ED7" w:rsidRPr="000065E0" w:rsidRDefault="003E4FC4" w:rsidP="00893C60">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lang w:bidi="ar-SA"/>
        </w:rPr>
      </w:pPr>
      <w:r w:rsidRPr="000065E0">
        <w:rPr>
          <w:rFonts w:ascii="Times New Roman" w:hAnsi="Times New Roman"/>
        </w:rPr>
        <w:t xml:space="preserve">Kolegji Penal i Gjykatës së Lartë, </w:t>
      </w:r>
      <w:r w:rsidRPr="000065E0">
        <w:rPr>
          <w:rFonts w:ascii="Times New Roman" w:hAnsi="Times New Roman"/>
          <w:bCs/>
          <w:lang w:bidi="ar-SA"/>
        </w:rPr>
        <w:t xml:space="preserve">mbështetur në </w:t>
      </w:r>
      <w:r w:rsidR="005613AB" w:rsidRPr="000065E0">
        <w:rPr>
          <w:rFonts w:ascii="Times New Roman" w:hAnsi="Times New Roman"/>
          <w:bCs/>
          <w:lang w:bidi="ar-SA"/>
        </w:rPr>
        <w:t>nen</w:t>
      </w:r>
      <w:r w:rsidR="00C46165" w:rsidRPr="000065E0">
        <w:rPr>
          <w:rFonts w:ascii="Times New Roman" w:hAnsi="Times New Roman"/>
          <w:bCs/>
          <w:lang w:bidi="ar-SA"/>
        </w:rPr>
        <w:t>et 43</w:t>
      </w:r>
      <w:r w:rsidR="00763822" w:rsidRPr="000065E0">
        <w:rPr>
          <w:rFonts w:ascii="Times New Roman" w:hAnsi="Times New Roman"/>
          <w:bCs/>
          <w:lang w:bidi="ar-SA"/>
        </w:rPr>
        <w:t>2</w:t>
      </w:r>
      <w:r w:rsidR="00C46165" w:rsidRPr="000065E0">
        <w:rPr>
          <w:rFonts w:ascii="Times New Roman" w:hAnsi="Times New Roman"/>
          <w:bCs/>
          <w:lang w:bidi="ar-SA"/>
        </w:rPr>
        <w:t xml:space="preserve"> dhe</w:t>
      </w:r>
      <w:r w:rsidR="00D141DF" w:rsidRPr="000065E0">
        <w:rPr>
          <w:rFonts w:ascii="Times New Roman" w:hAnsi="Times New Roman"/>
          <w:bCs/>
          <w:lang w:bidi="ar-SA"/>
        </w:rPr>
        <w:t xml:space="preserve"> </w:t>
      </w:r>
      <w:r w:rsidRPr="000065E0">
        <w:rPr>
          <w:rFonts w:ascii="Times New Roman" w:hAnsi="Times New Roman"/>
          <w:bCs/>
          <w:lang w:bidi="ar-SA"/>
        </w:rPr>
        <w:t>441, pika 1, shkronja “</w:t>
      </w:r>
      <w:r w:rsidR="00763822" w:rsidRPr="000065E0">
        <w:rPr>
          <w:rFonts w:ascii="Times New Roman" w:hAnsi="Times New Roman"/>
          <w:bCs/>
          <w:lang w:bidi="ar-SA"/>
        </w:rPr>
        <w:t>c</w:t>
      </w:r>
      <w:r w:rsidRPr="000065E0">
        <w:rPr>
          <w:rFonts w:ascii="Times New Roman" w:hAnsi="Times New Roman"/>
          <w:bCs/>
          <w:lang w:bidi="ar-SA"/>
        </w:rPr>
        <w:t>”, të Kodit të Procedurës Penale,</w:t>
      </w:r>
    </w:p>
    <w:p w14:paraId="3B812DD6" w14:textId="77777777" w:rsidR="00E50B92" w:rsidRPr="000065E0" w:rsidRDefault="00E50B92" w:rsidP="00893C60">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lang w:bidi="ar-SA"/>
        </w:rPr>
      </w:pPr>
    </w:p>
    <w:p w14:paraId="3BB4F0EA" w14:textId="3492F790" w:rsidR="00056F9A" w:rsidRPr="000065E0" w:rsidRDefault="00E50B92" w:rsidP="003E1B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0065E0">
        <w:rPr>
          <w:rFonts w:ascii="Times New Roman" w:hAnsi="Times New Roman"/>
          <w:b/>
          <w:bCs/>
          <w:lang w:bidi="ar-SA"/>
        </w:rPr>
        <w:t>VENDOS</w:t>
      </w:r>
      <w:r w:rsidR="003E4FC4" w:rsidRPr="000065E0">
        <w:rPr>
          <w:rFonts w:ascii="Times New Roman" w:hAnsi="Times New Roman"/>
          <w:b/>
          <w:bCs/>
          <w:lang w:bidi="ar-SA"/>
        </w:rPr>
        <w:t>I</w:t>
      </w:r>
      <w:r w:rsidRPr="000065E0">
        <w:rPr>
          <w:rFonts w:ascii="Times New Roman" w:hAnsi="Times New Roman"/>
          <w:b/>
          <w:bCs/>
          <w:lang w:bidi="ar-SA"/>
        </w:rPr>
        <w:t>:</w:t>
      </w:r>
    </w:p>
    <w:p w14:paraId="29A9682D" w14:textId="77777777" w:rsidR="00475EF6" w:rsidRPr="000065E0" w:rsidRDefault="00475EF6" w:rsidP="003E1B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p>
    <w:p w14:paraId="072F16C0" w14:textId="3640DA30" w:rsidR="00C14869" w:rsidRPr="000065E0" w:rsidRDefault="00763822" w:rsidP="00893C60">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rPr>
      </w:pPr>
      <w:r w:rsidRPr="000065E0">
        <w:rPr>
          <w:rFonts w:ascii="Times New Roman" w:hAnsi="Times New Roman"/>
        </w:rPr>
        <w:t>Prishjen e vendimit nr.</w:t>
      </w:r>
      <w:r w:rsidRPr="000065E0">
        <w:rPr>
          <w:rFonts w:ascii="Times New Roman" w:eastAsia="MS Mincho" w:hAnsi="Times New Roman"/>
          <w:bCs/>
          <w:lang w:bidi="ar-SA"/>
        </w:rPr>
        <w:t xml:space="preserve"> 152 (30-2025-523), datë </w:t>
      </w:r>
      <w:r w:rsidRPr="000065E0">
        <w:rPr>
          <w:rFonts w:ascii="Times New Roman" w:hAnsi="Times New Roman"/>
          <w:bCs/>
        </w:rPr>
        <w:t>29.01.2025 të Gjykatës së Apelit të Juridiksionit të Përgjithshëm</w:t>
      </w:r>
      <w:r w:rsidRPr="000065E0">
        <w:rPr>
          <w:rFonts w:ascii="Times New Roman" w:eastAsia="MS Mincho" w:hAnsi="Times New Roman"/>
          <w:bCs/>
          <w:lang w:bidi="ar-SA"/>
        </w:rPr>
        <w:t xml:space="preserve"> </w:t>
      </w:r>
      <w:r w:rsidRPr="000065E0">
        <w:rPr>
          <w:rFonts w:ascii="Times New Roman" w:hAnsi="Times New Roman"/>
        </w:rPr>
        <w:t>dhe dërgimin e çështjes për rishqyrtim në këtë gjykatë</w:t>
      </w:r>
      <w:r w:rsidR="00077FAF" w:rsidRPr="000065E0">
        <w:rPr>
          <w:rFonts w:ascii="Times New Roman" w:hAnsi="Times New Roman"/>
        </w:rPr>
        <w:t>m</w:t>
      </w:r>
      <w:r w:rsidRPr="000065E0">
        <w:rPr>
          <w:rFonts w:ascii="Times New Roman" w:hAnsi="Times New Roman"/>
        </w:rPr>
        <w:t xml:space="preserve"> me tjetër trup gjykues.</w:t>
      </w:r>
    </w:p>
    <w:p w14:paraId="4D90B815" w14:textId="0247D58D" w:rsidR="00532FEA" w:rsidRPr="000065E0" w:rsidRDefault="003E4FC4" w:rsidP="003E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r w:rsidRPr="000065E0">
        <w:rPr>
          <w:rFonts w:ascii="Times New Roman" w:hAnsi="Times New Roman"/>
          <w:bCs/>
          <w:i/>
        </w:rPr>
        <w:tab/>
      </w:r>
      <w:r w:rsidRPr="000065E0">
        <w:rPr>
          <w:rFonts w:ascii="Times New Roman" w:hAnsi="Times New Roman"/>
          <w:bCs/>
          <w:i/>
        </w:rPr>
        <w:tab/>
      </w:r>
      <w:r w:rsidRPr="000065E0">
        <w:rPr>
          <w:rFonts w:ascii="Times New Roman" w:hAnsi="Times New Roman"/>
          <w:bCs/>
          <w:i/>
        </w:rPr>
        <w:tab/>
      </w:r>
      <w:r w:rsidRPr="000065E0">
        <w:rPr>
          <w:rFonts w:ascii="Times New Roman" w:hAnsi="Times New Roman"/>
          <w:bCs/>
          <w:i/>
        </w:rPr>
        <w:tab/>
      </w:r>
      <w:r w:rsidRPr="000065E0">
        <w:rPr>
          <w:rFonts w:ascii="Times New Roman" w:hAnsi="Times New Roman"/>
          <w:bCs/>
          <w:i/>
        </w:rPr>
        <w:tab/>
      </w:r>
      <w:r w:rsidRPr="000065E0">
        <w:rPr>
          <w:rFonts w:ascii="Times New Roman" w:hAnsi="Times New Roman"/>
          <w:bCs/>
          <w:i/>
        </w:rPr>
        <w:tab/>
      </w:r>
      <w:r w:rsidRPr="000065E0">
        <w:rPr>
          <w:rFonts w:ascii="Times New Roman" w:hAnsi="Times New Roman"/>
          <w:b/>
        </w:rPr>
        <w:t xml:space="preserve">Tiranë, më </w:t>
      </w:r>
      <w:r w:rsidR="006B2053" w:rsidRPr="000065E0">
        <w:rPr>
          <w:rFonts w:ascii="Times New Roman" w:hAnsi="Times New Roman"/>
          <w:b/>
        </w:rPr>
        <w:t>10.0</w:t>
      </w:r>
      <w:r w:rsidR="00763822" w:rsidRPr="000065E0">
        <w:rPr>
          <w:rFonts w:ascii="Times New Roman" w:hAnsi="Times New Roman"/>
          <w:b/>
        </w:rPr>
        <w:t>3</w:t>
      </w:r>
      <w:r w:rsidR="00DC778D" w:rsidRPr="000065E0">
        <w:rPr>
          <w:rFonts w:ascii="Times New Roman" w:hAnsi="Times New Roman"/>
          <w:b/>
        </w:rPr>
        <w:t>.2026</w:t>
      </w:r>
    </w:p>
    <w:p w14:paraId="69A59CD8" w14:textId="77777777" w:rsidR="002D4ACE" w:rsidRPr="000065E0" w:rsidRDefault="002D4ACE" w:rsidP="003E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p>
    <w:p w14:paraId="62E87C4F" w14:textId="53733B78" w:rsidR="00DC778D" w:rsidRPr="000065E0" w:rsidRDefault="00DC778D" w:rsidP="0089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lang w:bidi="ar-SA"/>
        </w:rPr>
      </w:pPr>
    </w:p>
    <w:sectPr w:rsidR="00DC778D" w:rsidRPr="000065E0" w:rsidSect="003E1B7E">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7B1E" w14:textId="77777777" w:rsidR="001644D1" w:rsidRPr="00E154F7" w:rsidRDefault="001644D1" w:rsidP="005C5C65">
      <w:r w:rsidRPr="00E154F7">
        <w:separator/>
      </w:r>
    </w:p>
  </w:endnote>
  <w:endnote w:type="continuationSeparator" w:id="0">
    <w:p w14:paraId="24802361" w14:textId="77777777" w:rsidR="001644D1" w:rsidRPr="00E154F7" w:rsidRDefault="001644D1" w:rsidP="005C5C65">
      <w:r w:rsidRPr="00E154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638794"/>
      <w:docPartObj>
        <w:docPartGallery w:val="Page Numbers (Bottom of Page)"/>
        <w:docPartUnique/>
      </w:docPartObj>
    </w:sdtPr>
    <w:sdtEndPr>
      <w:rPr>
        <w:noProof/>
      </w:rPr>
    </w:sdtEndPr>
    <w:sdtContent>
      <w:p w14:paraId="4924BEBD" w14:textId="2A8AA9F2" w:rsidR="00AD667A" w:rsidRPr="00E154F7" w:rsidRDefault="00AD667A">
        <w:pPr>
          <w:pStyle w:val="Footer"/>
          <w:jc w:val="right"/>
        </w:pPr>
        <w:r w:rsidRPr="00E154F7">
          <w:fldChar w:fldCharType="begin"/>
        </w:r>
        <w:r w:rsidRPr="00E154F7">
          <w:instrText xml:space="preserve"> PAGE   \* MERGEFORMAT </w:instrText>
        </w:r>
        <w:r w:rsidRPr="00E154F7">
          <w:fldChar w:fldCharType="separate"/>
        </w:r>
        <w:r w:rsidR="000065E0">
          <w:rPr>
            <w:noProof/>
          </w:rPr>
          <w:t>14</w:t>
        </w:r>
        <w:r w:rsidRPr="00E154F7">
          <w:rPr>
            <w:noProof/>
          </w:rPr>
          <w:fldChar w:fldCharType="end"/>
        </w:r>
      </w:p>
    </w:sdtContent>
  </w:sdt>
  <w:p w14:paraId="6CE2122C" w14:textId="77777777" w:rsidR="008666BF" w:rsidRPr="00E154F7" w:rsidRDefault="0086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A8D3D" w14:textId="77777777" w:rsidR="001644D1" w:rsidRPr="00E154F7" w:rsidRDefault="001644D1" w:rsidP="005C5C65">
      <w:r w:rsidRPr="00E154F7">
        <w:separator/>
      </w:r>
    </w:p>
  </w:footnote>
  <w:footnote w:type="continuationSeparator" w:id="0">
    <w:p w14:paraId="56B8C34E" w14:textId="77777777" w:rsidR="001644D1" w:rsidRPr="00E154F7" w:rsidRDefault="001644D1" w:rsidP="005C5C65">
      <w:r w:rsidRPr="00E154F7">
        <w:continuationSeparator/>
      </w:r>
    </w:p>
  </w:footnote>
  <w:footnote w:id="1">
    <w:p w14:paraId="637EE7FD" w14:textId="77777777" w:rsidR="008420F7" w:rsidRPr="00E154F7" w:rsidRDefault="008420F7" w:rsidP="008617FC">
      <w:pPr>
        <w:pStyle w:val="FootnoteText"/>
        <w:rPr>
          <w:lang w:val="sq-AL"/>
        </w:rPr>
      </w:pPr>
      <w:r w:rsidRPr="00E154F7">
        <w:rPr>
          <w:rStyle w:val="FootnoteReference"/>
          <w:lang w:val="sq-AL"/>
        </w:rPr>
        <w:footnoteRef/>
      </w:r>
      <w:r w:rsidRPr="00E154F7">
        <w:rPr>
          <w:rStyle w:val="FootnoteReference"/>
          <w:lang w:val="sq-AL"/>
        </w:rPr>
        <w:footnoteRef/>
      </w:r>
      <w:r w:rsidRPr="00E154F7">
        <w:rPr>
          <w:lang w:val="sq-AL"/>
        </w:rPr>
        <w:t xml:space="preserve"> Shih vendimin nr. 25/2003 të Gjykatës Kushtetuese.</w:t>
      </w:r>
    </w:p>
  </w:footnote>
  <w:footnote w:id="2">
    <w:p w14:paraId="1696C335" w14:textId="77777777" w:rsidR="008420F7" w:rsidRPr="002B54F7" w:rsidRDefault="008420F7" w:rsidP="00692C83">
      <w:pPr>
        <w:pStyle w:val="FootnoteText"/>
        <w:rPr>
          <w:lang w:val="sq-AL"/>
        </w:rPr>
      </w:pPr>
      <w:r w:rsidRPr="00E154F7">
        <w:rPr>
          <w:rStyle w:val="FootnoteReference"/>
          <w:lang w:val="sq-AL"/>
        </w:rPr>
        <w:footnoteRef/>
      </w:r>
      <w:r w:rsidRPr="00E154F7">
        <w:rPr>
          <w:lang w:val="sq-AL"/>
        </w:rPr>
        <w:t xml:space="preserve"> </w:t>
      </w:r>
      <w:r w:rsidRPr="00E154F7">
        <w:rPr>
          <w:lang w:val="sq-AL"/>
        </w:rPr>
        <w:t>S</w:t>
      </w:r>
      <w:r w:rsidRPr="00E154F7">
        <w:rPr>
          <w:lang w:val="sq-AL" w:eastAsia="en-GB"/>
        </w:rPr>
        <w:t xml:space="preserve">hih </w:t>
      </w:r>
      <w:r w:rsidRPr="00E154F7">
        <w:rPr>
          <w:lang w:val="sq-AL" w:eastAsia="en-GB"/>
        </w:rPr>
        <w:t xml:space="preserve">vendimet nr. 6, datë 10.02.2014, </w:t>
      </w:r>
      <w:r w:rsidRPr="00E154F7">
        <w:rPr>
          <w:lang w:val="sq-AL"/>
        </w:rPr>
        <w:t xml:space="preserve">nr. 194 datë 22.12.2022, </w:t>
      </w:r>
      <w:r w:rsidRPr="00E154F7">
        <w:rPr>
          <w:lang w:val="sq-AL" w:eastAsia="en-GB"/>
        </w:rPr>
        <w:t>nr. 13, datë 10.03.2016, të Gjykatës Kushtetuese.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636F"/>
    <w:multiLevelType w:val="hybridMultilevel"/>
    <w:tmpl w:val="E0223C04"/>
    <w:lvl w:ilvl="0" w:tplc="209C5A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018CC"/>
    <w:multiLevelType w:val="hybridMultilevel"/>
    <w:tmpl w:val="E188B282"/>
    <w:lvl w:ilvl="0" w:tplc="BDF29B4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F599F"/>
    <w:multiLevelType w:val="multilevel"/>
    <w:tmpl w:val="00529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6F1704"/>
    <w:multiLevelType w:val="multilevel"/>
    <w:tmpl w:val="649E9D6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20602714">
    <w:abstractNumId w:val="0"/>
  </w:num>
  <w:num w:numId="2" w16cid:durableId="995760512">
    <w:abstractNumId w:val="1"/>
  </w:num>
  <w:num w:numId="3" w16cid:durableId="181284195">
    <w:abstractNumId w:val="2"/>
  </w:num>
  <w:num w:numId="4" w16cid:durableId="16929819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E4"/>
    <w:rsid w:val="00002F74"/>
    <w:rsid w:val="000036C0"/>
    <w:rsid w:val="000065E0"/>
    <w:rsid w:val="00007795"/>
    <w:rsid w:val="00007E8F"/>
    <w:rsid w:val="00013860"/>
    <w:rsid w:val="00021DFF"/>
    <w:rsid w:val="000232A5"/>
    <w:rsid w:val="000272F2"/>
    <w:rsid w:val="0003154B"/>
    <w:rsid w:val="00032528"/>
    <w:rsid w:val="00032B2A"/>
    <w:rsid w:val="00032BF5"/>
    <w:rsid w:val="0003358F"/>
    <w:rsid w:val="00035817"/>
    <w:rsid w:val="000423EC"/>
    <w:rsid w:val="000469F5"/>
    <w:rsid w:val="00056F9A"/>
    <w:rsid w:val="00060E78"/>
    <w:rsid w:val="00061222"/>
    <w:rsid w:val="000619FD"/>
    <w:rsid w:val="00061E38"/>
    <w:rsid w:val="00065BB1"/>
    <w:rsid w:val="00074C10"/>
    <w:rsid w:val="00076906"/>
    <w:rsid w:val="00077FAF"/>
    <w:rsid w:val="00080D4C"/>
    <w:rsid w:val="00082148"/>
    <w:rsid w:val="00087512"/>
    <w:rsid w:val="00091290"/>
    <w:rsid w:val="0009416E"/>
    <w:rsid w:val="0009542A"/>
    <w:rsid w:val="00095892"/>
    <w:rsid w:val="0009661B"/>
    <w:rsid w:val="000A580B"/>
    <w:rsid w:val="000A6AAA"/>
    <w:rsid w:val="000B4845"/>
    <w:rsid w:val="000B790C"/>
    <w:rsid w:val="000B7D1F"/>
    <w:rsid w:val="000C03B2"/>
    <w:rsid w:val="000C05B2"/>
    <w:rsid w:val="000C60D3"/>
    <w:rsid w:val="000C7102"/>
    <w:rsid w:val="000D2310"/>
    <w:rsid w:val="000D4841"/>
    <w:rsid w:val="000D4B6B"/>
    <w:rsid w:val="000D7B3A"/>
    <w:rsid w:val="000E2AC1"/>
    <w:rsid w:val="000E3EE9"/>
    <w:rsid w:val="000E49C6"/>
    <w:rsid w:val="000F1494"/>
    <w:rsid w:val="000F2182"/>
    <w:rsid w:val="000F2DE1"/>
    <w:rsid w:val="00100AB7"/>
    <w:rsid w:val="00103F36"/>
    <w:rsid w:val="00112CB4"/>
    <w:rsid w:val="001257C7"/>
    <w:rsid w:val="00126431"/>
    <w:rsid w:val="00131399"/>
    <w:rsid w:val="0013343F"/>
    <w:rsid w:val="00134FF2"/>
    <w:rsid w:val="00135DBB"/>
    <w:rsid w:val="00135E4E"/>
    <w:rsid w:val="001361C2"/>
    <w:rsid w:val="00136910"/>
    <w:rsid w:val="00142C89"/>
    <w:rsid w:val="00143EC2"/>
    <w:rsid w:val="001456E8"/>
    <w:rsid w:val="00154B85"/>
    <w:rsid w:val="00154D03"/>
    <w:rsid w:val="001644B0"/>
    <w:rsid w:val="001644D1"/>
    <w:rsid w:val="00166468"/>
    <w:rsid w:val="00166FF5"/>
    <w:rsid w:val="00167682"/>
    <w:rsid w:val="00170800"/>
    <w:rsid w:val="00171BD5"/>
    <w:rsid w:val="001741A9"/>
    <w:rsid w:val="0017566C"/>
    <w:rsid w:val="001818E5"/>
    <w:rsid w:val="001851D7"/>
    <w:rsid w:val="00193A93"/>
    <w:rsid w:val="001973D0"/>
    <w:rsid w:val="001A39BF"/>
    <w:rsid w:val="001A3CF2"/>
    <w:rsid w:val="001B56C2"/>
    <w:rsid w:val="001B78A6"/>
    <w:rsid w:val="001C28D4"/>
    <w:rsid w:val="001C497F"/>
    <w:rsid w:val="001C53A7"/>
    <w:rsid w:val="001C53DB"/>
    <w:rsid w:val="001D0E51"/>
    <w:rsid w:val="001D4EAA"/>
    <w:rsid w:val="001D54FD"/>
    <w:rsid w:val="001E013E"/>
    <w:rsid w:val="001E1192"/>
    <w:rsid w:val="001E302D"/>
    <w:rsid w:val="001E5102"/>
    <w:rsid w:val="001E793E"/>
    <w:rsid w:val="00200D0B"/>
    <w:rsid w:val="0020776F"/>
    <w:rsid w:val="002113BF"/>
    <w:rsid w:val="00211A31"/>
    <w:rsid w:val="00215ECD"/>
    <w:rsid w:val="00220DE0"/>
    <w:rsid w:val="002214C2"/>
    <w:rsid w:val="0022333A"/>
    <w:rsid w:val="00223DC1"/>
    <w:rsid w:val="00224450"/>
    <w:rsid w:val="00224B13"/>
    <w:rsid w:val="00225A94"/>
    <w:rsid w:val="0022667B"/>
    <w:rsid w:val="00247B1F"/>
    <w:rsid w:val="0025265A"/>
    <w:rsid w:val="00253702"/>
    <w:rsid w:val="00262EAE"/>
    <w:rsid w:val="0026320B"/>
    <w:rsid w:val="0026788D"/>
    <w:rsid w:val="00272BEA"/>
    <w:rsid w:val="00282CEB"/>
    <w:rsid w:val="00286EF8"/>
    <w:rsid w:val="002918A7"/>
    <w:rsid w:val="00292119"/>
    <w:rsid w:val="00293744"/>
    <w:rsid w:val="002939CE"/>
    <w:rsid w:val="00297ABF"/>
    <w:rsid w:val="002A029B"/>
    <w:rsid w:val="002A2742"/>
    <w:rsid w:val="002A43EF"/>
    <w:rsid w:val="002B02B4"/>
    <w:rsid w:val="002B0C00"/>
    <w:rsid w:val="002B33C4"/>
    <w:rsid w:val="002B42CC"/>
    <w:rsid w:val="002B43D9"/>
    <w:rsid w:val="002B54F7"/>
    <w:rsid w:val="002C7893"/>
    <w:rsid w:val="002D4666"/>
    <w:rsid w:val="002D4ACE"/>
    <w:rsid w:val="002E2BF4"/>
    <w:rsid w:val="002E3D0A"/>
    <w:rsid w:val="00300535"/>
    <w:rsid w:val="003028B6"/>
    <w:rsid w:val="00303E2E"/>
    <w:rsid w:val="0030765B"/>
    <w:rsid w:val="00307FE7"/>
    <w:rsid w:val="0031088E"/>
    <w:rsid w:val="00314E53"/>
    <w:rsid w:val="0031539B"/>
    <w:rsid w:val="0032721D"/>
    <w:rsid w:val="00327E1B"/>
    <w:rsid w:val="003342B5"/>
    <w:rsid w:val="00337136"/>
    <w:rsid w:val="003416A5"/>
    <w:rsid w:val="003430F4"/>
    <w:rsid w:val="00345E46"/>
    <w:rsid w:val="003468D1"/>
    <w:rsid w:val="00347AEC"/>
    <w:rsid w:val="00352553"/>
    <w:rsid w:val="0035386A"/>
    <w:rsid w:val="00353F24"/>
    <w:rsid w:val="00360E07"/>
    <w:rsid w:val="00361F85"/>
    <w:rsid w:val="00362137"/>
    <w:rsid w:val="00362C53"/>
    <w:rsid w:val="00364890"/>
    <w:rsid w:val="00366C19"/>
    <w:rsid w:val="00370195"/>
    <w:rsid w:val="0037286A"/>
    <w:rsid w:val="00380948"/>
    <w:rsid w:val="00383A0E"/>
    <w:rsid w:val="003843D9"/>
    <w:rsid w:val="00387C2B"/>
    <w:rsid w:val="00394629"/>
    <w:rsid w:val="00394C6F"/>
    <w:rsid w:val="00397703"/>
    <w:rsid w:val="00397DF4"/>
    <w:rsid w:val="003A341F"/>
    <w:rsid w:val="003A46CE"/>
    <w:rsid w:val="003A6806"/>
    <w:rsid w:val="003B1F91"/>
    <w:rsid w:val="003B3D5A"/>
    <w:rsid w:val="003C0062"/>
    <w:rsid w:val="003C2323"/>
    <w:rsid w:val="003D3152"/>
    <w:rsid w:val="003D39BC"/>
    <w:rsid w:val="003D3A6C"/>
    <w:rsid w:val="003D4A67"/>
    <w:rsid w:val="003E1B7E"/>
    <w:rsid w:val="003E4FC4"/>
    <w:rsid w:val="003F123B"/>
    <w:rsid w:val="003F3628"/>
    <w:rsid w:val="003F36BB"/>
    <w:rsid w:val="003F38AA"/>
    <w:rsid w:val="003F5DE6"/>
    <w:rsid w:val="003F631E"/>
    <w:rsid w:val="0040272E"/>
    <w:rsid w:val="004034DF"/>
    <w:rsid w:val="00403F88"/>
    <w:rsid w:val="00404274"/>
    <w:rsid w:val="00404ADF"/>
    <w:rsid w:val="00412620"/>
    <w:rsid w:val="004171D0"/>
    <w:rsid w:val="004204E1"/>
    <w:rsid w:val="004208E3"/>
    <w:rsid w:val="00424149"/>
    <w:rsid w:val="00424A4B"/>
    <w:rsid w:val="0042696D"/>
    <w:rsid w:val="0043015B"/>
    <w:rsid w:val="00430AB9"/>
    <w:rsid w:val="004320B2"/>
    <w:rsid w:val="00433307"/>
    <w:rsid w:val="00433BF1"/>
    <w:rsid w:val="00436143"/>
    <w:rsid w:val="00436573"/>
    <w:rsid w:val="00437547"/>
    <w:rsid w:val="0044414B"/>
    <w:rsid w:val="00445118"/>
    <w:rsid w:val="0044534C"/>
    <w:rsid w:val="00447475"/>
    <w:rsid w:val="0045283C"/>
    <w:rsid w:val="00453CB0"/>
    <w:rsid w:val="0045551A"/>
    <w:rsid w:val="00456873"/>
    <w:rsid w:val="00466E99"/>
    <w:rsid w:val="004714C1"/>
    <w:rsid w:val="00475EF6"/>
    <w:rsid w:val="00477D6C"/>
    <w:rsid w:val="00481C14"/>
    <w:rsid w:val="00484ABD"/>
    <w:rsid w:val="00487FA7"/>
    <w:rsid w:val="00496FDC"/>
    <w:rsid w:val="0049728E"/>
    <w:rsid w:val="004A029E"/>
    <w:rsid w:val="004A0B17"/>
    <w:rsid w:val="004A63D0"/>
    <w:rsid w:val="004B0424"/>
    <w:rsid w:val="004B0FEC"/>
    <w:rsid w:val="004B1922"/>
    <w:rsid w:val="004B7F88"/>
    <w:rsid w:val="004C2971"/>
    <w:rsid w:val="004C3980"/>
    <w:rsid w:val="004C5DCE"/>
    <w:rsid w:val="004C6686"/>
    <w:rsid w:val="004D082E"/>
    <w:rsid w:val="004D29D2"/>
    <w:rsid w:val="004D40B6"/>
    <w:rsid w:val="004D64BC"/>
    <w:rsid w:val="004F0BDE"/>
    <w:rsid w:val="004F382A"/>
    <w:rsid w:val="004F64CF"/>
    <w:rsid w:val="0050265F"/>
    <w:rsid w:val="005046EA"/>
    <w:rsid w:val="00504896"/>
    <w:rsid w:val="0051024C"/>
    <w:rsid w:val="005132A6"/>
    <w:rsid w:val="00517529"/>
    <w:rsid w:val="00517840"/>
    <w:rsid w:val="00521B98"/>
    <w:rsid w:val="00523E61"/>
    <w:rsid w:val="005253FA"/>
    <w:rsid w:val="00526E25"/>
    <w:rsid w:val="00530C24"/>
    <w:rsid w:val="00532316"/>
    <w:rsid w:val="00532FEA"/>
    <w:rsid w:val="00533BB0"/>
    <w:rsid w:val="005347F4"/>
    <w:rsid w:val="00543748"/>
    <w:rsid w:val="00544916"/>
    <w:rsid w:val="00544AE5"/>
    <w:rsid w:val="00546B80"/>
    <w:rsid w:val="00547F00"/>
    <w:rsid w:val="00550C51"/>
    <w:rsid w:val="005523D4"/>
    <w:rsid w:val="0055597A"/>
    <w:rsid w:val="00560AC8"/>
    <w:rsid w:val="005613AB"/>
    <w:rsid w:val="00561B8F"/>
    <w:rsid w:val="005759E3"/>
    <w:rsid w:val="00577C76"/>
    <w:rsid w:val="00585915"/>
    <w:rsid w:val="00586D51"/>
    <w:rsid w:val="00595744"/>
    <w:rsid w:val="005A1D5E"/>
    <w:rsid w:val="005A2CD7"/>
    <w:rsid w:val="005A6900"/>
    <w:rsid w:val="005B200B"/>
    <w:rsid w:val="005B3430"/>
    <w:rsid w:val="005C17D9"/>
    <w:rsid w:val="005C1878"/>
    <w:rsid w:val="005C5C65"/>
    <w:rsid w:val="005C635B"/>
    <w:rsid w:val="005C65F8"/>
    <w:rsid w:val="005D3EDA"/>
    <w:rsid w:val="005D5FD1"/>
    <w:rsid w:val="005E196E"/>
    <w:rsid w:val="005E2851"/>
    <w:rsid w:val="005E5981"/>
    <w:rsid w:val="005F014B"/>
    <w:rsid w:val="005F18A1"/>
    <w:rsid w:val="005F2573"/>
    <w:rsid w:val="005F28A5"/>
    <w:rsid w:val="00600159"/>
    <w:rsid w:val="006007AC"/>
    <w:rsid w:val="00601878"/>
    <w:rsid w:val="00602E25"/>
    <w:rsid w:val="00605542"/>
    <w:rsid w:val="00605B83"/>
    <w:rsid w:val="00610F95"/>
    <w:rsid w:val="0062401F"/>
    <w:rsid w:val="0062459C"/>
    <w:rsid w:val="006249C4"/>
    <w:rsid w:val="00626ED5"/>
    <w:rsid w:val="0063078C"/>
    <w:rsid w:val="00630DCE"/>
    <w:rsid w:val="00633371"/>
    <w:rsid w:val="00640181"/>
    <w:rsid w:val="00640EF0"/>
    <w:rsid w:val="006468E1"/>
    <w:rsid w:val="00651C31"/>
    <w:rsid w:val="00652DCD"/>
    <w:rsid w:val="00656EBE"/>
    <w:rsid w:val="00657130"/>
    <w:rsid w:val="0067152C"/>
    <w:rsid w:val="00682AD6"/>
    <w:rsid w:val="00683486"/>
    <w:rsid w:val="00691F94"/>
    <w:rsid w:val="00691FF4"/>
    <w:rsid w:val="00692C83"/>
    <w:rsid w:val="0069686D"/>
    <w:rsid w:val="006A254C"/>
    <w:rsid w:val="006A5451"/>
    <w:rsid w:val="006A6E1A"/>
    <w:rsid w:val="006A757A"/>
    <w:rsid w:val="006A7CCE"/>
    <w:rsid w:val="006B1945"/>
    <w:rsid w:val="006B2053"/>
    <w:rsid w:val="006B2AB8"/>
    <w:rsid w:val="006B4416"/>
    <w:rsid w:val="006B4A59"/>
    <w:rsid w:val="006B6E59"/>
    <w:rsid w:val="006B7C52"/>
    <w:rsid w:val="006C07EB"/>
    <w:rsid w:val="006C57C7"/>
    <w:rsid w:val="006D340A"/>
    <w:rsid w:val="006D57A3"/>
    <w:rsid w:val="006E4941"/>
    <w:rsid w:val="006F7B46"/>
    <w:rsid w:val="007122D6"/>
    <w:rsid w:val="00722318"/>
    <w:rsid w:val="007254BB"/>
    <w:rsid w:val="00725C5A"/>
    <w:rsid w:val="007317FA"/>
    <w:rsid w:val="00734DA8"/>
    <w:rsid w:val="00735E72"/>
    <w:rsid w:val="00736C54"/>
    <w:rsid w:val="00736E49"/>
    <w:rsid w:val="0073709C"/>
    <w:rsid w:val="00741FBD"/>
    <w:rsid w:val="00742144"/>
    <w:rsid w:val="00744CB9"/>
    <w:rsid w:val="0074544D"/>
    <w:rsid w:val="00747361"/>
    <w:rsid w:val="00750787"/>
    <w:rsid w:val="007510BA"/>
    <w:rsid w:val="00751505"/>
    <w:rsid w:val="00760E6C"/>
    <w:rsid w:val="00763623"/>
    <w:rsid w:val="00763822"/>
    <w:rsid w:val="007649E3"/>
    <w:rsid w:val="00770FD6"/>
    <w:rsid w:val="0077186A"/>
    <w:rsid w:val="00772E78"/>
    <w:rsid w:val="00772F9A"/>
    <w:rsid w:val="007778D0"/>
    <w:rsid w:val="00791E1D"/>
    <w:rsid w:val="00794FCD"/>
    <w:rsid w:val="007973EF"/>
    <w:rsid w:val="007A4BAA"/>
    <w:rsid w:val="007A52AD"/>
    <w:rsid w:val="007B4BA1"/>
    <w:rsid w:val="007B6F4E"/>
    <w:rsid w:val="007C0207"/>
    <w:rsid w:val="007C3E58"/>
    <w:rsid w:val="007C5F95"/>
    <w:rsid w:val="007C6332"/>
    <w:rsid w:val="007C7A54"/>
    <w:rsid w:val="007D2317"/>
    <w:rsid w:val="007D4D18"/>
    <w:rsid w:val="007D714E"/>
    <w:rsid w:val="007E0A63"/>
    <w:rsid w:val="007E3411"/>
    <w:rsid w:val="007E3DED"/>
    <w:rsid w:val="007E3EF5"/>
    <w:rsid w:val="007E4BB7"/>
    <w:rsid w:val="007E4E77"/>
    <w:rsid w:val="007E5472"/>
    <w:rsid w:val="007F0571"/>
    <w:rsid w:val="007F194E"/>
    <w:rsid w:val="007F4294"/>
    <w:rsid w:val="007F4440"/>
    <w:rsid w:val="007F4FC3"/>
    <w:rsid w:val="007F53AC"/>
    <w:rsid w:val="007F7598"/>
    <w:rsid w:val="00803469"/>
    <w:rsid w:val="008047C1"/>
    <w:rsid w:val="00806CA6"/>
    <w:rsid w:val="00812FC0"/>
    <w:rsid w:val="008140DB"/>
    <w:rsid w:val="00821E34"/>
    <w:rsid w:val="0082658E"/>
    <w:rsid w:val="0082751B"/>
    <w:rsid w:val="00827EF7"/>
    <w:rsid w:val="00830181"/>
    <w:rsid w:val="008310AF"/>
    <w:rsid w:val="00832A46"/>
    <w:rsid w:val="00835F73"/>
    <w:rsid w:val="0084054F"/>
    <w:rsid w:val="008420F7"/>
    <w:rsid w:val="008439AD"/>
    <w:rsid w:val="0084583C"/>
    <w:rsid w:val="00847BED"/>
    <w:rsid w:val="008501D1"/>
    <w:rsid w:val="00850C89"/>
    <w:rsid w:val="008535C9"/>
    <w:rsid w:val="00855CC2"/>
    <w:rsid w:val="00855FE7"/>
    <w:rsid w:val="008600F7"/>
    <w:rsid w:val="008614C4"/>
    <w:rsid w:val="008617FC"/>
    <w:rsid w:val="00863AE9"/>
    <w:rsid w:val="008666BF"/>
    <w:rsid w:val="00870D74"/>
    <w:rsid w:val="00871FAB"/>
    <w:rsid w:val="00872526"/>
    <w:rsid w:val="008734B5"/>
    <w:rsid w:val="00874B46"/>
    <w:rsid w:val="0088366F"/>
    <w:rsid w:val="00885E9F"/>
    <w:rsid w:val="008869DE"/>
    <w:rsid w:val="00890B89"/>
    <w:rsid w:val="00890D17"/>
    <w:rsid w:val="00892591"/>
    <w:rsid w:val="00893C60"/>
    <w:rsid w:val="008940FC"/>
    <w:rsid w:val="00895821"/>
    <w:rsid w:val="00895DFE"/>
    <w:rsid w:val="008A0295"/>
    <w:rsid w:val="008A107E"/>
    <w:rsid w:val="008A2A65"/>
    <w:rsid w:val="008B6223"/>
    <w:rsid w:val="008B699C"/>
    <w:rsid w:val="008C0AAD"/>
    <w:rsid w:val="008C0EBF"/>
    <w:rsid w:val="008C0EDF"/>
    <w:rsid w:val="008C1FBA"/>
    <w:rsid w:val="008D5EBC"/>
    <w:rsid w:val="008D7DB6"/>
    <w:rsid w:val="008E3C8A"/>
    <w:rsid w:val="008E4A58"/>
    <w:rsid w:val="008E4F28"/>
    <w:rsid w:val="008E5067"/>
    <w:rsid w:val="008E61A1"/>
    <w:rsid w:val="008F13F0"/>
    <w:rsid w:val="009039AA"/>
    <w:rsid w:val="00906B00"/>
    <w:rsid w:val="00911331"/>
    <w:rsid w:val="00911702"/>
    <w:rsid w:val="0091375A"/>
    <w:rsid w:val="00913C98"/>
    <w:rsid w:val="00915486"/>
    <w:rsid w:val="00922AFA"/>
    <w:rsid w:val="00925915"/>
    <w:rsid w:val="0092607D"/>
    <w:rsid w:val="00932491"/>
    <w:rsid w:val="00932F50"/>
    <w:rsid w:val="009339A7"/>
    <w:rsid w:val="00940B47"/>
    <w:rsid w:val="00945AA0"/>
    <w:rsid w:val="009473BB"/>
    <w:rsid w:val="009535EB"/>
    <w:rsid w:val="0095491B"/>
    <w:rsid w:val="0096185E"/>
    <w:rsid w:val="009646C3"/>
    <w:rsid w:val="00967978"/>
    <w:rsid w:val="00977970"/>
    <w:rsid w:val="00984B9D"/>
    <w:rsid w:val="009860FF"/>
    <w:rsid w:val="00987485"/>
    <w:rsid w:val="00992437"/>
    <w:rsid w:val="00992C10"/>
    <w:rsid w:val="009970BC"/>
    <w:rsid w:val="009A54F1"/>
    <w:rsid w:val="009A676F"/>
    <w:rsid w:val="009A7735"/>
    <w:rsid w:val="009B6198"/>
    <w:rsid w:val="009B6A55"/>
    <w:rsid w:val="009B7DD1"/>
    <w:rsid w:val="009C1231"/>
    <w:rsid w:val="009C1240"/>
    <w:rsid w:val="009C1C94"/>
    <w:rsid w:val="009C5C90"/>
    <w:rsid w:val="009D2AF4"/>
    <w:rsid w:val="009D34E6"/>
    <w:rsid w:val="009D696B"/>
    <w:rsid w:val="009E3B2E"/>
    <w:rsid w:val="009E55DA"/>
    <w:rsid w:val="009F0CE4"/>
    <w:rsid w:val="009F7CA0"/>
    <w:rsid w:val="00A06AF5"/>
    <w:rsid w:val="00A07046"/>
    <w:rsid w:val="00A17971"/>
    <w:rsid w:val="00A17F99"/>
    <w:rsid w:val="00A2052E"/>
    <w:rsid w:val="00A206F5"/>
    <w:rsid w:val="00A20E0C"/>
    <w:rsid w:val="00A21CFA"/>
    <w:rsid w:val="00A22745"/>
    <w:rsid w:val="00A22B3B"/>
    <w:rsid w:val="00A23427"/>
    <w:rsid w:val="00A243C0"/>
    <w:rsid w:val="00A253BF"/>
    <w:rsid w:val="00A34CE1"/>
    <w:rsid w:val="00A4051E"/>
    <w:rsid w:val="00A419A8"/>
    <w:rsid w:val="00A4609B"/>
    <w:rsid w:val="00A50CDB"/>
    <w:rsid w:val="00A51E78"/>
    <w:rsid w:val="00A55426"/>
    <w:rsid w:val="00A61A05"/>
    <w:rsid w:val="00A70E9A"/>
    <w:rsid w:val="00A762DA"/>
    <w:rsid w:val="00A76AF5"/>
    <w:rsid w:val="00A77E14"/>
    <w:rsid w:val="00A800A8"/>
    <w:rsid w:val="00A83E17"/>
    <w:rsid w:val="00AA10CB"/>
    <w:rsid w:val="00AA30D5"/>
    <w:rsid w:val="00AA3260"/>
    <w:rsid w:val="00AA591C"/>
    <w:rsid w:val="00AA6F34"/>
    <w:rsid w:val="00AB0D52"/>
    <w:rsid w:val="00AB0F39"/>
    <w:rsid w:val="00AB2CC8"/>
    <w:rsid w:val="00AB471D"/>
    <w:rsid w:val="00AB7C57"/>
    <w:rsid w:val="00AC11CA"/>
    <w:rsid w:val="00AC2085"/>
    <w:rsid w:val="00AC20EA"/>
    <w:rsid w:val="00AC3FC1"/>
    <w:rsid w:val="00AD0694"/>
    <w:rsid w:val="00AD18FE"/>
    <w:rsid w:val="00AD667A"/>
    <w:rsid w:val="00AD6E22"/>
    <w:rsid w:val="00AD734D"/>
    <w:rsid w:val="00AD7D69"/>
    <w:rsid w:val="00AE2582"/>
    <w:rsid w:val="00AE3C59"/>
    <w:rsid w:val="00AE51D3"/>
    <w:rsid w:val="00AE539D"/>
    <w:rsid w:val="00AF4F1C"/>
    <w:rsid w:val="00B01361"/>
    <w:rsid w:val="00B021F5"/>
    <w:rsid w:val="00B117A8"/>
    <w:rsid w:val="00B12191"/>
    <w:rsid w:val="00B14811"/>
    <w:rsid w:val="00B16403"/>
    <w:rsid w:val="00B16D4D"/>
    <w:rsid w:val="00B24990"/>
    <w:rsid w:val="00B252F6"/>
    <w:rsid w:val="00B25F7A"/>
    <w:rsid w:val="00B26184"/>
    <w:rsid w:val="00B26769"/>
    <w:rsid w:val="00B27F05"/>
    <w:rsid w:val="00B34929"/>
    <w:rsid w:val="00B36FC2"/>
    <w:rsid w:val="00B4330D"/>
    <w:rsid w:val="00B478E8"/>
    <w:rsid w:val="00B5132F"/>
    <w:rsid w:val="00B65852"/>
    <w:rsid w:val="00B738CF"/>
    <w:rsid w:val="00B77B81"/>
    <w:rsid w:val="00BA0D35"/>
    <w:rsid w:val="00BA1E6D"/>
    <w:rsid w:val="00BA27A2"/>
    <w:rsid w:val="00BA3F2F"/>
    <w:rsid w:val="00BB177D"/>
    <w:rsid w:val="00BB1A0F"/>
    <w:rsid w:val="00BB212C"/>
    <w:rsid w:val="00BB283B"/>
    <w:rsid w:val="00BB59EB"/>
    <w:rsid w:val="00BB7136"/>
    <w:rsid w:val="00BC0968"/>
    <w:rsid w:val="00BC342E"/>
    <w:rsid w:val="00BC4DE0"/>
    <w:rsid w:val="00BD2078"/>
    <w:rsid w:val="00BD23D5"/>
    <w:rsid w:val="00BD6991"/>
    <w:rsid w:val="00BD7D10"/>
    <w:rsid w:val="00BE0D53"/>
    <w:rsid w:val="00BE14FD"/>
    <w:rsid w:val="00BF2565"/>
    <w:rsid w:val="00BF2B1D"/>
    <w:rsid w:val="00BF386F"/>
    <w:rsid w:val="00BF5117"/>
    <w:rsid w:val="00BF5949"/>
    <w:rsid w:val="00BF5E7E"/>
    <w:rsid w:val="00C01644"/>
    <w:rsid w:val="00C01F47"/>
    <w:rsid w:val="00C03140"/>
    <w:rsid w:val="00C110C6"/>
    <w:rsid w:val="00C14869"/>
    <w:rsid w:val="00C14FA3"/>
    <w:rsid w:val="00C336BC"/>
    <w:rsid w:val="00C3370E"/>
    <w:rsid w:val="00C36A39"/>
    <w:rsid w:val="00C3766B"/>
    <w:rsid w:val="00C45D26"/>
    <w:rsid w:val="00C46165"/>
    <w:rsid w:val="00C520F1"/>
    <w:rsid w:val="00C52F5B"/>
    <w:rsid w:val="00C54088"/>
    <w:rsid w:val="00C57645"/>
    <w:rsid w:val="00C61323"/>
    <w:rsid w:val="00C62384"/>
    <w:rsid w:val="00C62D66"/>
    <w:rsid w:val="00C66B97"/>
    <w:rsid w:val="00C71B1C"/>
    <w:rsid w:val="00C72236"/>
    <w:rsid w:val="00C7426F"/>
    <w:rsid w:val="00C74596"/>
    <w:rsid w:val="00C74826"/>
    <w:rsid w:val="00C75498"/>
    <w:rsid w:val="00C75E14"/>
    <w:rsid w:val="00C76F17"/>
    <w:rsid w:val="00C81CCD"/>
    <w:rsid w:val="00C82BAA"/>
    <w:rsid w:val="00C84B89"/>
    <w:rsid w:val="00C90D73"/>
    <w:rsid w:val="00C9444D"/>
    <w:rsid w:val="00C96BC7"/>
    <w:rsid w:val="00CA2022"/>
    <w:rsid w:val="00CA33DE"/>
    <w:rsid w:val="00CA62CA"/>
    <w:rsid w:val="00CB75EC"/>
    <w:rsid w:val="00CB7DC3"/>
    <w:rsid w:val="00CC3D47"/>
    <w:rsid w:val="00CC5685"/>
    <w:rsid w:val="00CC5693"/>
    <w:rsid w:val="00CD2155"/>
    <w:rsid w:val="00CD2754"/>
    <w:rsid w:val="00CD2A5D"/>
    <w:rsid w:val="00CD58D4"/>
    <w:rsid w:val="00CD6EED"/>
    <w:rsid w:val="00CE2374"/>
    <w:rsid w:val="00CE30C5"/>
    <w:rsid w:val="00CE3FD7"/>
    <w:rsid w:val="00CE42F7"/>
    <w:rsid w:val="00CF0AFA"/>
    <w:rsid w:val="00CF1CFF"/>
    <w:rsid w:val="00CF69AE"/>
    <w:rsid w:val="00CF72B3"/>
    <w:rsid w:val="00D01C57"/>
    <w:rsid w:val="00D03537"/>
    <w:rsid w:val="00D05802"/>
    <w:rsid w:val="00D06208"/>
    <w:rsid w:val="00D13EF2"/>
    <w:rsid w:val="00D141DF"/>
    <w:rsid w:val="00D148E8"/>
    <w:rsid w:val="00D35F04"/>
    <w:rsid w:val="00D426CA"/>
    <w:rsid w:val="00D46C61"/>
    <w:rsid w:val="00D4751C"/>
    <w:rsid w:val="00D531FA"/>
    <w:rsid w:val="00D55D72"/>
    <w:rsid w:val="00D5697C"/>
    <w:rsid w:val="00D61884"/>
    <w:rsid w:val="00D6218C"/>
    <w:rsid w:val="00D64569"/>
    <w:rsid w:val="00D65179"/>
    <w:rsid w:val="00D65784"/>
    <w:rsid w:val="00D66A21"/>
    <w:rsid w:val="00D67730"/>
    <w:rsid w:val="00D67EB4"/>
    <w:rsid w:val="00D73B67"/>
    <w:rsid w:val="00D77E4D"/>
    <w:rsid w:val="00D82939"/>
    <w:rsid w:val="00D83D1A"/>
    <w:rsid w:val="00D843E9"/>
    <w:rsid w:val="00D8453B"/>
    <w:rsid w:val="00D84BBE"/>
    <w:rsid w:val="00D84E44"/>
    <w:rsid w:val="00D86774"/>
    <w:rsid w:val="00D909BC"/>
    <w:rsid w:val="00D91CCE"/>
    <w:rsid w:val="00D9635B"/>
    <w:rsid w:val="00DA2D2B"/>
    <w:rsid w:val="00DA40D1"/>
    <w:rsid w:val="00DB5E00"/>
    <w:rsid w:val="00DB73FD"/>
    <w:rsid w:val="00DC2549"/>
    <w:rsid w:val="00DC282E"/>
    <w:rsid w:val="00DC3216"/>
    <w:rsid w:val="00DC778D"/>
    <w:rsid w:val="00DD4F8D"/>
    <w:rsid w:val="00DE7022"/>
    <w:rsid w:val="00DE7245"/>
    <w:rsid w:val="00DE757D"/>
    <w:rsid w:val="00DE7C98"/>
    <w:rsid w:val="00DF0E32"/>
    <w:rsid w:val="00DF17CC"/>
    <w:rsid w:val="00E01B48"/>
    <w:rsid w:val="00E11A1B"/>
    <w:rsid w:val="00E154F7"/>
    <w:rsid w:val="00E20F78"/>
    <w:rsid w:val="00E27BA6"/>
    <w:rsid w:val="00E30DA2"/>
    <w:rsid w:val="00E31698"/>
    <w:rsid w:val="00E332FF"/>
    <w:rsid w:val="00E345A2"/>
    <w:rsid w:val="00E42899"/>
    <w:rsid w:val="00E442E4"/>
    <w:rsid w:val="00E4533C"/>
    <w:rsid w:val="00E50B92"/>
    <w:rsid w:val="00E50C09"/>
    <w:rsid w:val="00E56074"/>
    <w:rsid w:val="00E5646D"/>
    <w:rsid w:val="00E61913"/>
    <w:rsid w:val="00E637AC"/>
    <w:rsid w:val="00E74A2B"/>
    <w:rsid w:val="00E7588D"/>
    <w:rsid w:val="00E76448"/>
    <w:rsid w:val="00E81E4C"/>
    <w:rsid w:val="00E84CCE"/>
    <w:rsid w:val="00E91456"/>
    <w:rsid w:val="00E93287"/>
    <w:rsid w:val="00EA583E"/>
    <w:rsid w:val="00EB15D1"/>
    <w:rsid w:val="00EB214F"/>
    <w:rsid w:val="00EB256E"/>
    <w:rsid w:val="00EB2B2D"/>
    <w:rsid w:val="00EB584E"/>
    <w:rsid w:val="00EC3DAB"/>
    <w:rsid w:val="00EC6563"/>
    <w:rsid w:val="00ED0F8E"/>
    <w:rsid w:val="00ED4245"/>
    <w:rsid w:val="00ED6F61"/>
    <w:rsid w:val="00ED7A1A"/>
    <w:rsid w:val="00EE0912"/>
    <w:rsid w:val="00EE183B"/>
    <w:rsid w:val="00EE1C2C"/>
    <w:rsid w:val="00EE79CE"/>
    <w:rsid w:val="00EF1A0F"/>
    <w:rsid w:val="00F03EA7"/>
    <w:rsid w:val="00F1000E"/>
    <w:rsid w:val="00F10357"/>
    <w:rsid w:val="00F11077"/>
    <w:rsid w:val="00F15D93"/>
    <w:rsid w:val="00F16985"/>
    <w:rsid w:val="00F21B5A"/>
    <w:rsid w:val="00F2314B"/>
    <w:rsid w:val="00F25F95"/>
    <w:rsid w:val="00F3110E"/>
    <w:rsid w:val="00F3284F"/>
    <w:rsid w:val="00F329E9"/>
    <w:rsid w:val="00F35B04"/>
    <w:rsid w:val="00F35FF5"/>
    <w:rsid w:val="00F405B2"/>
    <w:rsid w:val="00F411F3"/>
    <w:rsid w:val="00F4181F"/>
    <w:rsid w:val="00F41A82"/>
    <w:rsid w:val="00F47B01"/>
    <w:rsid w:val="00F50DAF"/>
    <w:rsid w:val="00F51F09"/>
    <w:rsid w:val="00F54528"/>
    <w:rsid w:val="00F56C6A"/>
    <w:rsid w:val="00F577E4"/>
    <w:rsid w:val="00F64C63"/>
    <w:rsid w:val="00F64DFC"/>
    <w:rsid w:val="00F66B7A"/>
    <w:rsid w:val="00F72117"/>
    <w:rsid w:val="00F7673A"/>
    <w:rsid w:val="00F81258"/>
    <w:rsid w:val="00F81C03"/>
    <w:rsid w:val="00F87302"/>
    <w:rsid w:val="00F90636"/>
    <w:rsid w:val="00F90BE7"/>
    <w:rsid w:val="00F90C1D"/>
    <w:rsid w:val="00F961E4"/>
    <w:rsid w:val="00F962D6"/>
    <w:rsid w:val="00F96EF7"/>
    <w:rsid w:val="00F97A68"/>
    <w:rsid w:val="00FA0BFF"/>
    <w:rsid w:val="00FA1A5A"/>
    <w:rsid w:val="00FA48C9"/>
    <w:rsid w:val="00FA58DF"/>
    <w:rsid w:val="00FA6ED7"/>
    <w:rsid w:val="00FA78D2"/>
    <w:rsid w:val="00FA7AB4"/>
    <w:rsid w:val="00FA7DF1"/>
    <w:rsid w:val="00FB2EEF"/>
    <w:rsid w:val="00FB5F6E"/>
    <w:rsid w:val="00FC0764"/>
    <w:rsid w:val="00FC1A36"/>
    <w:rsid w:val="00FC3EF8"/>
    <w:rsid w:val="00FC42A3"/>
    <w:rsid w:val="00FC4DA2"/>
    <w:rsid w:val="00FC692A"/>
    <w:rsid w:val="00FD2525"/>
    <w:rsid w:val="00FD54C7"/>
    <w:rsid w:val="00FE1294"/>
    <w:rsid w:val="00FE51FF"/>
    <w:rsid w:val="00FE6241"/>
    <w:rsid w:val="00FE75FF"/>
    <w:rsid w:val="00FF105A"/>
    <w:rsid w:val="00FF4DD9"/>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6EFC"/>
  <w15:chartTrackingRefBased/>
  <w15:docId w15:val="{9548921C-DD23-4DD5-89CE-C183B045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25"/>
    <w:pPr>
      <w:spacing w:after="0" w:line="240" w:lineRule="auto"/>
    </w:pPr>
    <w:rPr>
      <w:rFonts w:ascii="Calibri" w:eastAsia="Times New Roman" w:hAnsi="Calibri" w:cs="Times New Roman"/>
      <w:sz w:val="24"/>
      <w:szCs w:val="24"/>
      <w:lang w:val="sq-AL" w:bidi="en-US"/>
    </w:rPr>
  </w:style>
  <w:style w:type="paragraph" w:styleId="Heading1">
    <w:name w:val="heading 1"/>
    <w:basedOn w:val="Normal"/>
    <w:next w:val="Normal"/>
    <w:link w:val="Heading1Char"/>
    <w:uiPriority w:val="9"/>
    <w:qFormat/>
    <w:rsid w:val="00223D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2E2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9582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3754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43754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E25"/>
    <w:rPr>
      <w:rFonts w:ascii="Cambria" w:eastAsia="Times New Roman" w:hAnsi="Cambria" w:cs="Times New Roman"/>
      <w:b/>
      <w:bCs/>
      <w:i/>
      <w:iCs/>
      <w:sz w:val="28"/>
      <w:szCs w:val="28"/>
      <w:lang w:val="sq-AL" w:bidi="en-US"/>
    </w:rPr>
  </w:style>
  <w:style w:type="paragraph" w:styleId="Title">
    <w:name w:val="Title"/>
    <w:basedOn w:val="Normal"/>
    <w:link w:val="TitleChar"/>
    <w:qFormat/>
    <w:rsid w:val="00602E25"/>
    <w:pPr>
      <w:jc w:val="center"/>
    </w:pPr>
    <w:rPr>
      <w:rFonts w:ascii="Times New Roman" w:hAnsi="Times New Roman"/>
      <w:sz w:val="28"/>
      <w:szCs w:val="28"/>
      <w:lang w:val="en-US" w:eastAsia="x-none" w:bidi="ar-SA"/>
    </w:rPr>
  </w:style>
  <w:style w:type="character" w:customStyle="1" w:styleId="TitleChar">
    <w:name w:val="Title Char"/>
    <w:basedOn w:val="DefaultParagraphFont"/>
    <w:link w:val="Title"/>
    <w:rsid w:val="00602E25"/>
    <w:rPr>
      <w:rFonts w:ascii="Times New Roman" w:eastAsia="Times New Roman" w:hAnsi="Times New Roman" w:cs="Times New Roman"/>
      <w:sz w:val="28"/>
      <w:szCs w:val="28"/>
      <w:lang w:eastAsia="x-none"/>
    </w:rPr>
  </w:style>
  <w:style w:type="character" w:customStyle="1" w:styleId="NoSpacingChar">
    <w:name w:val="No Spacing Char"/>
    <w:link w:val="NoSpacing"/>
    <w:uiPriority w:val="99"/>
    <w:locked/>
    <w:rsid w:val="00602E25"/>
    <w:rPr>
      <w:rFonts w:ascii="Calibri" w:eastAsia="Times New Roman" w:hAnsi="Calibri" w:cs="Times New Roman"/>
      <w:sz w:val="24"/>
      <w:szCs w:val="24"/>
      <w:lang w:bidi="en-US"/>
    </w:rPr>
  </w:style>
  <w:style w:type="paragraph" w:styleId="NoSpacing">
    <w:name w:val="No Spacing"/>
    <w:link w:val="NoSpacingChar"/>
    <w:uiPriority w:val="99"/>
    <w:qFormat/>
    <w:rsid w:val="00602E25"/>
    <w:pPr>
      <w:spacing w:after="0" w:line="240" w:lineRule="auto"/>
    </w:pPr>
    <w:rPr>
      <w:rFonts w:ascii="Calibri" w:eastAsia="Times New Roman" w:hAnsi="Calibri" w:cs="Times New Roman"/>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qFormat/>
    <w:locked/>
    <w:rsid w:val="00602E25"/>
    <w:rPr>
      <w:rFonts w:ascii="Calibri" w:eastAsia="Times New Roman" w:hAnsi="Calibri" w:cs="Times New Roman"/>
      <w:sz w:val="24"/>
      <w:szCs w:val="24"/>
      <w:lang w:bidi="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602E25"/>
    <w:pPr>
      <w:ind w:left="720"/>
      <w:contextualSpacing/>
    </w:pPr>
    <w:rPr>
      <w:lang w:val="en-US"/>
    </w:rPr>
  </w:style>
  <w:style w:type="paragraph" w:styleId="BodyText">
    <w:name w:val="Body Text"/>
    <w:basedOn w:val="Normal"/>
    <w:link w:val="BodyTextChar"/>
    <w:uiPriority w:val="99"/>
    <w:unhideWhenUsed/>
    <w:rsid w:val="00DF0E32"/>
    <w:pPr>
      <w:spacing w:after="120"/>
    </w:pPr>
    <w:rPr>
      <w:rFonts w:ascii="Times New Roman" w:hAnsi="Times New Roman"/>
      <w:sz w:val="20"/>
      <w:szCs w:val="20"/>
      <w:lang w:val="x-none" w:eastAsia="x-none" w:bidi="ar-SA"/>
    </w:rPr>
  </w:style>
  <w:style w:type="character" w:customStyle="1" w:styleId="BodyTextChar">
    <w:name w:val="Body Text Char"/>
    <w:basedOn w:val="DefaultParagraphFont"/>
    <w:link w:val="BodyText"/>
    <w:uiPriority w:val="99"/>
    <w:rsid w:val="00DF0E32"/>
    <w:rPr>
      <w:rFonts w:ascii="Times New Roman" w:eastAsia="Times New Roman" w:hAnsi="Times New Roman" w:cs="Times New Roman"/>
      <w:sz w:val="20"/>
      <w:szCs w:val="20"/>
      <w:lang w:val="x-none" w:eastAsia="x-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
    <w:basedOn w:val="Normal"/>
    <w:link w:val="FootnoteTextChar"/>
    <w:uiPriority w:val="99"/>
    <w:unhideWhenUsed/>
    <w:qFormat/>
    <w:rsid w:val="005C5C65"/>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5C5C65"/>
    <w:rPr>
      <w:rFonts w:ascii="Times New Roman" w:eastAsia="Times New Roman" w:hAnsi="Times New Roman" w:cs="Times New Roman"/>
      <w:sz w:val="20"/>
      <w:szCs w:val="20"/>
      <w:lang w:eastAsia="x-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
    <w:link w:val="Char2"/>
    <w:uiPriority w:val="99"/>
    <w:unhideWhenUsed/>
    <w:qFormat/>
    <w:rsid w:val="005C5C65"/>
    <w:rPr>
      <w:vertAlign w:val="superscript"/>
    </w:rPr>
  </w:style>
  <w:style w:type="paragraph" w:styleId="BalloonText">
    <w:name w:val="Balloon Text"/>
    <w:basedOn w:val="Normal"/>
    <w:link w:val="BalloonTextChar"/>
    <w:uiPriority w:val="99"/>
    <w:semiHidden/>
    <w:unhideWhenUsed/>
    <w:rsid w:val="002A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42"/>
    <w:rPr>
      <w:rFonts w:ascii="Segoe UI" w:eastAsia="Times New Roman" w:hAnsi="Segoe UI" w:cs="Segoe UI"/>
      <w:sz w:val="18"/>
      <w:szCs w:val="18"/>
      <w:lang w:val="sq-AL" w:bidi="en-US"/>
    </w:rPr>
  </w:style>
  <w:style w:type="paragraph" w:styleId="Header">
    <w:name w:val="header"/>
    <w:basedOn w:val="Normal"/>
    <w:link w:val="HeaderChar"/>
    <w:uiPriority w:val="99"/>
    <w:unhideWhenUsed/>
    <w:rsid w:val="007510BA"/>
    <w:pPr>
      <w:tabs>
        <w:tab w:val="center" w:pos="4680"/>
        <w:tab w:val="right" w:pos="9360"/>
      </w:tabs>
    </w:pPr>
  </w:style>
  <w:style w:type="character" w:customStyle="1" w:styleId="HeaderChar">
    <w:name w:val="Header Char"/>
    <w:basedOn w:val="DefaultParagraphFont"/>
    <w:link w:val="Header"/>
    <w:uiPriority w:val="99"/>
    <w:rsid w:val="007510BA"/>
    <w:rPr>
      <w:rFonts w:ascii="Calibri" w:eastAsia="Times New Roman" w:hAnsi="Calibri" w:cs="Times New Roman"/>
      <w:sz w:val="24"/>
      <w:szCs w:val="24"/>
      <w:lang w:val="sq-AL" w:bidi="en-US"/>
    </w:rPr>
  </w:style>
  <w:style w:type="paragraph" w:styleId="Footer">
    <w:name w:val="footer"/>
    <w:basedOn w:val="Normal"/>
    <w:link w:val="FooterChar"/>
    <w:uiPriority w:val="99"/>
    <w:unhideWhenUsed/>
    <w:rsid w:val="007510BA"/>
    <w:pPr>
      <w:tabs>
        <w:tab w:val="center" w:pos="4680"/>
        <w:tab w:val="right" w:pos="9360"/>
      </w:tabs>
    </w:pPr>
  </w:style>
  <w:style w:type="character" w:customStyle="1" w:styleId="FooterChar">
    <w:name w:val="Footer Char"/>
    <w:basedOn w:val="DefaultParagraphFont"/>
    <w:link w:val="Footer"/>
    <w:uiPriority w:val="99"/>
    <w:rsid w:val="007510BA"/>
    <w:rPr>
      <w:rFonts w:ascii="Calibri" w:eastAsia="Times New Roman" w:hAnsi="Calibri" w:cs="Times New Roman"/>
      <w:sz w:val="24"/>
      <w:szCs w:val="24"/>
      <w:lang w:val="sq-AL" w:bidi="en-US"/>
    </w:rPr>
  </w:style>
  <w:style w:type="paragraph" w:styleId="NormalWeb">
    <w:name w:val="Normal (Web)"/>
    <w:basedOn w:val="Normal"/>
    <w:uiPriority w:val="99"/>
    <w:unhideWhenUsed/>
    <w:rsid w:val="008D5EBC"/>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447475"/>
    <w:rPr>
      <w:rFonts w:ascii="Garamond" w:hAnsi="Garamond" w:hint="default"/>
      <w:b w:val="0"/>
      <w:bCs w:val="0"/>
      <w:i w:val="0"/>
      <w:iCs w:val="0"/>
      <w:color w:val="000000"/>
      <w:sz w:val="24"/>
      <w:szCs w:val="24"/>
    </w:rPr>
  </w:style>
  <w:style w:type="character" w:customStyle="1" w:styleId="fontstyle21">
    <w:name w:val="fontstyle21"/>
    <w:basedOn w:val="DefaultParagraphFont"/>
    <w:rsid w:val="002C7893"/>
    <w:rPr>
      <w:rFonts w:ascii="Carlito" w:hAnsi="Carlito" w:hint="default"/>
      <w:b w:val="0"/>
      <w:bCs w:val="0"/>
      <w:i w:val="0"/>
      <w:iCs w:val="0"/>
      <w:color w:val="000000"/>
      <w:sz w:val="22"/>
      <w:szCs w:val="22"/>
    </w:rPr>
  </w:style>
  <w:style w:type="character" w:customStyle="1" w:styleId="fontstyle31">
    <w:name w:val="fontstyle31"/>
    <w:basedOn w:val="DefaultParagraphFont"/>
    <w:rsid w:val="002C7893"/>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26788D"/>
    <w:pPr>
      <w:spacing w:after="160" w:line="240" w:lineRule="exact"/>
    </w:pPr>
    <w:rPr>
      <w:rFonts w:asciiTheme="minorHAnsi" w:eastAsiaTheme="minorHAnsi" w:hAnsiTheme="minorHAnsi" w:cstheme="minorBidi"/>
      <w:sz w:val="22"/>
      <w:szCs w:val="22"/>
      <w:vertAlign w:val="superscript"/>
      <w:lang w:val="en-US" w:bidi="ar-SA"/>
    </w:rPr>
  </w:style>
  <w:style w:type="character" w:styleId="Hyperlink">
    <w:name w:val="Hyperlink"/>
    <w:basedOn w:val="DefaultParagraphFont"/>
    <w:uiPriority w:val="99"/>
    <w:unhideWhenUsed/>
    <w:rsid w:val="003028B6"/>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AB0F39"/>
    <w:pPr>
      <w:spacing w:after="160" w:line="240" w:lineRule="exact"/>
    </w:pPr>
    <w:rPr>
      <w:rFonts w:ascii="Times New Roman" w:eastAsia="Calibri" w:hAnsi="Times New Roman"/>
      <w:sz w:val="20"/>
      <w:szCs w:val="20"/>
      <w:vertAlign w:val="superscript"/>
      <w:lang w:val="x-none" w:eastAsia="x-none" w:bidi="ar-SA"/>
    </w:rPr>
  </w:style>
  <w:style w:type="character" w:customStyle="1" w:styleId="Style1Char">
    <w:name w:val="Style1 Char"/>
    <w:basedOn w:val="DefaultParagraphFont"/>
    <w:link w:val="Style1"/>
    <w:locked/>
    <w:rsid w:val="00223DC1"/>
    <w:rPr>
      <w:b/>
      <w:bCs/>
      <w:kern w:val="32"/>
      <w:sz w:val="24"/>
      <w:szCs w:val="24"/>
    </w:rPr>
  </w:style>
  <w:style w:type="paragraph" w:customStyle="1" w:styleId="Style1">
    <w:name w:val="Style1"/>
    <w:basedOn w:val="Heading1"/>
    <w:link w:val="Style1Char"/>
    <w:qFormat/>
    <w:rsid w:val="00223DC1"/>
    <w:pPr>
      <w:keepLines w:val="0"/>
      <w:spacing w:before="0"/>
      <w:jc w:val="center"/>
    </w:pPr>
    <w:rPr>
      <w:rFonts w:asciiTheme="minorHAnsi" w:eastAsiaTheme="minorHAnsi" w:hAnsiTheme="minorHAnsi" w:cstheme="minorBidi"/>
      <w:b/>
      <w:bCs/>
      <w:color w:val="auto"/>
      <w:kern w:val="32"/>
      <w:sz w:val="24"/>
      <w:szCs w:val="24"/>
      <w:lang w:val="en-US" w:bidi="ar-SA"/>
    </w:rPr>
  </w:style>
  <w:style w:type="character" w:customStyle="1" w:styleId="Heading1Char">
    <w:name w:val="Heading 1 Char"/>
    <w:basedOn w:val="DefaultParagraphFont"/>
    <w:link w:val="Heading1"/>
    <w:uiPriority w:val="9"/>
    <w:rsid w:val="00223DC1"/>
    <w:rPr>
      <w:rFonts w:asciiTheme="majorHAnsi" w:eastAsiaTheme="majorEastAsia" w:hAnsiTheme="majorHAnsi" w:cstheme="majorBidi"/>
      <w:color w:val="2E74B5" w:themeColor="accent1" w:themeShade="BF"/>
      <w:sz w:val="32"/>
      <w:szCs w:val="32"/>
      <w:lang w:val="sq-AL" w:bidi="en-US"/>
    </w:rPr>
  </w:style>
  <w:style w:type="character" w:customStyle="1" w:styleId="Heading4Char">
    <w:name w:val="Heading 4 Char"/>
    <w:basedOn w:val="DefaultParagraphFont"/>
    <w:link w:val="Heading4"/>
    <w:uiPriority w:val="9"/>
    <w:semiHidden/>
    <w:rsid w:val="00437547"/>
    <w:rPr>
      <w:rFonts w:asciiTheme="majorHAnsi" w:eastAsiaTheme="majorEastAsia" w:hAnsiTheme="majorHAnsi" w:cstheme="majorBidi"/>
      <w:i/>
      <w:iCs/>
      <w:color w:val="2E74B5" w:themeColor="accent1" w:themeShade="BF"/>
      <w:sz w:val="24"/>
      <w:szCs w:val="24"/>
      <w:lang w:val="sq-AL" w:bidi="en-US"/>
    </w:rPr>
  </w:style>
  <w:style w:type="character" w:customStyle="1" w:styleId="Heading7Char">
    <w:name w:val="Heading 7 Char"/>
    <w:basedOn w:val="DefaultParagraphFont"/>
    <w:link w:val="Heading7"/>
    <w:uiPriority w:val="9"/>
    <w:semiHidden/>
    <w:rsid w:val="00437547"/>
    <w:rPr>
      <w:rFonts w:asciiTheme="majorHAnsi" w:eastAsiaTheme="majorEastAsia" w:hAnsiTheme="majorHAnsi" w:cstheme="majorBidi"/>
      <w:i/>
      <w:iCs/>
      <w:color w:val="1F4D78" w:themeColor="accent1" w:themeShade="7F"/>
      <w:sz w:val="24"/>
      <w:szCs w:val="24"/>
      <w:lang w:val="sq-AL" w:bidi="en-US"/>
    </w:rPr>
  </w:style>
  <w:style w:type="character" w:customStyle="1" w:styleId="fontstyle41">
    <w:name w:val="fontstyle41"/>
    <w:basedOn w:val="DefaultParagraphFont"/>
    <w:rsid w:val="00437547"/>
    <w:rPr>
      <w:rFonts w:ascii="Garamond" w:hAnsi="Garamond" w:hint="default"/>
      <w:b w:val="0"/>
      <w:bCs w:val="0"/>
      <w:i w:val="0"/>
      <w:iCs w:val="0"/>
      <w:color w:val="000000"/>
      <w:sz w:val="22"/>
      <w:szCs w:val="22"/>
    </w:rPr>
  </w:style>
  <w:style w:type="character" w:customStyle="1" w:styleId="footnotedescriptionChar">
    <w:name w:val="footnote description Char"/>
    <w:link w:val="footnotedescription"/>
    <w:locked/>
    <w:rsid w:val="00437547"/>
    <w:rPr>
      <w:rFonts w:ascii="Times New Roman" w:hAnsi="Times New Roman" w:cs="Times New Roman"/>
      <w:color w:val="000000"/>
      <w:lang w:eastAsia="sq-AL"/>
    </w:rPr>
  </w:style>
  <w:style w:type="paragraph" w:customStyle="1" w:styleId="footnotedescription">
    <w:name w:val="footnote description"/>
    <w:next w:val="Normal"/>
    <w:link w:val="footnotedescriptionChar"/>
    <w:rsid w:val="00437547"/>
    <w:pPr>
      <w:spacing w:after="0" w:line="254" w:lineRule="auto"/>
    </w:pPr>
    <w:rPr>
      <w:rFonts w:ascii="Times New Roman" w:hAnsi="Times New Roman" w:cs="Times New Roman"/>
      <w:color w:val="000000"/>
      <w:lang w:eastAsia="sq-AL"/>
    </w:rPr>
  </w:style>
  <w:style w:type="character" w:customStyle="1" w:styleId="footnotemark">
    <w:name w:val="footnote mark"/>
    <w:rsid w:val="00437547"/>
    <w:rPr>
      <w:rFonts w:ascii="Times New Roman" w:eastAsia="Times New Roman" w:hAnsi="Times New Roman" w:cs="Times New Roman" w:hint="default"/>
      <w:color w:val="000000"/>
      <w:sz w:val="20"/>
      <w:vertAlign w:val="superscript"/>
    </w:rPr>
  </w:style>
  <w:style w:type="character" w:styleId="Emphasis">
    <w:name w:val="Emphasis"/>
    <w:basedOn w:val="DefaultParagraphFont"/>
    <w:uiPriority w:val="20"/>
    <w:qFormat/>
    <w:rsid w:val="00437547"/>
    <w:rPr>
      <w:rFonts w:ascii="Calibri" w:hAnsi="Calibri" w:cs="Calibri" w:hint="default"/>
      <w:b/>
      <w:bCs w:val="0"/>
      <w:i/>
      <w:iCs/>
    </w:rPr>
  </w:style>
  <w:style w:type="paragraph" w:styleId="BodyTextIndent">
    <w:name w:val="Body Text Indent"/>
    <w:basedOn w:val="Normal"/>
    <w:link w:val="BodyTextIndentChar"/>
    <w:uiPriority w:val="99"/>
    <w:semiHidden/>
    <w:unhideWhenUsed/>
    <w:rsid w:val="00437547"/>
    <w:pPr>
      <w:spacing w:after="120"/>
      <w:ind w:left="360"/>
    </w:pPr>
  </w:style>
  <w:style w:type="character" w:customStyle="1" w:styleId="BodyTextIndentChar">
    <w:name w:val="Body Text Indent Char"/>
    <w:basedOn w:val="DefaultParagraphFont"/>
    <w:link w:val="BodyTextIndent"/>
    <w:uiPriority w:val="99"/>
    <w:semiHidden/>
    <w:rsid w:val="00437547"/>
    <w:rPr>
      <w:rFonts w:ascii="Calibri" w:eastAsia="Times New Roman" w:hAnsi="Calibri" w:cs="Times New Roman"/>
      <w:sz w:val="24"/>
      <w:szCs w:val="24"/>
      <w:lang w:val="sq-AL" w:bidi="en-US"/>
    </w:rPr>
  </w:style>
  <w:style w:type="paragraph" w:styleId="BodyText2">
    <w:name w:val="Body Text 2"/>
    <w:basedOn w:val="Normal"/>
    <w:link w:val="BodyText2Char"/>
    <w:uiPriority w:val="99"/>
    <w:semiHidden/>
    <w:unhideWhenUsed/>
    <w:rsid w:val="00437547"/>
    <w:pPr>
      <w:spacing w:after="120" w:line="480" w:lineRule="auto"/>
    </w:pPr>
  </w:style>
  <w:style w:type="character" w:customStyle="1" w:styleId="BodyText2Char">
    <w:name w:val="Body Text 2 Char"/>
    <w:basedOn w:val="DefaultParagraphFont"/>
    <w:link w:val="BodyText2"/>
    <w:uiPriority w:val="99"/>
    <w:semiHidden/>
    <w:rsid w:val="00437547"/>
    <w:rPr>
      <w:rFonts w:ascii="Calibri" w:eastAsia="Times New Roman" w:hAnsi="Calibri" w:cs="Times New Roman"/>
      <w:sz w:val="24"/>
      <w:szCs w:val="24"/>
      <w:lang w:val="sq-AL" w:bidi="en-US"/>
    </w:rPr>
  </w:style>
  <w:style w:type="character" w:customStyle="1" w:styleId="hps">
    <w:name w:val="hps"/>
    <w:rsid w:val="00437547"/>
  </w:style>
  <w:style w:type="character" w:styleId="Strong">
    <w:name w:val="Strong"/>
    <w:basedOn w:val="DefaultParagraphFont"/>
    <w:uiPriority w:val="22"/>
    <w:qFormat/>
    <w:rsid w:val="00437547"/>
    <w:rPr>
      <w:b/>
      <w:bCs/>
    </w:rPr>
  </w:style>
  <w:style w:type="character" w:customStyle="1" w:styleId="Heading3Char">
    <w:name w:val="Heading 3 Char"/>
    <w:basedOn w:val="DefaultParagraphFont"/>
    <w:link w:val="Heading3"/>
    <w:uiPriority w:val="9"/>
    <w:semiHidden/>
    <w:rsid w:val="00895821"/>
    <w:rPr>
      <w:rFonts w:asciiTheme="majorHAnsi" w:eastAsiaTheme="majorEastAsia" w:hAnsiTheme="majorHAnsi" w:cstheme="majorBidi"/>
      <w:color w:val="1F4D78" w:themeColor="accent1" w:themeShade="7F"/>
      <w:sz w:val="24"/>
      <w:szCs w:val="24"/>
      <w:lang w:val="sq-A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7418">
      <w:bodyDiv w:val="1"/>
      <w:marLeft w:val="0"/>
      <w:marRight w:val="0"/>
      <w:marTop w:val="0"/>
      <w:marBottom w:val="0"/>
      <w:divBdr>
        <w:top w:val="none" w:sz="0" w:space="0" w:color="auto"/>
        <w:left w:val="none" w:sz="0" w:space="0" w:color="auto"/>
        <w:bottom w:val="none" w:sz="0" w:space="0" w:color="auto"/>
        <w:right w:val="none" w:sz="0" w:space="0" w:color="auto"/>
      </w:divBdr>
    </w:div>
    <w:div w:id="476185967">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54420646">
      <w:bodyDiv w:val="1"/>
      <w:marLeft w:val="0"/>
      <w:marRight w:val="0"/>
      <w:marTop w:val="0"/>
      <w:marBottom w:val="0"/>
      <w:divBdr>
        <w:top w:val="none" w:sz="0" w:space="0" w:color="auto"/>
        <w:left w:val="none" w:sz="0" w:space="0" w:color="auto"/>
        <w:bottom w:val="none" w:sz="0" w:space="0" w:color="auto"/>
        <w:right w:val="none" w:sz="0" w:space="0" w:color="auto"/>
      </w:divBdr>
    </w:div>
    <w:div w:id="1108311188">
      <w:bodyDiv w:val="1"/>
      <w:marLeft w:val="0"/>
      <w:marRight w:val="0"/>
      <w:marTop w:val="0"/>
      <w:marBottom w:val="0"/>
      <w:divBdr>
        <w:top w:val="none" w:sz="0" w:space="0" w:color="auto"/>
        <w:left w:val="none" w:sz="0" w:space="0" w:color="auto"/>
        <w:bottom w:val="none" w:sz="0" w:space="0" w:color="auto"/>
        <w:right w:val="none" w:sz="0" w:space="0" w:color="auto"/>
      </w:divBdr>
    </w:div>
    <w:div w:id="1508473502">
      <w:bodyDiv w:val="1"/>
      <w:marLeft w:val="0"/>
      <w:marRight w:val="0"/>
      <w:marTop w:val="0"/>
      <w:marBottom w:val="0"/>
      <w:divBdr>
        <w:top w:val="none" w:sz="0" w:space="0" w:color="auto"/>
        <w:left w:val="none" w:sz="0" w:space="0" w:color="auto"/>
        <w:bottom w:val="none" w:sz="0" w:space="0" w:color="auto"/>
        <w:right w:val="none" w:sz="0" w:space="0" w:color="auto"/>
      </w:divBdr>
    </w:div>
    <w:div w:id="1573587384">
      <w:bodyDiv w:val="1"/>
      <w:marLeft w:val="0"/>
      <w:marRight w:val="0"/>
      <w:marTop w:val="0"/>
      <w:marBottom w:val="0"/>
      <w:divBdr>
        <w:top w:val="none" w:sz="0" w:space="0" w:color="auto"/>
        <w:left w:val="none" w:sz="0" w:space="0" w:color="auto"/>
        <w:bottom w:val="none" w:sz="0" w:space="0" w:color="auto"/>
        <w:right w:val="none" w:sz="0" w:space="0" w:color="auto"/>
      </w:divBdr>
    </w:div>
    <w:div w:id="1719621089">
      <w:bodyDiv w:val="1"/>
      <w:marLeft w:val="0"/>
      <w:marRight w:val="0"/>
      <w:marTop w:val="0"/>
      <w:marBottom w:val="0"/>
      <w:divBdr>
        <w:top w:val="none" w:sz="0" w:space="0" w:color="auto"/>
        <w:left w:val="none" w:sz="0" w:space="0" w:color="auto"/>
        <w:bottom w:val="none" w:sz="0" w:space="0" w:color="auto"/>
        <w:right w:val="none" w:sz="0" w:space="0" w:color="auto"/>
      </w:divBdr>
    </w:div>
    <w:div w:id="1916282524">
      <w:bodyDiv w:val="1"/>
      <w:marLeft w:val="0"/>
      <w:marRight w:val="0"/>
      <w:marTop w:val="0"/>
      <w:marBottom w:val="0"/>
      <w:divBdr>
        <w:top w:val="none" w:sz="0" w:space="0" w:color="auto"/>
        <w:left w:val="none" w:sz="0" w:space="0" w:color="auto"/>
        <w:bottom w:val="none" w:sz="0" w:space="0" w:color="auto"/>
        <w:right w:val="none" w:sz="0" w:space="0" w:color="auto"/>
      </w:divBdr>
    </w:div>
    <w:div w:id="1967661200">
      <w:bodyDiv w:val="1"/>
      <w:marLeft w:val="0"/>
      <w:marRight w:val="0"/>
      <w:marTop w:val="0"/>
      <w:marBottom w:val="0"/>
      <w:divBdr>
        <w:top w:val="none" w:sz="0" w:space="0" w:color="auto"/>
        <w:left w:val="none" w:sz="0" w:space="0" w:color="auto"/>
        <w:bottom w:val="none" w:sz="0" w:space="0" w:color="auto"/>
        <w:right w:val="none" w:sz="0" w:space="0" w:color="auto"/>
      </w:divBdr>
      <w:divsChild>
        <w:div w:id="1150755097">
          <w:marLeft w:val="0"/>
          <w:marRight w:val="0"/>
          <w:marTop w:val="15"/>
          <w:marBottom w:val="0"/>
          <w:divBdr>
            <w:top w:val="none" w:sz="0" w:space="0" w:color="auto"/>
            <w:left w:val="none" w:sz="0" w:space="0" w:color="auto"/>
            <w:bottom w:val="none" w:sz="0" w:space="0" w:color="auto"/>
            <w:right w:val="none" w:sz="0" w:space="0" w:color="auto"/>
          </w:divBdr>
          <w:divsChild>
            <w:div w:id="8063535">
              <w:marLeft w:val="0"/>
              <w:marRight w:val="0"/>
              <w:marTop w:val="0"/>
              <w:marBottom w:val="0"/>
              <w:divBdr>
                <w:top w:val="single" w:sz="6" w:space="0" w:color="808080"/>
                <w:left w:val="single" w:sz="6" w:space="0" w:color="808080"/>
                <w:bottom w:val="single" w:sz="6" w:space="0" w:color="808080"/>
                <w:right w:val="single" w:sz="6" w:space="0" w:color="808080"/>
              </w:divBdr>
              <w:divsChild>
                <w:div w:id="835921796">
                  <w:marLeft w:val="0"/>
                  <w:marRight w:val="0"/>
                  <w:marTop w:val="0"/>
                  <w:marBottom w:val="0"/>
                  <w:divBdr>
                    <w:top w:val="none" w:sz="0" w:space="0" w:color="auto"/>
                    <w:left w:val="none" w:sz="0" w:space="0" w:color="auto"/>
                    <w:bottom w:val="none" w:sz="0" w:space="0" w:color="auto"/>
                    <w:right w:val="none" w:sz="0" w:space="0" w:color="auto"/>
                  </w:divBdr>
                </w:div>
                <w:div w:id="90780241">
                  <w:marLeft w:val="0"/>
                  <w:marRight w:val="0"/>
                  <w:marTop w:val="0"/>
                  <w:marBottom w:val="0"/>
                  <w:divBdr>
                    <w:top w:val="none" w:sz="0" w:space="0" w:color="auto"/>
                    <w:left w:val="none" w:sz="0" w:space="0" w:color="auto"/>
                    <w:bottom w:val="none" w:sz="0" w:space="0" w:color="auto"/>
                    <w:right w:val="none" w:sz="0" w:space="0" w:color="auto"/>
                  </w:divBdr>
                </w:div>
                <w:div w:id="1815297878">
                  <w:marLeft w:val="0"/>
                  <w:marRight w:val="0"/>
                  <w:marTop w:val="0"/>
                  <w:marBottom w:val="0"/>
                  <w:divBdr>
                    <w:top w:val="none" w:sz="0" w:space="0" w:color="auto"/>
                    <w:left w:val="none" w:sz="0" w:space="0" w:color="auto"/>
                    <w:bottom w:val="none" w:sz="0" w:space="0" w:color="auto"/>
                    <w:right w:val="none" w:sz="0" w:space="0" w:color="auto"/>
                  </w:divBdr>
                </w:div>
                <w:div w:id="1755084128">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88">
          <w:marLeft w:val="0"/>
          <w:marRight w:val="0"/>
          <w:marTop w:val="15"/>
          <w:marBottom w:val="0"/>
          <w:divBdr>
            <w:top w:val="none" w:sz="0" w:space="0" w:color="auto"/>
            <w:left w:val="none" w:sz="0" w:space="0" w:color="auto"/>
            <w:bottom w:val="none" w:sz="0" w:space="0" w:color="auto"/>
            <w:right w:val="none" w:sz="0" w:space="0" w:color="auto"/>
          </w:divBdr>
          <w:divsChild>
            <w:div w:id="1798987465">
              <w:marLeft w:val="0"/>
              <w:marRight w:val="0"/>
              <w:marTop w:val="0"/>
              <w:marBottom w:val="0"/>
              <w:divBdr>
                <w:top w:val="single" w:sz="6" w:space="0" w:color="808080"/>
                <w:left w:val="single" w:sz="6" w:space="0" w:color="808080"/>
                <w:bottom w:val="single" w:sz="6" w:space="0" w:color="808080"/>
                <w:right w:val="single" w:sz="6" w:space="0" w:color="808080"/>
              </w:divBdr>
              <w:divsChild>
                <w:div w:id="1523202761">
                  <w:marLeft w:val="0"/>
                  <w:marRight w:val="0"/>
                  <w:marTop w:val="0"/>
                  <w:marBottom w:val="0"/>
                  <w:divBdr>
                    <w:top w:val="none" w:sz="0" w:space="0" w:color="auto"/>
                    <w:left w:val="none" w:sz="0" w:space="0" w:color="auto"/>
                    <w:bottom w:val="none" w:sz="0" w:space="0" w:color="auto"/>
                    <w:right w:val="none" w:sz="0" w:space="0" w:color="auto"/>
                  </w:divBdr>
                </w:div>
                <w:div w:id="1366827982">
                  <w:marLeft w:val="0"/>
                  <w:marRight w:val="0"/>
                  <w:marTop w:val="0"/>
                  <w:marBottom w:val="0"/>
                  <w:divBdr>
                    <w:top w:val="none" w:sz="0" w:space="0" w:color="auto"/>
                    <w:left w:val="none" w:sz="0" w:space="0" w:color="auto"/>
                    <w:bottom w:val="none" w:sz="0" w:space="0" w:color="auto"/>
                    <w:right w:val="none" w:sz="0" w:space="0" w:color="auto"/>
                  </w:divBdr>
                </w:div>
                <w:div w:id="476151044">
                  <w:marLeft w:val="0"/>
                  <w:marRight w:val="0"/>
                  <w:marTop w:val="0"/>
                  <w:marBottom w:val="0"/>
                  <w:divBdr>
                    <w:top w:val="none" w:sz="0" w:space="0" w:color="auto"/>
                    <w:left w:val="none" w:sz="0" w:space="0" w:color="auto"/>
                    <w:bottom w:val="none" w:sz="0" w:space="0" w:color="auto"/>
                    <w:right w:val="none" w:sz="0" w:space="0" w:color="auto"/>
                  </w:divBdr>
                </w:div>
                <w:div w:id="785196013">
                  <w:marLeft w:val="0"/>
                  <w:marRight w:val="0"/>
                  <w:marTop w:val="0"/>
                  <w:marBottom w:val="0"/>
                  <w:divBdr>
                    <w:top w:val="none" w:sz="0" w:space="0" w:color="auto"/>
                    <w:left w:val="none" w:sz="0" w:space="0" w:color="auto"/>
                    <w:bottom w:val="none" w:sz="0" w:space="0" w:color="auto"/>
                    <w:right w:val="none" w:sz="0" w:space="0" w:color="auto"/>
                  </w:divBdr>
                </w:div>
                <w:div w:id="1344473999">
                  <w:marLeft w:val="0"/>
                  <w:marRight w:val="0"/>
                  <w:marTop w:val="0"/>
                  <w:marBottom w:val="0"/>
                  <w:divBdr>
                    <w:top w:val="none" w:sz="0" w:space="0" w:color="auto"/>
                    <w:left w:val="none" w:sz="0" w:space="0" w:color="auto"/>
                    <w:bottom w:val="none" w:sz="0" w:space="0" w:color="auto"/>
                    <w:right w:val="none" w:sz="0" w:space="0" w:color="auto"/>
                  </w:divBdr>
                </w:div>
                <w:div w:id="149834170">
                  <w:marLeft w:val="0"/>
                  <w:marRight w:val="0"/>
                  <w:marTop w:val="0"/>
                  <w:marBottom w:val="0"/>
                  <w:divBdr>
                    <w:top w:val="none" w:sz="0" w:space="0" w:color="auto"/>
                    <w:left w:val="none" w:sz="0" w:space="0" w:color="auto"/>
                    <w:bottom w:val="none" w:sz="0" w:space="0" w:color="auto"/>
                    <w:right w:val="none" w:sz="0" w:space="0" w:color="auto"/>
                  </w:divBdr>
                </w:div>
                <w:div w:id="2097048514">
                  <w:marLeft w:val="0"/>
                  <w:marRight w:val="0"/>
                  <w:marTop w:val="0"/>
                  <w:marBottom w:val="0"/>
                  <w:divBdr>
                    <w:top w:val="none" w:sz="0" w:space="0" w:color="auto"/>
                    <w:left w:val="none" w:sz="0" w:space="0" w:color="auto"/>
                    <w:bottom w:val="none" w:sz="0" w:space="0" w:color="auto"/>
                    <w:right w:val="none" w:sz="0" w:space="0" w:color="auto"/>
                  </w:divBdr>
                </w:div>
                <w:div w:id="193201027">
                  <w:marLeft w:val="0"/>
                  <w:marRight w:val="0"/>
                  <w:marTop w:val="0"/>
                  <w:marBottom w:val="0"/>
                  <w:divBdr>
                    <w:top w:val="none" w:sz="0" w:space="0" w:color="auto"/>
                    <w:left w:val="none" w:sz="0" w:space="0" w:color="auto"/>
                    <w:bottom w:val="none" w:sz="0" w:space="0" w:color="auto"/>
                    <w:right w:val="none" w:sz="0" w:space="0" w:color="auto"/>
                  </w:divBdr>
                </w:div>
                <w:div w:id="1331374442">
                  <w:marLeft w:val="0"/>
                  <w:marRight w:val="0"/>
                  <w:marTop w:val="0"/>
                  <w:marBottom w:val="0"/>
                  <w:divBdr>
                    <w:top w:val="none" w:sz="0" w:space="0" w:color="auto"/>
                    <w:left w:val="none" w:sz="0" w:space="0" w:color="auto"/>
                    <w:bottom w:val="none" w:sz="0" w:space="0" w:color="auto"/>
                    <w:right w:val="none" w:sz="0" w:space="0" w:color="auto"/>
                  </w:divBdr>
                </w:div>
                <w:div w:id="1249076966">
                  <w:marLeft w:val="0"/>
                  <w:marRight w:val="0"/>
                  <w:marTop w:val="0"/>
                  <w:marBottom w:val="0"/>
                  <w:divBdr>
                    <w:top w:val="none" w:sz="0" w:space="0" w:color="auto"/>
                    <w:left w:val="none" w:sz="0" w:space="0" w:color="auto"/>
                    <w:bottom w:val="none" w:sz="0" w:space="0" w:color="auto"/>
                    <w:right w:val="none" w:sz="0" w:space="0" w:color="auto"/>
                  </w:divBdr>
                </w:div>
                <w:div w:id="552277824">
                  <w:marLeft w:val="0"/>
                  <w:marRight w:val="0"/>
                  <w:marTop w:val="0"/>
                  <w:marBottom w:val="0"/>
                  <w:divBdr>
                    <w:top w:val="none" w:sz="0" w:space="0" w:color="auto"/>
                    <w:left w:val="none" w:sz="0" w:space="0" w:color="auto"/>
                    <w:bottom w:val="none" w:sz="0" w:space="0" w:color="auto"/>
                    <w:right w:val="none" w:sz="0" w:space="0" w:color="auto"/>
                  </w:divBdr>
                </w:div>
                <w:div w:id="1888762583">
                  <w:marLeft w:val="0"/>
                  <w:marRight w:val="0"/>
                  <w:marTop w:val="0"/>
                  <w:marBottom w:val="0"/>
                  <w:divBdr>
                    <w:top w:val="none" w:sz="0" w:space="0" w:color="auto"/>
                    <w:left w:val="none" w:sz="0" w:space="0" w:color="auto"/>
                    <w:bottom w:val="none" w:sz="0" w:space="0" w:color="auto"/>
                    <w:right w:val="none" w:sz="0" w:space="0" w:color="auto"/>
                  </w:divBdr>
                </w:div>
                <w:div w:id="1704164493">
                  <w:marLeft w:val="0"/>
                  <w:marRight w:val="0"/>
                  <w:marTop w:val="0"/>
                  <w:marBottom w:val="0"/>
                  <w:divBdr>
                    <w:top w:val="none" w:sz="0" w:space="0" w:color="auto"/>
                    <w:left w:val="none" w:sz="0" w:space="0" w:color="auto"/>
                    <w:bottom w:val="none" w:sz="0" w:space="0" w:color="auto"/>
                    <w:right w:val="none" w:sz="0" w:space="0" w:color="auto"/>
                  </w:divBdr>
                </w:div>
                <w:div w:id="17481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4DC4C-7078-477A-A759-69ADF628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8849</Words>
  <Characters>50444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Erjona Sinojmeri</cp:lastModifiedBy>
  <cp:revision>2</cp:revision>
  <cp:lastPrinted>2026-03-19T10:25:00Z</cp:lastPrinted>
  <dcterms:created xsi:type="dcterms:W3CDTF">2026-04-28T08:31:00Z</dcterms:created>
  <dcterms:modified xsi:type="dcterms:W3CDTF">2026-04-28T08:31:00Z</dcterms:modified>
</cp:coreProperties>
</file>