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2476" w:rsidRPr="00ED5552" w:rsidRDefault="00BD2476" w:rsidP="00076E72">
      <w:pPr>
        <w:jc w:val="center"/>
        <w:rPr>
          <w:i/>
          <w:sz w:val="24"/>
          <w:szCs w:val="24"/>
          <w:lang w:val="sq-AL"/>
        </w:rPr>
      </w:pPr>
      <w:r w:rsidRPr="00ED5552">
        <w:rPr>
          <w:sz w:val="24"/>
          <w:szCs w:val="24"/>
          <w:lang w:val="sq-AL"/>
        </w:rPr>
        <w:object w:dxaOrig="6674" w:dyaOrig="100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95pt;height:42.1pt" o:ole="">
            <v:imagedata r:id="rId8" o:title=""/>
          </v:shape>
          <o:OLEObject Type="Embed" ProgID="MSPhotoEd.3" ShapeID="_x0000_i1025" DrawAspect="Content" ObjectID="_1839664992" r:id="rId9"/>
        </w:object>
      </w:r>
    </w:p>
    <w:p w:rsidR="00BD2476" w:rsidRPr="00ED5552" w:rsidRDefault="00BD2476" w:rsidP="00076E72">
      <w:pPr>
        <w:jc w:val="center"/>
        <w:rPr>
          <w:b/>
          <w:bCs/>
          <w:iCs/>
          <w:sz w:val="24"/>
          <w:szCs w:val="24"/>
          <w:lang w:val="sq-AL"/>
        </w:rPr>
      </w:pPr>
      <w:r w:rsidRPr="00ED5552">
        <w:rPr>
          <w:b/>
          <w:bCs/>
          <w:iCs/>
          <w:sz w:val="24"/>
          <w:szCs w:val="24"/>
          <w:lang w:val="sq-AL"/>
        </w:rPr>
        <w:t>REPUBLIKA E SHQIPËRISË</w:t>
      </w:r>
    </w:p>
    <w:p w:rsidR="00BD2476" w:rsidRPr="00ED5552" w:rsidRDefault="00BD2476" w:rsidP="00076E72">
      <w:pPr>
        <w:jc w:val="center"/>
        <w:rPr>
          <w:b/>
          <w:bCs/>
          <w:iCs/>
          <w:sz w:val="24"/>
          <w:szCs w:val="24"/>
          <w:lang w:val="sq-AL"/>
        </w:rPr>
      </w:pPr>
      <w:r w:rsidRPr="00ED5552">
        <w:rPr>
          <w:b/>
          <w:bCs/>
          <w:iCs/>
          <w:sz w:val="24"/>
          <w:szCs w:val="24"/>
          <w:lang w:val="sq-AL"/>
        </w:rPr>
        <w:t>GJYKATA E LARTË</w:t>
      </w:r>
    </w:p>
    <w:p w:rsidR="002E7390" w:rsidRPr="00ED5552" w:rsidRDefault="00BD2476" w:rsidP="00076E72">
      <w:pPr>
        <w:pStyle w:val="Heading2"/>
        <w:spacing w:before="0"/>
        <w:jc w:val="center"/>
        <w:rPr>
          <w:rFonts w:ascii="Times New Roman" w:hAnsi="Times New Roman" w:cs="Times New Roman"/>
          <w:bCs w:val="0"/>
          <w:iCs/>
          <w:color w:val="auto"/>
          <w:sz w:val="24"/>
          <w:szCs w:val="24"/>
          <w:lang w:val="sq-AL"/>
        </w:rPr>
      </w:pPr>
      <w:r w:rsidRPr="00ED5552">
        <w:rPr>
          <w:rFonts w:ascii="Times New Roman" w:hAnsi="Times New Roman" w:cs="Times New Roman"/>
          <w:bCs w:val="0"/>
          <w:iCs/>
          <w:color w:val="auto"/>
          <w:sz w:val="24"/>
          <w:szCs w:val="24"/>
          <w:lang w:val="sq-AL"/>
        </w:rPr>
        <w:t xml:space="preserve">KOLEGJI </w:t>
      </w:r>
      <w:r w:rsidR="00763663" w:rsidRPr="00ED5552">
        <w:rPr>
          <w:rFonts w:ascii="Times New Roman" w:hAnsi="Times New Roman" w:cs="Times New Roman"/>
          <w:bCs w:val="0"/>
          <w:iCs/>
          <w:color w:val="auto"/>
          <w:sz w:val="24"/>
          <w:szCs w:val="24"/>
          <w:lang w:val="sq-AL"/>
        </w:rPr>
        <w:t>PENAL</w:t>
      </w:r>
    </w:p>
    <w:p w:rsidR="00FC48F7" w:rsidRPr="00ED5552" w:rsidRDefault="00FC48F7" w:rsidP="00076E72">
      <w:pPr>
        <w:jc w:val="both"/>
        <w:rPr>
          <w:sz w:val="24"/>
          <w:szCs w:val="24"/>
          <w:lang w:val="sq-AL"/>
        </w:rPr>
      </w:pPr>
    </w:p>
    <w:p w:rsidR="002E7390" w:rsidRPr="00ED5552" w:rsidRDefault="002E7390" w:rsidP="00076E72">
      <w:pPr>
        <w:jc w:val="both"/>
        <w:rPr>
          <w:rFonts w:eastAsia="Calibri"/>
          <w:b/>
          <w:sz w:val="24"/>
          <w:szCs w:val="24"/>
          <w:lang w:val="sq-AL"/>
        </w:rPr>
      </w:pPr>
      <w:r w:rsidRPr="00ED5552">
        <w:rPr>
          <w:rFonts w:eastAsia="Calibri"/>
          <w:b/>
          <w:bCs/>
          <w:sz w:val="24"/>
          <w:szCs w:val="24"/>
          <w:lang w:val="sq-AL"/>
        </w:rPr>
        <w:t>Nr.</w:t>
      </w:r>
      <w:r w:rsidRPr="00ED5552">
        <w:rPr>
          <w:rFonts w:eastAsia="Calibri"/>
          <w:bCs/>
          <w:sz w:val="24"/>
          <w:szCs w:val="24"/>
          <w:lang w:val="sq-AL"/>
        </w:rPr>
        <w:t xml:space="preserve"> </w:t>
      </w:r>
      <w:r w:rsidR="00076E72" w:rsidRPr="00ED5552">
        <w:rPr>
          <w:rFonts w:eastAsia="Calibri"/>
          <w:b/>
          <w:bCs/>
          <w:sz w:val="24"/>
          <w:szCs w:val="24"/>
          <w:lang w:val="sq-AL"/>
        </w:rPr>
        <w:t>51091-00031-00-2026</w:t>
      </w:r>
      <w:r w:rsidR="003732B5" w:rsidRPr="00ED5552">
        <w:rPr>
          <w:rFonts w:eastAsia="Calibri"/>
          <w:b/>
          <w:bCs/>
          <w:sz w:val="24"/>
          <w:szCs w:val="24"/>
          <w:lang w:val="sq-AL"/>
        </w:rPr>
        <w:t xml:space="preserve"> </w:t>
      </w:r>
      <w:r w:rsidRPr="00ED5552">
        <w:rPr>
          <w:rFonts w:eastAsia="Calibri"/>
          <w:b/>
          <w:bCs/>
          <w:sz w:val="24"/>
          <w:szCs w:val="24"/>
          <w:lang w:val="sq-AL"/>
        </w:rPr>
        <w:t>i Regj. Themeltar</w:t>
      </w:r>
      <w:r w:rsidRPr="00ED5552">
        <w:rPr>
          <w:b/>
          <w:sz w:val="24"/>
          <w:szCs w:val="24"/>
          <w:lang w:val="sq-AL"/>
        </w:rPr>
        <w:t xml:space="preserve"> </w:t>
      </w:r>
    </w:p>
    <w:p w:rsidR="002E7390" w:rsidRPr="00ED5552" w:rsidRDefault="002E7390" w:rsidP="00076E72">
      <w:pPr>
        <w:jc w:val="both"/>
        <w:rPr>
          <w:rFonts w:eastAsia="Calibri"/>
          <w:b/>
          <w:bCs/>
          <w:sz w:val="24"/>
          <w:szCs w:val="24"/>
          <w:lang w:val="sq-AL"/>
        </w:rPr>
      </w:pPr>
      <w:r w:rsidRPr="00ED5552">
        <w:rPr>
          <w:rFonts w:eastAsia="Calibri"/>
          <w:b/>
          <w:bCs/>
          <w:sz w:val="24"/>
          <w:szCs w:val="24"/>
          <w:lang w:val="sq-AL"/>
        </w:rPr>
        <w:t>Nr. 00-202</w:t>
      </w:r>
      <w:r w:rsidR="005D7B26" w:rsidRPr="00ED5552">
        <w:rPr>
          <w:rFonts w:eastAsia="Calibri"/>
          <w:b/>
          <w:bCs/>
          <w:sz w:val="24"/>
          <w:szCs w:val="24"/>
          <w:lang w:val="sq-AL"/>
        </w:rPr>
        <w:t>6</w:t>
      </w:r>
      <w:r w:rsidRPr="00ED5552">
        <w:rPr>
          <w:rFonts w:eastAsia="Calibri"/>
          <w:b/>
          <w:bCs/>
          <w:sz w:val="24"/>
          <w:szCs w:val="24"/>
          <w:lang w:val="sq-AL"/>
        </w:rPr>
        <w:t>-</w:t>
      </w:r>
      <w:r w:rsidR="00830AA7" w:rsidRPr="00ED5552">
        <w:rPr>
          <w:rFonts w:eastAsia="Calibri"/>
          <w:b/>
          <w:bCs/>
          <w:sz w:val="24"/>
          <w:szCs w:val="24"/>
          <w:lang w:val="sq-AL"/>
        </w:rPr>
        <w:t xml:space="preserve"> </w:t>
      </w:r>
      <w:r w:rsidR="00CC52EE" w:rsidRPr="00ED5552">
        <w:rPr>
          <w:rFonts w:eastAsia="Calibri"/>
          <w:b/>
          <w:bCs/>
          <w:sz w:val="24"/>
          <w:szCs w:val="24"/>
          <w:lang w:val="sq-AL"/>
        </w:rPr>
        <w:t>1</w:t>
      </w:r>
      <w:r w:rsidR="00076E72" w:rsidRPr="00ED5552">
        <w:rPr>
          <w:rFonts w:eastAsia="Calibri"/>
          <w:b/>
          <w:bCs/>
          <w:sz w:val="24"/>
          <w:szCs w:val="24"/>
          <w:lang w:val="sq-AL"/>
        </w:rPr>
        <w:t>76</w:t>
      </w:r>
      <w:r w:rsidR="000B1BB4" w:rsidRPr="00ED5552">
        <w:rPr>
          <w:rFonts w:eastAsia="Calibri"/>
          <w:b/>
          <w:bCs/>
          <w:sz w:val="24"/>
          <w:szCs w:val="24"/>
          <w:lang w:val="sq-AL"/>
        </w:rPr>
        <w:t xml:space="preserve"> </w:t>
      </w:r>
      <w:r w:rsidR="00CC52EE" w:rsidRPr="00ED5552">
        <w:rPr>
          <w:rFonts w:eastAsia="Calibri"/>
          <w:b/>
          <w:bCs/>
          <w:sz w:val="24"/>
          <w:szCs w:val="24"/>
          <w:lang w:val="sq-AL"/>
        </w:rPr>
        <w:t xml:space="preserve"> </w:t>
      </w:r>
      <w:r w:rsidRPr="00ED5552">
        <w:rPr>
          <w:rFonts w:eastAsia="Calibri"/>
          <w:b/>
          <w:bCs/>
          <w:sz w:val="24"/>
          <w:szCs w:val="24"/>
          <w:lang w:val="sq-AL"/>
        </w:rPr>
        <w:t>i Vendimit</w:t>
      </w:r>
      <w:r w:rsidR="00830AA7" w:rsidRPr="00ED5552">
        <w:rPr>
          <w:rFonts w:eastAsia="Calibri"/>
          <w:b/>
          <w:bCs/>
          <w:sz w:val="24"/>
          <w:szCs w:val="24"/>
          <w:lang w:val="sq-AL"/>
        </w:rPr>
        <w:t xml:space="preserve"> </w:t>
      </w:r>
      <w:r w:rsidR="00076E72" w:rsidRPr="00ED5552">
        <w:rPr>
          <w:rFonts w:eastAsia="Calibri"/>
          <w:b/>
          <w:bCs/>
          <w:sz w:val="24"/>
          <w:szCs w:val="24"/>
          <w:lang w:val="sq-AL"/>
        </w:rPr>
        <w:t>(31)</w:t>
      </w:r>
    </w:p>
    <w:p w:rsidR="00AB2330" w:rsidRPr="00ED5552" w:rsidRDefault="00AB2330" w:rsidP="00076E72">
      <w:pPr>
        <w:ind w:left="360"/>
        <w:jc w:val="both"/>
        <w:rPr>
          <w:b/>
          <w:bCs/>
          <w:sz w:val="24"/>
          <w:szCs w:val="24"/>
          <w:lang w:val="sq-AL"/>
        </w:rPr>
      </w:pPr>
    </w:p>
    <w:p w:rsidR="009C3EBF" w:rsidRPr="00ED5552" w:rsidRDefault="002E7390" w:rsidP="00076E72">
      <w:pPr>
        <w:ind w:left="360"/>
        <w:jc w:val="center"/>
        <w:rPr>
          <w:b/>
          <w:bCs/>
          <w:sz w:val="24"/>
          <w:szCs w:val="24"/>
          <w:lang w:val="sq-AL"/>
        </w:rPr>
      </w:pPr>
      <w:r w:rsidRPr="00ED5552">
        <w:rPr>
          <w:b/>
          <w:bCs/>
          <w:sz w:val="24"/>
          <w:szCs w:val="24"/>
          <w:lang w:val="sq-AL"/>
        </w:rPr>
        <w:t>VENDIM</w:t>
      </w:r>
    </w:p>
    <w:p w:rsidR="009C3EBF" w:rsidRPr="00ED5552" w:rsidRDefault="009C3EBF" w:rsidP="00076E72">
      <w:pPr>
        <w:ind w:left="360"/>
        <w:jc w:val="center"/>
        <w:rPr>
          <w:b/>
          <w:bCs/>
          <w:sz w:val="24"/>
          <w:szCs w:val="24"/>
          <w:lang w:val="sq-AL"/>
        </w:rPr>
      </w:pPr>
    </w:p>
    <w:p w:rsidR="009C3EBF" w:rsidRPr="00ED5552" w:rsidRDefault="009C3EBF" w:rsidP="00076E72">
      <w:pPr>
        <w:ind w:left="360"/>
        <w:jc w:val="center"/>
        <w:rPr>
          <w:b/>
          <w:bCs/>
          <w:sz w:val="24"/>
          <w:szCs w:val="24"/>
          <w:lang w:val="sq-AL"/>
        </w:rPr>
      </w:pPr>
      <w:r w:rsidRPr="00ED5552">
        <w:rPr>
          <w:b/>
          <w:bCs/>
          <w:sz w:val="24"/>
          <w:szCs w:val="24"/>
          <w:lang w:val="sq-AL"/>
        </w:rPr>
        <w:t>N</w:t>
      </w:r>
      <w:r w:rsidR="00A60F5C" w:rsidRPr="00ED5552">
        <w:rPr>
          <w:b/>
          <w:bCs/>
          <w:sz w:val="24"/>
          <w:szCs w:val="24"/>
          <w:lang w:val="sq-AL"/>
        </w:rPr>
        <w:t>Ë</w:t>
      </w:r>
      <w:r w:rsidRPr="00ED5552">
        <w:rPr>
          <w:b/>
          <w:bCs/>
          <w:sz w:val="24"/>
          <w:szCs w:val="24"/>
          <w:lang w:val="sq-AL"/>
        </w:rPr>
        <w:t xml:space="preserve"> EM</w:t>
      </w:r>
      <w:r w:rsidR="00A60F5C" w:rsidRPr="00ED5552">
        <w:rPr>
          <w:b/>
          <w:bCs/>
          <w:sz w:val="24"/>
          <w:szCs w:val="24"/>
          <w:lang w:val="sq-AL"/>
        </w:rPr>
        <w:t>Ë</w:t>
      </w:r>
      <w:r w:rsidRPr="00ED5552">
        <w:rPr>
          <w:b/>
          <w:bCs/>
          <w:sz w:val="24"/>
          <w:szCs w:val="24"/>
          <w:lang w:val="sq-AL"/>
        </w:rPr>
        <w:t>R T</w:t>
      </w:r>
      <w:r w:rsidR="00A60F5C" w:rsidRPr="00ED5552">
        <w:rPr>
          <w:b/>
          <w:bCs/>
          <w:sz w:val="24"/>
          <w:szCs w:val="24"/>
          <w:lang w:val="sq-AL"/>
        </w:rPr>
        <w:t>Ë</w:t>
      </w:r>
      <w:r w:rsidRPr="00ED5552">
        <w:rPr>
          <w:b/>
          <w:bCs/>
          <w:sz w:val="24"/>
          <w:szCs w:val="24"/>
          <w:lang w:val="sq-AL"/>
        </w:rPr>
        <w:t xml:space="preserve"> REPUBLIK</w:t>
      </w:r>
      <w:r w:rsidR="00A60F5C" w:rsidRPr="00ED5552">
        <w:rPr>
          <w:b/>
          <w:bCs/>
          <w:sz w:val="24"/>
          <w:szCs w:val="24"/>
          <w:lang w:val="sq-AL"/>
        </w:rPr>
        <w:t>Ë</w:t>
      </w:r>
      <w:r w:rsidRPr="00ED5552">
        <w:rPr>
          <w:b/>
          <w:bCs/>
          <w:sz w:val="24"/>
          <w:szCs w:val="24"/>
          <w:lang w:val="sq-AL"/>
        </w:rPr>
        <w:t>S</w:t>
      </w:r>
    </w:p>
    <w:p w:rsidR="002E7390" w:rsidRPr="00ED5552" w:rsidRDefault="002E7390" w:rsidP="00076E72">
      <w:pPr>
        <w:jc w:val="both"/>
        <w:rPr>
          <w:b/>
          <w:bCs/>
          <w:sz w:val="24"/>
          <w:szCs w:val="24"/>
          <w:lang w:val="sq-AL"/>
        </w:rPr>
      </w:pPr>
    </w:p>
    <w:p w:rsidR="002E7390" w:rsidRPr="00ED5552" w:rsidRDefault="002E7390" w:rsidP="00076E72">
      <w:pPr>
        <w:jc w:val="both"/>
        <w:rPr>
          <w:sz w:val="24"/>
          <w:szCs w:val="24"/>
          <w:lang w:val="sq-AL"/>
        </w:rPr>
      </w:pPr>
      <w:r w:rsidRPr="00ED5552">
        <w:rPr>
          <w:sz w:val="24"/>
          <w:szCs w:val="24"/>
          <w:lang w:val="sq-AL"/>
        </w:rPr>
        <w:t>Kolegji Penal i Gjykatës së Lartë i përbërë nga gjyqtarët:</w:t>
      </w:r>
    </w:p>
    <w:p w:rsidR="002E7390" w:rsidRPr="00ED5552" w:rsidRDefault="002E7390" w:rsidP="00076E72">
      <w:pPr>
        <w:jc w:val="both"/>
        <w:rPr>
          <w:sz w:val="24"/>
          <w:szCs w:val="24"/>
          <w:lang w:val="sq-AL"/>
        </w:rPr>
      </w:pPr>
    </w:p>
    <w:p w:rsidR="00FC4EBB" w:rsidRPr="00ED5552" w:rsidRDefault="00FC4EBB" w:rsidP="00076E72">
      <w:pPr>
        <w:ind w:left="2880"/>
        <w:jc w:val="both"/>
        <w:rPr>
          <w:b/>
          <w:bCs/>
          <w:sz w:val="24"/>
          <w:szCs w:val="24"/>
          <w:lang w:val="sq-AL"/>
        </w:rPr>
      </w:pPr>
      <w:r w:rsidRPr="00ED5552">
        <w:rPr>
          <w:b/>
          <w:bCs/>
          <w:sz w:val="24"/>
          <w:szCs w:val="24"/>
          <w:lang w:val="sq-AL"/>
        </w:rPr>
        <w:t>Ilir PANDA</w:t>
      </w:r>
      <w:r w:rsidRPr="00ED5552">
        <w:rPr>
          <w:b/>
          <w:bCs/>
          <w:sz w:val="24"/>
          <w:szCs w:val="24"/>
          <w:lang w:val="sq-AL"/>
        </w:rPr>
        <w:tab/>
        <w:t xml:space="preserve">           Kryesues</w:t>
      </w:r>
    </w:p>
    <w:p w:rsidR="00FC4EBB" w:rsidRPr="00ED5552" w:rsidRDefault="00A00C16" w:rsidP="00076E72">
      <w:pPr>
        <w:ind w:left="2880"/>
        <w:jc w:val="both"/>
        <w:rPr>
          <w:b/>
          <w:bCs/>
          <w:sz w:val="24"/>
          <w:szCs w:val="24"/>
          <w:lang w:val="sq-AL"/>
        </w:rPr>
      </w:pPr>
      <w:r w:rsidRPr="00ED5552">
        <w:rPr>
          <w:b/>
          <w:bCs/>
          <w:sz w:val="24"/>
          <w:szCs w:val="24"/>
          <w:lang w:val="sq-AL"/>
        </w:rPr>
        <w:t>Sokol BINAJ</w:t>
      </w:r>
      <w:r w:rsidR="004340E6" w:rsidRPr="00ED5552">
        <w:rPr>
          <w:b/>
          <w:bCs/>
          <w:sz w:val="24"/>
          <w:szCs w:val="24"/>
          <w:lang w:val="sq-AL"/>
        </w:rPr>
        <w:t xml:space="preserve">       </w:t>
      </w:r>
      <w:r w:rsidR="00983C1D" w:rsidRPr="00ED5552">
        <w:rPr>
          <w:b/>
          <w:bCs/>
          <w:sz w:val="24"/>
          <w:szCs w:val="24"/>
          <w:lang w:val="sq-AL"/>
        </w:rPr>
        <w:tab/>
      </w:r>
      <w:r w:rsidR="00FC4EBB" w:rsidRPr="00ED5552">
        <w:rPr>
          <w:b/>
          <w:bCs/>
          <w:sz w:val="24"/>
          <w:szCs w:val="24"/>
          <w:lang w:val="sq-AL"/>
        </w:rPr>
        <w:t>Anëtar</w:t>
      </w:r>
    </w:p>
    <w:p w:rsidR="00FC4EBB" w:rsidRPr="00ED5552" w:rsidRDefault="00A00C16" w:rsidP="00076E72">
      <w:pPr>
        <w:ind w:left="2880"/>
        <w:jc w:val="both"/>
        <w:rPr>
          <w:b/>
          <w:bCs/>
          <w:sz w:val="24"/>
          <w:szCs w:val="24"/>
          <w:lang w:val="sq-AL"/>
        </w:rPr>
      </w:pPr>
      <w:r w:rsidRPr="00ED5552">
        <w:rPr>
          <w:b/>
          <w:bCs/>
          <w:sz w:val="24"/>
          <w:szCs w:val="24"/>
          <w:lang w:val="sq-AL"/>
        </w:rPr>
        <w:t xml:space="preserve">Sandër SIMONI       </w:t>
      </w:r>
      <w:r w:rsidR="0002687E" w:rsidRPr="00ED5552">
        <w:rPr>
          <w:b/>
          <w:bCs/>
          <w:sz w:val="24"/>
          <w:szCs w:val="24"/>
          <w:lang w:val="sq-AL"/>
        </w:rPr>
        <w:tab/>
      </w:r>
      <w:r w:rsidR="00FC4EBB" w:rsidRPr="00ED5552">
        <w:rPr>
          <w:b/>
          <w:bCs/>
          <w:sz w:val="24"/>
          <w:szCs w:val="24"/>
          <w:lang w:val="sq-AL"/>
        </w:rPr>
        <w:t>Anëtar</w:t>
      </w:r>
    </w:p>
    <w:p w:rsidR="00642B6E" w:rsidRPr="00ED5552" w:rsidRDefault="002E7390" w:rsidP="00076E72">
      <w:pPr>
        <w:jc w:val="both"/>
        <w:rPr>
          <w:b/>
          <w:sz w:val="24"/>
          <w:szCs w:val="24"/>
          <w:lang w:val="sq-AL"/>
        </w:rPr>
      </w:pPr>
      <w:r w:rsidRPr="00ED5552">
        <w:rPr>
          <w:b/>
          <w:bCs/>
          <w:sz w:val="24"/>
          <w:szCs w:val="24"/>
          <w:lang w:val="sq-AL"/>
        </w:rPr>
        <w:tab/>
      </w:r>
      <w:r w:rsidRPr="00ED5552">
        <w:rPr>
          <w:b/>
          <w:bCs/>
          <w:sz w:val="24"/>
          <w:szCs w:val="24"/>
          <w:lang w:val="sq-AL"/>
        </w:rPr>
        <w:tab/>
      </w:r>
      <w:r w:rsidRPr="00ED5552">
        <w:rPr>
          <w:b/>
          <w:bCs/>
          <w:sz w:val="24"/>
          <w:szCs w:val="24"/>
          <w:lang w:val="sq-AL"/>
        </w:rPr>
        <w:tab/>
      </w:r>
      <w:r w:rsidRPr="00ED5552">
        <w:rPr>
          <w:b/>
          <w:sz w:val="24"/>
          <w:szCs w:val="24"/>
          <w:lang w:val="sq-AL"/>
        </w:rPr>
        <w:t xml:space="preserve"> </w:t>
      </w:r>
    </w:p>
    <w:p w:rsidR="002E7390" w:rsidRPr="00ED5552" w:rsidRDefault="00D64F7D" w:rsidP="00076E72">
      <w:pPr>
        <w:jc w:val="both"/>
        <w:rPr>
          <w:sz w:val="24"/>
          <w:szCs w:val="24"/>
          <w:lang w:val="sq-AL"/>
        </w:rPr>
      </w:pPr>
      <w:r w:rsidRPr="00ED5552">
        <w:rPr>
          <w:sz w:val="24"/>
          <w:szCs w:val="24"/>
          <w:lang w:val="sq-AL"/>
        </w:rPr>
        <w:t>s</w:t>
      </w:r>
      <w:r w:rsidR="002E7390" w:rsidRPr="00ED5552">
        <w:rPr>
          <w:sz w:val="24"/>
          <w:szCs w:val="24"/>
          <w:lang w:val="sq-AL"/>
        </w:rPr>
        <w:t xml:space="preserve">ot në datë </w:t>
      </w:r>
      <w:r w:rsidR="000B1BB4" w:rsidRPr="00ED5552">
        <w:rPr>
          <w:sz w:val="24"/>
          <w:szCs w:val="24"/>
          <w:lang w:val="sq-AL"/>
        </w:rPr>
        <w:t>17</w:t>
      </w:r>
      <w:r w:rsidR="00CC52EE" w:rsidRPr="00ED5552">
        <w:rPr>
          <w:sz w:val="24"/>
          <w:szCs w:val="24"/>
          <w:lang w:val="sq-AL"/>
        </w:rPr>
        <w:t>.02</w:t>
      </w:r>
      <w:r w:rsidR="005D7B26" w:rsidRPr="00ED5552">
        <w:rPr>
          <w:sz w:val="24"/>
          <w:szCs w:val="24"/>
          <w:lang w:val="sq-AL"/>
        </w:rPr>
        <w:t>.2026</w:t>
      </w:r>
      <w:r w:rsidR="00D478FE" w:rsidRPr="00ED5552">
        <w:rPr>
          <w:sz w:val="24"/>
          <w:szCs w:val="24"/>
          <w:lang w:val="sq-AL"/>
        </w:rPr>
        <w:t>,</w:t>
      </w:r>
      <w:r w:rsidR="002E7390" w:rsidRPr="00ED5552">
        <w:rPr>
          <w:sz w:val="24"/>
          <w:szCs w:val="24"/>
          <w:lang w:val="sq-AL"/>
        </w:rPr>
        <w:t xml:space="preserve"> mori në shqyrtim në dhomë këshillimi, çështjen penale</w:t>
      </w:r>
      <w:r w:rsidR="00386E25" w:rsidRPr="00ED5552">
        <w:rPr>
          <w:sz w:val="24"/>
          <w:szCs w:val="24"/>
          <w:lang w:val="sq-AL"/>
        </w:rPr>
        <w:t xml:space="preserve"> nr</w:t>
      </w:r>
      <w:r w:rsidR="00A82B7F" w:rsidRPr="00ED5552">
        <w:rPr>
          <w:sz w:val="24"/>
          <w:szCs w:val="24"/>
          <w:lang w:val="sq-AL"/>
        </w:rPr>
        <w:t>.</w:t>
      </w:r>
      <w:r w:rsidR="00A00C16" w:rsidRPr="00ED5552">
        <w:rPr>
          <w:sz w:val="24"/>
          <w:szCs w:val="24"/>
          <w:lang w:val="sq-AL"/>
        </w:rPr>
        <w:t xml:space="preserve"> </w:t>
      </w:r>
      <w:r w:rsidR="00076E72" w:rsidRPr="00ED5552">
        <w:rPr>
          <w:sz w:val="24"/>
          <w:szCs w:val="24"/>
          <w:lang w:val="sq-AL"/>
        </w:rPr>
        <w:t>51091-00031</w:t>
      </w:r>
      <w:r w:rsidR="005D7B26" w:rsidRPr="00ED5552">
        <w:rPr>
          <w:sz w:val="24"/>
          <w:szCs w:val="24"/>
          <w:lang w:val="sq-AL"/>
        </w:rPr>
        <w:t>-00-202</w:t>
      </w:r>
      <w:r w:rsidR="00076E72" w:rsidRPr="00ED5552">
        <w:rPr>
          <w:sz w:val="24"/>
          <w:szCs w:val="24"/>
          <w:lang w:val="sq-AL"/>
        </w:rPr>
        <w:t>6</w:t>
      </w:r>
      <w:r w:rsidR="002E7390" w:rsidRPr="00ED5552">
        <w:rPr>
          <w:sz w:val="24"/>
          <w:szCs w:val="24"/>
          <w:lang w:val="sq-AL"/>
        </w:rPr>
        <w:t>, që i përket:</w:t>
      </w:r>
    </w:p>
    <w:p w:rsidR="004173F9" w:rsidRPr="00ED5552" w:rsidRDefault="004173F9" w:rsidP="00076E72">
      <w:pPr>
        <w:pStyle w:val="trupiitekstit1"/>
        <w:spacing w:before="0" w:beforeAutospacing="0" w:after="0" w:afterAutospacing="0"/>
        <w:jc w:val="both"/>
        <w:rPr>
          <w:b/>
          <w:bCs/>
          <w:lang w:val="sq-AL"/>
        </w:rPr>
      </w:pPr>
    </w:p>
    <w:p w:rsidR="00076E72" w:rsidRPr="00ED5552" w:rsidRDefault="00076E72" w:rsidP="00076E72">
      <w:pPr>
        <w:tabs>
          <w:tab w:val="left" w:pos="2700"/>
        </w:tabs>
        <w:ind w:left="2880" w:hanging="2880"/>
        <w:jc w:val="both"/>
        <w:rPr>
          <w:sz w:val="24"/>
          <w:szCs w:val="24"/>
        </w:rPr>
      </w:pPr>
      <w:r w:rsidRPr="00ED5552">
        <w:rPr>
          <w:b/>
          <w:bCs/>
          <w:sz w:val="24"/>
          <w:szCs w:val="24"/>
        </w:rPr>
        <w:t>TË PANDEHUR</w:t>
      </w:r>
      <w:r w:rsidRPr="00ED5552">
        <w:rPr>
          <w:sz w:val="24"/>
          <w:szCs w:val="24"/>
        </w:rPr>
        <w:t>:          </w:t>
      </w:r>
      <w:r w:rsidRPr="00ED5552">
        <w:rPr>
          <w:sz w:val="24"/>
          <w:szCs w:val="24"/>
        </w:rPr>
        <w:tab/>
      </w:r>
      <w:r w:rsidRPr="00ED5552">
        <w:rPr>
          <w:sz w:val="24"/>
          <w:szCs w:val="24"/>
        </w:rPr>
        <w:tab/>
        <w:t xml:space="preserve">Adelion Vila, Alketa Kallçaku, Denis Musaj, Egnis Gojani, Hysen Zeqiri, </w:t>
      </w:r>
    </w:p>
    <w:p w:rsidR="00076E72" w:rsidRPr="00ED5552" w:rsidRDefault="00076E72" w:rsidP="00076E72">
      <w:pPr>
        <w:tabs>
          <w:tab w:val="left" w:pos="2700"/>
        </w:tabs>
        <w:ind w:left="2700" w:hanging="2700"/>
        <w:jc w:val="both"/>
        <w:rPr>
          <w:sz w:val="24"/>
          <w:szCs w:val="24"/>
        </w:rPr>
      </w:pPr>
      <w:r w:rsidRPr="00ED5552">
        <w:rPr>
          <w:sz w:val="24"/>
          <w:szCs w:val="24"/>
        </w:rPr>
        <w:t xml:space="preserve"> </w:t>
      </w:r>
    </w:p>
    <w:p w:rsidR="00076E72" w:rsidRPr="00ED5552" w:rsidRDefault="00076E72" w:rsidP="00076E72">
      <w:pPr>
        <w:ind w:left="2880" w:hanging="2880"/>
        <w:jc w:val="both"/>
        <w:rPr>
          <w:sz w:val="24"/>
          <w:szCs w:val="24"/>
        </w:rPr>
      </w:pPr>
      <w:r w:rsidRPr="00ED5552">
        <w:rPr>
          <w:b/>
          <w:bCs/>
          <w:sz w:val="24"/>
          <w:szCs w:val="24"/>
        </w:rPr>
        <w:t>TË AKUZUAR:</w:t>
      </w:r>
      <w:r w:rsidRPr="00ED5552">
        <w:rPr>
          <w:sz w:val="24"/>
          <w:szCs w:val="24"/>
        </w:rPr>
        <w:t xml:space="preserve">         </w:t>
      </w:r>
      <w:r w:rsidRPr="00ED5552">
        <w:rPr>
          <w:sz w:val="24"/>
          <w:szCs w:val="24"/>
        </w:rPr>
        <w:tab/>
        <w:t>Për veprën penale “Shpërdorimi i detyrës”, i kryer në bashkëpunim, të parashikuar nga 248 - 25 i Kodit Penal.</w:t>
      </w:r>
    </w:p>
    <w:p w:rsidR="00076E72" w:rsidRPr="00ED5552" w:rsidRDefault="00076E72" w:rsidP="00076E72">
      <w:pPr>
        <w:spacing w:before="100" w:beforeAutospacing="1"/>
        <w:ind w:left="2070" w:hanging="2070"/>
        <w:jc w:val="both"/>
        <w:rPr>
          <w:sz w:val="24"/>
          <w:szCs w:val="24"/>
        </w:rPr>
      </w:pPr>
      <w:r w:rsidRPr="00ED5552">
        <w:rPr>
          <w:b/>
          <w:bCs/>
          <w:sz w:val="24"/>
          <w:szCs w:val="24"/>
        </w:rPr>
        <w:t xml:space="preserve">I PANDEHUR:              </w:t>
      </w:r>
      <w:r w:rsidRPr="00ED5552">
        <w:rPr>
          <w:b/>
          <w:bCs/>
          <w:sz w:val="24"/>
          <w:szCs w:val="24"/>
        </w:rPr>
        <w:tab/>
      </w:r>
      <w:r w:rsidRPr="00ED5552">
        <w:rPr>
          <w:sz w:val="24"/>
          <w:szCs w:val="24"/>
        </w:rPr>
        <w:t>Durim Halka,</w:t>
      </w:r>
    </w:p>
    <w:p w:rsidR="00076E72" w:rsidRPr="00ED5552" w:rsidRDefault="00076E72" w:rsidP="000606FA">
      <w:pPr>
        <w:spacing w:before="100" w:beforeAutospacing="1"/>
        <w:ind w:left="2880" w:hanging="2820"/>
        <w:jc w:val="both"/>
        <w:rPr>
          <w:sz w:val="24"/>
          <w:szCs w:val="24"/>
        </w:rPr>
      </w:pPr>
      <w:r w:rsidRPr="00ED5552">
        <w:rPr>
          <w:b/>
          <w:bCs/>
          <w:sz w:val="24"/>
          <w:szCs w:val="24"/>
        </w:rPr>
        <w:t>AKUZUAR:</w:t>
      </w:r>
      <w:r w:rsidRPr="00ED5552">
        <w:rPr>
          <w:sz w:val="24"/>
          <w:szCs w:val="24"/>
        </w:rPr>
        <w:t>               </w:t>
      </w:r>
      <w:r w:rsidRPr="00ED5552">
        <w:rPr>
          <w:sz w:val="24"/>
          <w:szCs w:val="24"/>
        </w:rPr>
        <w:tab/>
        <w:t>Për veprave penale, “Shpërdorimi i detyrës”, i kryer në bashkëpunim, parashikuar, dhe “Thyerja, heqja, zëvendësimi i shenjave të sigurisë së autoriteteve doganore”, të parashikuar nga nenet 248-25 dhe 179/b, të Kodit Penal.</w:t>
      </w:r>
    </w:p>
    <w:p w:rsidR="00076E72" w:rsidRPr="00ED5552" w:rsidRDefault="00076E72" w:rsidP="00076E72">
      <w:pPr>
        <w:spacing w:before="100" w:beforeAutospacing="1" w:after="100" w:afterAutospacing="1"/>
        <w:ind w:left="2880" w:hanging="2835"/>
        <w:jc w:val="both"/>
        <w:rPr>
          <w:sz w:val="24"/>
          <w:szCs w:val="24"/>
        </w:rPr>
      </w:pPr>
      <w:r w:rsidRPr="00ED5552">
        <w:rPr>
          <w:b/>
          <w:bCs/>
          <w:sz w:val="24"/>
          <w:szCs w:val="24"/>
        </w:rPr>
        <w:t>BAZA LIGJORE:</w:t>
      </w:r>
      <w:r w:rsidRPr="00ED5552">
        <w:rPr>
          <w:sz w:val="24"/>
          <w:szCs w:val="24"/>
        </w:rPr>
        <w:t>        </w:t>
      </w:r>
      <w:r w:rsidRPr="00ED5552">
        <w:rPr>
          <w:sz w:val="24"/>
          <w:szCs w:val="24"/>
        </w:rPr>
        <w:tab/>
        <w:t>Nenet 332/c, 332/dh, 333, 379, 383, 384, 388, 389, 390, 393, 406/1,e 485 të Kodit të Procedurës Penale, si dhe nenet 25, 248, 300, 179/b të Kodit Penal.</w:t>
      </w:r>
    </w:p>
    <w:p w:rsidR="00FC48F7" w:rsidRPr="00ED5552" w:rsidRDefault="00681A13" w:rsidP="00076E72">
      <w:pPr>
        <w:tabs>
          <w:tab w:val="left" w:pos="2160"/>
        </w:tabs>
        <w:jc w:val="both"/>
        <w:rPr>
          <w:b/>
          <w:sz w:val="24"/>
          <w:szCs w:val="24"/>
          <w:lang w:val="sq-AL"/>
        </w:rPr>
      </w:pPr>
      <w:r w:rsidRPr="00ED5552">
        <w:rPr>
          <w:b/>
          <w:sz w:val="24"/>
          <w:szCs w:val="24"/>
          <w:lang w:val="sq-AL"/>
        </w:rPr>
        <w:t xml:space="preserve">    </w:t>
      </w:r>
      <w:r w:rsidR="00AD2095" w:rsidRPr="00ED5552">
        <w:rPr>
          <w:b/>
          <w:sz w:val="24"/>
          <w:szCs w:val="24"/>
          <w:lang w:val="sq-AL"/>
        </w:rPr>
        <w:tab/>
      </w:r>
      <w:r w:rsidR="009E4CE6" w:rsidRPr="00ED5552">
        <w:rPr>
          <w:b/>
          <w:sz w:val="24"/>
          <w:szCs w:val="24"/>
          <w:lang w:val="sq-AL"/>
        </w:rPr>
        <w:t xml:space="preserve"> </w:t>
      </w:r>
      <w:r w:rsidRPr="00ED5552">
        <w:rPr>
          <w:b/>
          <w:sz w:val="24"/>
          <w:szCs w:val="24"/>
          <w:lang w:val="sq-AL"/>
        </w:rPr>
        <w:t xml:space="preserve">  </w:t>
      </w:r>
      <w:r w:rsidR="00FC48F7" w:rsidRPr="00ED5552">
        <w:rPr>
          <w:b/>
          <w:sz w:val="24"/>
          <w:szCs w:val="24"/>
          <w:lang w:val="sq-AL"/>
        </w:rPr>
        <w:t>KOLEGJI PENAL I GJYKATËS SË LARTË</w:t>
      </w:r>
    </w:p>
    <w:p w:rsidR="00592389" w:rsidRPr="00ED5552" w:rsidRDefault="00592389" w:rsidP="00076E72">
      <w:pPr>
        <w:tabs>
          <w:tab w:val="left" w:pos="2160"/>
        </w:tabs>
        <w:jc w:val="both"/>
        <w:rPr>
          <w:sz w:val="24"/>
          <w:szCs w:val="24"/>
          <w:lang w:val="sq-AL"/>
        </w:rPr>
      </w:pPr>
    </w:p>
    <w:p w:rsidR="00BE5D08" w:rsidRPr="00ED5552" w:rsidRDefault="00BE5D08" w:rsidP="00076E72">
      <w:pPr>
        <w:ind w:firstLine="720"/>
        <w:jc w:val="both"/>
        <w:rPr>
          <w:sz w:val="24"/>
          <w:szCs w:val="24"/>
          <w:lang w:val="sq-AL"/>
        </w:rPr>
      </w:pPr>
      <w:r w:rsidRPr="00ED5552">
        <w:rPr>
          <w:sz w:val="24"/>
          <w:szCs w:val="24"/>
          <w:lang w:val="sq-AL"/>
        </w:rPr>
        <w:t>Pasi dëgjoi relatimin e gjyqtar</w:t>
      </w:r>
      <w:r w:rsidR="0075075D" w:rsidRPr="00ED5552">
        <w:rPr>
          <w:sz w:val="24"/>
          <w:szCs w:val="24"/>
          <w:lang w:val="sq-AL"/>
        </w:rPr>
        <w:t xml:space="preserve">it </w:t>
      </w:r>
      <w:r w:rsidR="009D1DDB" w:rsidRPr="00ED5552">
        <w:rPr>
          <w:sz w:val="24"/>
          <w:szCs w:val="24"/>
          <w:lang w:val="sq-AL"/>
        </w:rPr>
        <w:t>Sand</w:t>
      </w:r>
      <w:r w:rsidR="008C3C22" w:rsidRPr="00ED5552">
        <w:rPr>
          <w:sz w:val="24"/>
          <w:szCs w:val="24"/>
          <w:lang w:val="sq-AL"/>
        </w:rPr>
        <w:t>ë</w:t>
      </w:r>
      <w:r w:rsidR="009D1DDB" w:rsidRPr="00ED5552">
        <w:rPr>
          <w:sz w:val="24"/>
          <w:szCs w:val="24"/>
          <w:lang w:val="sq-AL"/>
        </w:rPr>
        <w:t>r Simoni</w:t>
      </w:r>
      <w:r w:rsidR="00B75206" w:rsidRPr="00ED5552">
        <w:rPr>
          <w:sz w:val="24"/>
          <w:szCs w:val="24"/>
          <w:lang w:val="sq-AL"/>
        </w:rPr>
        <w:t xml:space="preserve"> </w:t>
      </w:r>
      <w:r w:rsidRPr="00ED5552">
        <w:rPr>
          <w:sz w:val="24"/>
          <w:szCs w:val="24"/>
          <w:lang w:val="sq-AL"/>
        </w:rPr>
        <w:t>dhe bisedoi çështjen në tërësi,</w:t>
      </w:r>
    </w:p>
    <w:p w:rsidR="0001599F" w:rsidRPr="00ED5552" w:rsidRDefault="0001599F" w:rsidP="00076E7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b/>
          <w:sz w:val="24"/>
          <w:szCs w:val="24"/>
          <w:lang w:val="sq-AL"/>
        </w:rPr>
      </w:pPr>
    </w:p>
    <w:p w:rsidR="00BE5D08" w:rsidRPr="00ED5552" w:rsidRDefault="00BE5D08" w:rsidP="00076E7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b/>
          <w:sz w:val="24"/>
          <w:szCs w:val="24"/>
          <w:lang w:val="sq-AL"/>
        </w:rPr>
      </w:pPr>
      <w:r w:rsidRPr="00ED5552">
        <w:rPr>
          <w:b/>
          <w:sz w:val="24"/>
          <w:szCs w:val="24"/>
          <w:lang w:val="sq-AL"/>
        </w:rPr>
        <w:t>V</w:t>
      </w:r>
      <w:r w:rsidR="001A20D6" w:rsidRPr="00ED5552">
        <w:rPr>
          <w:b/>
          <w:sz w:val="24"/>
          <w:szCs w:val="24"/>
          <w:lang w:val="sq-AL"/>
        </w:rPr>
        <w:t>Ë</w:t>
      </w:r>
      <w:r w:rsidRPr="00ED5552">
        <w:rPr>
          <w:b/>
          <w:sz w:val="24"/>
          <w:szCs w:val="24"/>
          <w:lang w:val="sq-AL"/>
        </w:rPr>
        <w:t>REN SE:</w:t>
      </w:r>
    </w:p>
    <w:p w:rsidR="00076E72" w:rsidRPr="00ED5552" w:rsidRDefault="00076E72" w:rsidP="00076E7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b/>
          <w:sz w:val="24"/>
          <w:szCs w:val="24"/>
          <w:lang w:val="sq-AL"/>
        </w:rPr>
      </w:pPr>
    </w:p>
    <w:p w:rsidR="00076E72" w:rsidRPr="00ED5552" w:rsidRDefault="00076E72" w:rsidP="00076E72">
      <w:pPr>
        <w:pStyle w:val="ListParagraph"/>
        <w:numPr>
          <w:ilvl w:val="0"/>
          <w:numId w:val="33"/>
        </w:numPr>
        <w:tabs>
          <w:tab w:val="left" w:pos="900"/>
          <w:tab w:val="left" w:pos="1080"/>
          <w:tab w:val="left" w:pos="153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0" w:firstLine="540"/>
        <w:jc w:val="both"/>
        <w:rPr>
          <w:iCs/>
          <w:sz w:val="24"/>
          <w:szCs w:val="24"/>
        </w:rPr>
      </w:pPr>
      <w:r w:rsidRPr="00ED5552">
        <w:rPr>
          <w:iCs/>
          <w:sz w:val="24"/>
          <w:szCs w:val="24"/>
        </w:rPr>
        <w:t>Në mënyrë të përmbledhur rezulton se: Më datë 13.12.2023, Prokuroria pranë Gjykatës së Shkallës së Parë të Juridiksionit të Përgjithshëm Durrës ka regjistruar procedimin penal Nr. 2588 për veprat penale “Shpërdorimi i detyrës” ndaj Adelion Vila, Alketa Kallcaku, Denis Musaj dhe Egnis Gojani, si dhe “Kontrabandë me mallra të tjerë” ndaj Durim Halka.</w:t>
      </w:r>
    </w:p>
    <w:p w:rsidR="00076E72" w:rsidRPr="00ED5552" w:rsidRDefault="00076E72" w:rsidP="00076E72">
      <w:pPr>
        <w:pStyle w:val="ListParagraph"/>
        <w:numPr>
          <w:ilvl w:val="1"/>
          <w:numId w:val="33"/>
        </w:numPr>
        <w:tabs>
          <w:tab w:val="left" w:pos="1080"/>
          <w:tab w:val="left" w:pos="153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0" w:firstLine="540"/>
        <w:jc w:val="both"/>
        <w:rPr>
          <w:iCs/>
          <w:sz w:val="24"/>
          <w:szCs w:val="24"/>
        </w:rPr>
      </w:pPr>
      <w:r w:rsidRPr="00ED5552">
        <w:rPr>
          <w:iCs/>
          <w:sz w:val="24"/>
          <w:szCs w:val="24"/>
        </w:rPr>
        <w:lastRenderedPageBreak/>
        <w:t>Më datë 15.12.2023 është regjistruar procedimi penal Nr. 2609 mbi bazën e kallëzimit të shoqërisë “Ziko” sh.a., për të njëjtën ngjarje, dhe është vendosur bashkimi i tij me procedimin Nr. 2588.</w:t>
      </w:r>
    </w:p>
    <w:p w:rsidR="00076E72" w:rsidRPr="00ED5552" w:rsidRDefault="00076E72" w:rsidP="00076E72">
      <w:pPr>
        <w:pStyle w:val="ListParagraph"/>
        <w:numPr>
          <w:ilvl w:val="1"/>
          <w:numId w:val="33"/>
        </w:numPr>
        <w:tabs>
          <w:tab w:val="left" w:pos="1080"/>
          <w:tab w:val="left" w:pos="153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0" w:firstLine="540"/>
        <w:jc w:val="both"/>
        <w:rPr>
          <w:iCs/>
          <w:sz w:val="24"/>
          <w:szCs w:val="24"/>
        </w:rPr>
      </w:pPr>
      <w:r w:rsidRPr="00ED5552">
        <w:rPr>
          <w:iCs/>
          <w:sz w:val="24"/>
          <w:szCs w:val="24"/>
        </w:rPr>
        <w:t>Më datë 16.01.2024 është shënuar si person nën hetim Hysen Zeqiri për “Kontrabandë me mallra të tjerë” në bashkëpunim, si dhe është ndryshuar cilësimi juridik për Durim Halka në të njëjtën vepër. Hetimet kanë vazhduar për këtë vepër penale ndaj të gjithë personave nën hetim.</w:t>
      </w:r>
    </w:p>
    <w:p w:rsidR="00076E72" w:rsidRPr="00ED5552" w:rsidRDefault="00076E72" w:rsidP="00076E72">
      <w:pPr>
        <w:pStyle w:val="ListParagraph"/>
        <w:numPr>
          <w:ilvl w:val="1"/>
          <w:numId w:val="33"/>
        </w:numPr>
        <w:tabs>
          <w:tab w:val="left" w:pos="1080"/>
          <w:tab w:val="left" w:pos="153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0" w:firstLine="540"/>
        <w:jc w:val="both"/>
        <w:rPr>
          <w:iCs/>
          <w:sz w:val="24"/>
          <w:szCs w:val="24"/>
        </w:rPr>
      </w:pPr>
      <w:r w:rsidRPr="00ED5552">
        <w:rPr>
          <w:iCs/>
          <w:sz w:val="24"/>
          <w:szCs w:val="24"/>
        </w:rPr>
        <w:t>Me vendimet e datave 11.03.2024 dhe 11.06.2024 është zgjatur afati i hetimeve me 3 muaj për të gjithë personat nën hetim, ndërsa me vendimin e datës 11.06.2024 është zgjatur paraburgimi me 2 muaj për Egnis Gojani dhe Adelion Vila. Njoftimi i këtyre vendimeve është bërë pas përfundimit të hetimeve, me datën më të vonshme 16.07.2024.</w:t>
      </w:r>
    </w:p>
    <w:p w:rsidR="00076E72" w:rsidRPr="00ED5552" w:rsidRDefault="00076E72" w:rsidP="00076E72">
      <w:pPr>
        <w:pStyle w:val="ListParagraph"/>
        <w:numPr>
          <w:ilvl w:val="1"/>
          <w:numId w:val="33"/>
        </w:numPr>
        <w:tabs>
          <w:tab w:val="left" w:pos="1080"/>
          <w:tab w:val="left" w:pos="153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0" w:firstLine="540"/>
        <w:jc w:val="both"/>
        <w:rPr>
          <w:iCs/>
          <w:sz w:val="24"/>
          <w:szCs w:val="24"/>
        </w:rPr>
      </w:pPr>
      <w:r w:rsidRPr="00ED5552">
        <w:rPr>
          <w:iCs/>
          <w:sz w:val="24"/>
          <w:szCs w:val="24"/>
        </w:rPr>
        <w:t xml:space="preserve">Më datë 28.06.2024 është ndryshuar sërish kualifikimi juridik në “Shpërdorim detyre” në bashkëpunim për të gjithë, si dhe për Durim Halka është shtuar edhe vepra “Thyerja, heqja, zëvendësimi i shenjave të sigurisë së autoriteteve doganore”. </w:t>
      </w:r>
    </w:p>
    <w:p w:rsidR="00076E72" w:rsidRPr="00ED5552" w:rsidRDefault="00076E72" w:rsidP="00076E72">
      <w:pPr>
        <w:pStyle w:val="ListParagraph"/>
        <w:numPr>
          <w:ilvl w:val="1"/>
          <w:numId w:val="33"/>
        </w:numPr>
        <w:tabs>
          <w:tab w:val="left" w:pos="1080"/>
          <w:tab w:val="left" w:pos="153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0" w:firstLine="540"/>
        <w:jc w:val="both"/>
        <w:rPr>
          <w:iCs/>
          <w:sz w:val="24"/>
          <w:szCs w:val="24"/>
        </w:rPr>
      </w:pPr>
      <w:r w:rsidRPr="00ED5552">
        <w:rPr>
          <w:iCs/>
          <w:sz w:val="24"/>
          <w:szCs w:val="24"/>
        </w:rPr>
        <w:t>Në korrik 2024 janë komunikuar akuzat dhe vendimet për përfundimin e hetimeve për të pandehurit Durim Halka, Denis Musaj, Alketa Kallcaku dhe Adelion Vila, të cilët janë njohur me të drejtat dhe aktet procedurale. Egnis Gojani ka refuzuar komunikimin e akuzës, njohjen me të drejtat dhe dokumentet, si dhe nuk i janë komunikuar këto akte mbrojtësit të tij. Për Hysen Zeqiri, i deklaruar në ikje, akuza i është komunikuar avokates së tij.</w:t>
      </w:r>
    </w:p>
    <w:p w:rsidR="00076E72" w:rsidRPr="00ED5552" w:rsidRDefault="00076E72" w:rsidP="00076E72">
      <w:pPr>
        <w:pStyle w:val="ListParagraph"/>
        <w:numPr>
          <w:ilvl w:val="1"/>
          <w:numId w:val="33"/>
        </w:numPr>
        <w:tabs>
          <w:tab w:val="left" w:pos="1080"/>
          <w:tab w:val="left" w:pos="153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0" w:firstLine="540"/>
        <w:jc w:val="both"/>
        <w:rPr>
          <w:iCs/>
          <w:sz w:val="24"/>
          <w:szCs w:val="24"/>
        </w:rPr>
      </w:pPr>
      <w:r w:rsidRPr="00ED5552">
        <w:rPr>
          <w:iCs/>
          <w:sz w:val="24"/>
          <w:szCs w:val="24"/>
        </w:rPr>
        <w:t>Më datë 25.07.2024 është vendosur ndarja e procedimit për persona të paidentifikuar, ndërsa për të pandehurit ekzistues hetimet janë konsideruar të plota.</w:t>
      </w:r>
    </w:p>
    <w:p w:rsidR="00076E72" w:rsidRPr="00ED5552" w:rsidRDefault="00076E72" w:rsidP="00076E72">
      <w:pPr>
        <w:pStyle w:val="ListParagraph"/>
        <w:numPr>
          <w:ilvl w:val="1"/>
          <w:numId w:val="33"/>
        </w:numPr>
        <w:tabs>
          <w:tab w:val="left" w:pos="1080"/>
          <w:tab w:val="left" w:pos="153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0" w:firstLine="540"/>
        <w:jc w:val="both"/>
        <w:rPr>
          <w:iCs/>
          <w:sz w:val="24"/>
          <w:szCs w:val="24"/>
        </w:rPr>
      </w:pPr>
      <w:r w:rsidRPr="00ED5552">
        <w:rPr>
          <w:iCs/>
          <w:sz w:val="24"/>
          <w:szCs w:val="24"/>
        </w:rPr>
        <w:t>Më datë 30.07.2024 çështja është dërguar në gjyq dhe është regjistruar në gjykatë më datë 31.07.2024.</w:t>
      </w:r>
    </w:p>
    <w:p w:rsidR="00076E72" w:rsidRPr="00ED5552" w:rsidRDefault="00076E72" w:rsidP="00076E72">
      <w:pPr>
        <w:pStyle w:val="ListParagraph"/>
        <w:numPr>
          <w:ilvl w:val="0"/>
          <w:numId w:val="33"/>
        </w:numPr>
        <w:tabs>
          <w:tab w:val="left" w:pos="900"/>
        </w:tabs>
        <w:ind w:left="0" w:firstLine="540"/>
        <w:jc w:val="both"/>
        <w:rPr>
          <w:sz w:val="24"/>
          <w:szCs w:val="24"/>
        </w:rPr>
      </w:pPr>
      <w:bookmarkStart w:id="0" w:name="_Hlk109144753"/>
      <w:r w:rsidRPr="00ED5552">
        <w:rPr>
          <w:sz w:val="24"/>
          <w:szCs w:val="24"/>
        </w:rPr>
        <w:t xml:space="preserve">Në datë 08.12.2023 rreth orës 14.53 min kamioni i markës “Renault” me targë “AA760HL”, me drejtues shtetasin Durim Halka, ka hyrë </w:t>
      </w:r>
      <w:proofErr w:type="gramStart"/>
      <w:r w:rsidRPr="00ED5552">
        <w:rPr>
          <w:sz w:val="24"/>
          <w:szCs w:val="24"/>
        </w:rPr>
        <w:t>brenda</w:t>
      </w:r>
      <w:proofErr w:type="gramEnd"/>
      <w:r w:rsidRPr="00ED5552">
        <w:rPr>
          <w:sz w:val="24"/>
          <w:szCs w:val="24"/>
        </w:rPr>
        <w:t xml:space="preserve"> Portit Detar Durrës dhe më pas në Terminalin e Kontenierëve të Portit Durrës me qëllim për të tërhequr kontenierin me numër “SEGU944869” që i përket kompanisë “ZICO SHA”. Regjistrimi i tij në portën hyrëse është kryer nga operatorja Alketa Kallçaku, e cila e ka kryer këtë regjistrim pa dokumentacionin përkatës. Kjo pasi drejtuesi i kamionit nuk ka pasur një praktikë doganore dhe autorizim nga agjencia dhe kompania “ZICO SHA” për tërheqjen e kontenierit. Pasi ka ngarkuar kontenierin me numër “SEGU944869”, rreth orës 16.00 të datës 08.12.2023 kamioni me targë “AA760HL” ka dalë nga terminali nga rrethimi i portit detar Durrës ku për të nuk është kryer regjistrim i daljes. Nga verifikimet në sistemin “Navis 4” ka rezultuar se operatori që duhet të bënte këtë veprim ka qenë shtetasi Denis Musaj. Rreth orës 18.30 të datës 08.12.2023 kamioni me targë “AA760HL” është rikthyer përsëri i ngarkuar me kontenierin me numër “SEGU944869” dhe ka hyrë në terminalin ekontenjerëve të portit detar Durrës duke e shkarkuar kontenierin në shesh dhe nuk është kryer asnjë praktikë regjistrimi për rihyrjen e tij në port. Nga verifikimet në sistemin “Navis 4” ka rezultuar se operatori që duhet të bënte këtë veprim ka qenë shtetasi Egnis Gojani.</w:t>
      </w:r>
    </w:p>
    <w:p w:rsidR="00076E72" w:rsidRPr="00ED5552" w:rsidRDefault="00076E72" w:rsidP="00076E72">
      <w:pPr>
        <w:pStyle w:val="ListParagraph"/>
        <w:numPr>
          <w:ilvl w:val="0"/>
          <w:numId w:val="33"/>
        </w:numPr>
        <w:tabs>
          <w:tab w:val="left" w:pos="900"/>
        </w:tabs>
        <w:ind w:left="0" w:firstLine="540"/>
        <w:jc w:val="both"/>
        <w:rPr>
          <w:sz w:val="24"/>
          <w:szCs w:val="24"/>
        </w:rPr>
      </w:pPr>
      <w:r w:rsidRPr="00ED5552">
        <w:rPr>
          <w:sz w:val="24"/>
          <w:szCs w:val="24"/>
        </w:rPr>
        <w:t>Nga këqyrja e pamjeve filmike në lidhje me intenerarin që ka ndjekur kamioni me targë “AA760HL” i ngarkuar me kontenierin me numër “SEGU944869” pas daljes nga porti në orën 16.00 të datës 08.12.2023 deri në momentin e rihyrjes në port në orën 18.30 të datës 08.12.2023 rezulton se kamioni me targë “AA760HL” ka shkuar në një parking privat në Shkozet Lagja 14 Durrës, në pronësi të shtetasit Anxhelo Kokomani, dhe pas kamionit ka qenë një makinë shoqëruese tip Jeep me ngjyrë të bardhë me targa të kuqe, targë e cila nuk është identifikuar se kujt i përket dhe pas saj një makinë Mercedez Benz me ngjyrë gri.</w:t>
      </w:r>
    </w:p>
    <w:p w:rsidR="00076E72" w:rsidRPr="00ED5552" w:rsidRDefault="00076E72" w:rsidP="00076E72">
      <w:pPr>
        <w:pStyle w:val="ListParagraph"/>
        <w:numPr>
          <w:ilvl w:val="1"/>
          <w:numId w:val="33"/>
        </w:numPr>
        <w:tabs>
          <w:tab w:val="left" w:pos="990"/>
        </w:tabs>
        <w:spacing w:before="100" w:beforeAutospacing="1"/>
        <w:ind w:left="0" w:firstLine="540"/>
        <w:jc w:val="both"/>
        <w:rPr>
          <w:sz w:val="24"/>
          <w:szCs w:val="24"/>
        </w:rPr>
      </w:pPr>
      <w:r w:rsidRPr="00ED5552">
        <w:rPr>
          <w:bCs/>
          <w:sz w:val="24"/>
          <w:szCs w:val="24"/>
        </w:rPr>
        <w:t>Nga deklarimet e shtetasit Edmond Bomi</w:t>
      </w:r>
      <w:r w:rsidRPr="00ED5552">
        <w:rPr>
          <w:sz w:val="24"/>
          <w:szCs w:val="24"/>
        </w:rPr>
        <w:t xml:space="preserve"> rezulton ndër të tjera se më datë 08.12.2023 ka qenë te parkingu i shtetasit Tomor Kokomani dhe po bëhej gati për të shkuar në shtëpi, rreth orës 16:30 ka parë që në parking është futur dhe një kamion tjetër i markës “Renault” me ngjyrë të bardhë, i cili ishte ngarkuar me njëkontenier me ngjyrë gri. Këtë kamion e shoqëronin </w:t>
      </w:r>
      <w:proofErr w:type="gramStart"/>
      <w:r w:rsidRPr="00ED5552">
        <w:rPr>
          <w:sz w:val="24"/>
          <w:szCs w:val="24"/>
        </w:rPr>
        <w:t>dy</w:t>
      </w:r>
      <w:proofErr w:type="gramEnd"/>
      <w:r w:rsidRPr="00ED5552">
        <w:rPr>
          <w:sz w:val="24"/>
          <w:szCs w:val="24"/>
        </w:rPr>
        <w:t xml:space="preserve"> makina, ku njëra ishte e markës “Jeep” me ngjyrë gri dhe tjetra e markës “A Class” më ngjyrë gri. Pasi kamioni është parkuar, pranë tij është afruar shtetasi të </w:t>
      </w:r>
      <w:r w:rsidRPr="00ED5552">
        <w:rPr>
          <w:sz w:val="24"/>
          <w:szCs w:val="24"/>
        </w:rPr>
        <w:lastRenderedPageBreak/>
        <w:t xml:space="preserve">cilin e njoh me emrin Adi Vila dhe di që është djali i rojës së parkingut shtetasit Pullumb Vila. Adi është punonjës policie. Adi ka dalë nga makina “A Class” që shoqëronte kamionin dhe është afruar dhe i ka kërkuar që ta ndihmonte të ulte një paletë nga kontenieri që ishte i ngarkuar në kamion ta ngarkonte sërish në kamion. Ka parë që së bashku me Adin ishin dhe tre persona të tjerë, ku Adi ishte me një person tjetër në makinën “A Class” dhe </w:t>
      </w:r>
      <w:proofErr w:type="gramStart"/>
      <w:r w:rsidRPr="00ED5552">
        <w:rPr>
          <w:sz w:val="24"/>
          <w:szCs w:val="24"/>
        </w:rPr>
        <w:t>dy</w:t>
      </w:r>
      <w:proofErr w:type="gramEnd"/>
      <w:r w:rsidRPr="00ED5552">
        <w:rPr>
          <w:sz w:val="24"/>
          <w:szCs w:val="24"/>
        </w:rPr>
        <w:t xml:space="preserve"> persona të tjerë në makinën e markës “Jeep”.Po ashtu ka qenë dhe shoferi i kamionit. Nga këto persona ai ka njohur vetëm Adin. Pasi Adi i ka kërkuar të ulë nga kontenieri paletën, ai ka pranuar për shkak të njohjes me të dhe ka marrë pirunin dhe e ka afruar te kontenieri i ngarkuar në kamion. Kur është afruar </w:t>
      </w:r>
      <w:proofErr w:type="gramStart"/>
      <w:r w:rsidRPr="00ED5552">
        <w:rPr>
          <w:sz w:val="24"/>
          <w:szCs w:val="24"/>
        </w:rPr>
        <w:t>te</w:t>
      </w:r>
      <w:proofErr w:type="gramEnd"/>
      <w:r w:rsidRPr="00ED5552">
        <w:rPr>
          <w:sz w:val="24"/>
          <w:szCs w:val="24"/>
        </w:rPr>
        <w:t xml:space="preserve"> kamioni ka parë që kontenieri ishte ihapur, kontenieri ishte i ngarkuar me arka bananesh të mbështjella me shirita. Adi i ka kërkuar të ulte poshtë paletën që ndodhej në fund të kontenierit në anën e majtë të kontenierit. Ai e ka ulur paletën në tokë pranë kamionit dhe është larguar </w:t>
      </w:r>
      <w:proofErr w:type="gramStart"/>
      <w:r w:rsidRPr="00ED5552">
        <w:rPr>
          <w:sz w:val="24"/>
          <w:szCs w:val="24"/>
        </w:rPr>
        <w:t>te</w:t>
      </w:r>
      <w:proofErr w:type="gramEnd"/>
      <w:r w:rsidRPr="00ED5552">
        <w:rPr>
          <w:sz w:val="24"/>
          <w:szCs w:val="24"/>
        </w:rPr>
        <w:t xml:space="preserve"> kamioni i tij, i cili ishte i parkuar rreth 20-30 metra nga paleta që kishte ulur në tokë. Ka vënë re që në këtë kohë pasi ka ulur paletën automjeti “A Class” është afruar </w:t>
      </w:r>
      <w:proofErr w:type="gramStart"/>
      <w:r w:rsidRPr="00ED5552">
        <w:rPr>
          <w:sz w:val="24"/>
          <w:szCs w:val="24"/>
        </w:rPr>
        <w:t>te</w:t>
      </w:r>
      <w:proofErr w:type="gramEnd"/>
      <w:r w:rsidRPr="00ED5552">
        <w:rPr>
          <w:sz w:val="24"/>
          <w:szCs w:val="24"/>
        </w:rPr>
        <w:t xml:space="preserve"> paleta dhe i ka bllokuar rrezen e shikimit të paletës. Pasi ka sistemuar sendet në kamionin e tij, i ka kërkuar Adit ta ngarkonin paletën pasi ishte bërë vonë dhe duhet të shkonte në shtëpi, por Adi i ka thënë të priste dhe </w:t>
      </w:r>
      <w:proofErr w:type="gramStart"/>
      <w:r w:rsidRPr="00ED5552">
        <w:rPr>
          <w:sz w:val="24"/>
          <w:szCs w:val="24"/>
        </w:rPr>
        <w:t>pak</w:t>
      </w:r>
      <w:proofErr w:type="gramEnd"/>
      <w:r w:rsidRPr="00ED5552">
        <w:rPr>
          <w:sz w:val="24"/>
          <w:szCs w:val="24"/>
        </w:rPr>
        <w:t xml:space="preserve">. Kur është afruar për ti kërkuar Adit të ngarkonin paletën ka parë një kuti me banane, e cila ishte hequr nga paleta dhe ishte ulur në tokë dhe </w:t>
      </w:r>
      <w:proofErr w:type="gramStart"/>
      <w:r w:rsidRPr="00ED5552">
        <w:rPr>
          <w:sz w:val="24"/>
          <w:szCs w:val="24"/>
        </w:rPr>
        <w:t>brenda</w:t>
      </w:r>
      <w:proofErr w:type="gramEnd"/>
      <w:r w:rsidRPr="00ED5552">
        <w:rPr>
          <w:sz w:val="24"/>
          <w:szCs w:val="24"/>
        </w:rPr>
        <w:t xml:space="preserve"> në kontenier ishin tre persona duke kontrolluar arkat e bananeve. Pas rreth 30 minutash, Adi i ka thënë se ishte gati për ta ngarkuar sërish paletën me banane në kamion dhe ai e ka ngarkuar. Pasi e ka ngarkuar paletën, kamioni së bashku me të </w:t>
      </w:r>
      <w:proofErr w:type="gramStart"/>
      <w:r w:rsidRPr="00ED5552">
        <w:rPr>
          <w:sz w:val="24"/>
          <w:szCs w:val="24"/>
        </w:rPr>
        <w:t>dy</w:t>
      </w:r>
      <w:proofErr w:type="gramEnd"/>
      <w:r w:rsidRPr="00ED5552">
        <w:rPr>
          <w:sz w:val="24"/>
          <w:szCs w:val="24"/>
        </w:rPr>
        <w:t xml:space="preserve"> makinat është larguar dhe ai është larguar për në banesën e tij. Me datë 08.12.2023, ai është telefonuar një herë nga Adi dhe e ka pyetur nëse ishte babai i tij Pullumbi </w:t>
      </w:r>
      <w:proofErr w:type="gramStart"/>
      <w:r w:rsidRPr="00ED5552">
        <w:rPr>
          <w:sz w:val="24"/>
          <w:szCs w:val="24"/>
        </w:rPr>
        <w:t>te</w:t>
      </w:r>
      <w:proofErr w:type="gramEnd"/>
      <w:r w:rsidRPr="00ED5552">
        <w:rPr>
          <w:sz w:val="24"/>
          <w:szCs w:val="24"/>
        </w:rPr>
        <w:t xml:space="preserve"> parkingu.</w:t>
      </w:r>
    </w:p>
    <w:p w:rsidR="00076E72" w:rsidRPr="00ED5552" w:rsidRDefault="00076E72" w:rsidP="00076E72">
      <w:pPr>
        <w:pStyle w:val="ListParagraph"/>
        <w:numPr>
          <w:ilvl w:val="1"/>
          <w:numId w:val="33"/>
        </w:numPr>
        <w:tabs>
          <w:tab w:val="left" w:pos="990"/>
        </w:tabs>
        <w:spacing w:before="100" w:beforeAutospacing="1"/>
        <w:ind w:left="0" w:firstLine="540"/>
        <w:jc w:val="both"/>
        <w:rPr>
          <w:sz w:val="24"/>
          <w:szCs w:val="24"/>
        </w:rPr>
      </w:pPr>
      <w:r w:rsidRPr="00ED5552">
        <w:rPr>
          <w:sz w:val="24"/>
          <w:szCs w:val="24"/>
        </w:rPr>
        <w:t>Nga verifikimet e kryera në dokumentacionin e Kompanisë “Mariner Adriatic”sha, e cila është subjekti që administron procedurat e hyrje/daljeve të konteinerëve nga terminali, ka rezultuar se regjistrimi i kamionit me targë “AA760HL”, është kryer nga shtetasja Alketa Kallçaku. Ndërkohë kjo shtetase nuk ka paraqitur asnjë dokumentacion të ruajtur nga drejtuesi i këtij kamioni për të bërë tërheqjen e konteinerit. Gjithashtu nga verifikimi i praktikës doganore për konteinerin me numër “SEGU944869”, rezulton se ajo mban datën 09.12.2023, pra është përpiluar një ditë më pas. Më datë 08.12.2023 kur është kryer lëvizja e këtij konteineri nuk ka pasur praktikë doganore apo autorizim nga agjencia përkatëse.</w:t>
      </w:r>
    </w:p>
    <w:p w:rsidR="00076E72" w:rsidRPr="00ED5552" w:rsidRDefault="00076E72" w:rsidP="00076E72">
      <w:pPr>
        <w:pStyle w:val="ListParagraph"/>
        <w:numPr>
          <w:ilvl w:val="1"/>
          <w:numId w:val="33"/>
        </w:numPr>
        <w:tabs>
          <w:tab w:val="left" w:pos="990"/>
        </w:tabs>
        <w:spacing w:before="100" w:beforeAutospacing="1"/>
        <w:ind w:left="0" w:firstLine="540"/>
        <w:jc w:val="both"/>
        <w:rPr>
          <w:sz w:val="24"/>
          <w:szCs w:val="24"/>
        </w:rPr>
      </w:pPr>
      <w:r w:rsidRPr="00ED5552">
        <w:rPr>
          <w:sz w:val="24"/>
          <w:szCs w:val="24"/>
        </w:rPr>
        <w:t>Nga ana e përfaqësuesit të Kompanisë “ZICO SHA” është paraqitur një fotokopje e procesverbalit sipas të cilit konteineri me numër “SEGU944869”, ishte kontrolluar në Portin e Gioia Tauro në Itali më datë 29.11.2023.</w:t>
      </w:r>
    </w:p>
    <w:p w:rsidR="00076E72" w:rsidRPr="00ED5552" w:rsidRDefault="00076E72" w:rsidP="00076E72">
      <w:pPr>
        <w:pStyle w:val="ListParagraph"/>
        <w:numPr>
          <w:ilvl w:val="1"/>
          <w:numId w:val="33"/>
        </w:numPr>
        <w:tabs>
          <w:tab w:val="left" w:pos="990"/>
        </w:tabs>
        <w:spacing w:before="100" w:beforeAutospacing="1"/>
        <w:ind w:left="0" w:firstLine="540"/>
        <w:jc w:val="both"/>
        <w:rPr>
          <w:sz w:val="24"/>
          <w:szCs w:val="24"/>
        </w:rPr>
      </w:pPr>
      <w:r w:rsidRPr="00ED5552">
        <w:rPr>
          <w:sz w:val="24"/>
          <w:szCs w:val="24"/>
        </w:rPr>
        <w:t xml:space="preserve">Nga ana e policisë është kryer hapja dhe këqyrja e konteinerit me numër SEGU944869, në mjediset e sheshit të monitorimit të Terminalit të Trageteve në Portin Detar Durrës. Nga këqyrja ka rezultuar se konteineri ishte në gjendje të mbyllur dhe kishte të vendosura </w:t>
      </w:r>
      <w:proofErr w:type="gramStart"/>
      <w:r w:rsidRPr="00ED5552">
        <w:rPr>
          <w:sz w:val="24"/>
          <w:szCs w:val="24"/>
        </w:rPr>
        <w:t>dy</w:t>
      </w:r>
      <w:proofErr w:type="gramEnd"/>
      <w:r w:rsidRPr="00ED5552">
        <w:rPr>
          <w:sz w:val="24"/>
          <w:szCs w:val="24"/>
        </w:rPr>
        <w:t xml:space="preserve"> plumbçe sigurie me numrat: FSB-360767; MCT0145454. Pasi janë prerë plumbçet është bërë zbritja e kutive me banane nga konteineri. Në dyshemenë e tij është gjetur dhe një plumbçe tjetër sigurie që mban numrat “AN51631”. Pasi është hequr paleta e parë me kuti bananesh, në dyshemene e konteinerit janë gjetur një palë syze optike me skelet ngjyrë kafe, me mbishkrimin “Sëing, magneto Col</w:t>
      </w:r>
      <w:r w:rsidR="00F86292" w:rsidRPr="00ED5552">
        <w:rPr>
          <w:sz w:val="24"/>
          <w:szCs w:val="24"/>
        </w:rPr>
        <w:t>: 216</w:t>
      </w:r>
      <w:r w:rsidRPr="00ED5552">
        <w:rPr>
          <w:sz w:val="24"/>
          <w:szCs w:val="24"/>
        </w:rPr>
        <w:t xml:space="preserve">”. Nga këqyrja ka rezultuar se një pjesë e paletave me banana, shiritat mbajtës të kutive në pjesën e sipërme i kishin të lëvizura nga vendi i tyre. Në konteiner është konstatuar që në paleta mungonin </w:t>
      </w:r>
      <w:proofErr w:type="gramStart"/>
      <w:r w:rsidRPr="00ED5552">
        <w:rPr>
          <w:sz w:val="24"/>
          <w:szCs w:val="24"/>
        </w:rPr>
        <w:t>dy</w:t>
      </w:r>
      <w:proofErr w:type="gramEnd"/>
      <w:r w:rsidRPr="00ED5552">
        <w:rPr>
          <w:sz w:val="24"/>
          <w:szCs w:val="24"/>
        </w:rPr>
        <w:t xml:space="preserve"> kuti me banane. Gjithsej ishin të ngarkuara 1096 kuti, ndërkohë që në deklaratën doganore është shënuar numri 1098 kuti. Punonjësite policisë kanë hapur dhe kontrolluar të gjitha kutitë më banane. Gjithashtu janë hapur kapakët e brendshëm dhe të jashtëm të pjesës frigoriferike të konteinerit. Nga kontrolli i ushtruar nuk është gjetur ndonjë send i kundërligjshëm. Tre plumbçet e sigurisë dhe syzet optike janë sekuestruar në cilësinë e provës materiale. Eshtë përpiluar vendimi për kryerjen e ekspertimit daktiloskopik vlerësues dhe biologjik për syzet e gjetura, me qëllim për të përcaktuar nëse konstatohen gjurmë papilare apo mostra gjenetike të vlefshmepër krahasim.</w:t>
      </w:r>
    </w:p>
    <w:p w:rsidR="00076E72" w:rsidRPr="00ED5552" w:rsidRDefault="00076E72" w:rsidP="00076E72">
      <w:pPr>
        <w:pStyle w:val="ListParagraph"/>
        <w:numPr>
          <w:ilvl w:val="1"/>
          <w:numId w:val="33"/>
        </w:numPr>
        <w:tabs>
          <w:tab w:val="left" w:pos="990"/>
        </w:tabs>
        <w:spacing w:before="100" w:beforeAutospacing="1"/>
        <w:ind w:left="0" w:firstLine="540"/>
        <w:jc w:val="both"/>
        <w:rPr>
          <w:sz w:val="24"/>
          <w:szCs w:val="24"/>
        </w:rPr>
      </w:pPr>
      <w:r w:rsidRPr="00ED5552">
        <w:rPr>
          <w:sz w:val="24"/>
          <w:szCs w:val="24"/>
        </w:rPr>
        <w:lastRenderedPageBreak/>
        <w:t xml:space="preserve">Në funksion të hetimit të kësaj çështje janë administruar të gjitha pamjet filmike që tregojnë rrugën e ndjekur të kamionit me kontenierin. </w:t>
      </w:r>
    </w:p>
    <w:p w:rsidR="00076E72" w:rsidRPr="00ED5552" w:rsidRDefault="00076E72" w:rsidP="00076E72">
      <w:pPr>
        <w:pStyle w:val="ListParagraph"/>
        <w:numPr>
          <w:ilvl w:val="1"/>
          <w:numId w:val="33"/>
        </w:numPr>
        <w:tabs>
          <w:tab w:val="left" w:pos="990"/>
        </w:tabs>
        <w:spacing w:before="100" w:beforeAutospacing="1"/>
        <w:ind w:left="0" w:firstLine="540"/>
        <w:jc w:val="both"/>
        <w:rPr>
          <w:sz w:val="24"/>
          <w:szCs w:val="24"/>
        </w:rPr>
      </w:pPr>
      <w:r w:rsidRPr="00ED5552">
        <w:rPr>
          <w:sz w:val="24"/>
          <w:szCs w:val="24"/>
        </w:rPr>
        <w:t>Në vijim, janë pyetur rreth faktit objekt të këtij procedimi personat që mund të kishin dijeni rreth tij, konkretisht, shtetasit Denis Shabani, me detyrë Drejtori i Degës së Doganës Durrës, Petrit Pjetri, me detyrë shef sektori i kufirit në Drejtorinë Vendore të Kufirit dhe Migracionit Durrës, Gentian Xhaferri, me detyrë shef i seksionit</w:t>
      </w:r>
      <w:r w:rsidR="00F86292" w:rsidRPr="00ED5552">
        <w:rPr>
          <w:sz w:val="24"/>
          <w:szCs w:val="24"/>
        </w:rPr>
        <w:t xml:space="preserve"> </w:t>
      </w:r>
      <w:r w:rsidRPr="00ED5552">
        <w:rPr>
          <w:sz w:val="24"/>
          <w:szCs w:val="24"/>
        </w:rPr>
        <w:t xml:space="preserve">të Hetimit dhe Zbatimit të Masave Plotësuese për Kontrollin e Territorit në Drejtorinë Vendore të Kufirit dhe Migracionit Durrës, Dashamir Disha, në atë kohë shef i Stacionit të Policisë Kufitare Port Durrës, Alfred Shima, me detyrë në atë kohëpërgjegjës i turnit në Stacionin e Policisë Kufitare Porti Durrës Pirro Vengu, me detyrë drejtor i Autoritetit Portual Durrës, Nikollaq Dhima, me detyrë specialist transporti dhe kontrolli kontenierësh në shoqërinë “Mediterranean Shipping Company”, të cilët kanë deklaruar mbi  dijeninë e tyre për çështjen... </w:t>
      </w:r>
    </w:p>
    <w:p w:rsidR="00076E72" w:rsidRPr="00ED5552" w:rsidRDefault="00076E72" w:rsidP="00076E72">
      <w:pPr>
        <w:pStyle w:val="ListParagraph"/>
        <w:numPr>
          <w:ilvl w:val="1"/>
          <w:numId w:val="33"/>
        </w:numPr>
        <w:tabs>
          <w:tab w:val="left" w:pos="990"/>
        </w:tabs>
        <w:spacing w:before="100" w:beforeAutospacing="1"/>
        <w:ind w:left="0" w:firstLine="540"/>
        <w:jc w:val="both"/>
        <w:rPr>
          <w:i/>
          <w:iCs/>
          <w:sz w:val="24"/>
          <w:szCs w:val="24"/>
        </w:rPr>
      </w:pPr>
      <w:r w:rsidRPr="00ED5552">
        <w:rPr>
          <w:sz w:val="24"/>
          <w:szCs w:val="24"/>
        </w:rPr>
        <w:t xml:space="preserve">Në vijim, janë pyetur personat nën hetim... të cilët kanë dhënë deklarime lidhur me çështjen...  </w:t>
      </w:r>
    </w:p>
    <w:p w:rsidR="00076E72" w:rsidRPr="00ED5552" w:rsidRDefault="00076E72" w:rsidP="00076E72">
      <w:pPr>
        <w:pStyle w:val="ListParagraph"/>
        <w:numPr>
          <w:ilvl w:val="0"/>
          <w:numId w:val="33"/>
        </w:numPr>
        <w:tabs>
          <w:tab w:val="left" w:pos="990"/>
          <w:tab w:val="left" w:pos="1080"/>
        </w:tabs>
        <w:ind w:left="0" w:firstLine="540"/>
        <w:jc w:val="both"/>
        <w:rPr>
          <w:i/>
          <w:iCs/>
          <w:sz w:val="24"/>
          <w:szCs w:val="24"/>
        </w:rPr>
      </w:pPr>
      <w:r w:rsidRPr="00ED5552">
        <w:rPr>
          <w:sz w:val="24"/>
          <w:szCs w:val="24"/>
        </w:rPr>
        <w:t xml:space="preserve">Në përfundim të hetimit Nr. 2588, të vitit 2023 të pandehurit Adelion Vila, Alketa Kallçaku, Denis Musaj, Egnis Gojani, Durim Halka dhe Hysen Zeqiri janë akuzuar për kryerjen e veprës penale “Shpërdorim i detyrës”, kryer në bashkëpunim, parashikuar nga nenet 248 dhe 25 të Kodit Penal. I pandehuri Durim Halka është akuzuar edhe për veprën penale “Thyerja, heqja, zëvendësimi i shenjave të sigurisë së autoriteteve doganore”, parashikuar nga neni 179\b të Kodit Penal. Me shkresën Nr.1164 </w:t>
      </w:r>
      <w:proofErr w:type="gramStart"/>
      <w:r w:rsidRPr="00ED5552">
        <w:rPr>
          <w:sz w:val="24"/>
          <w:szCs w:val="24"/>
        </w:rPr>
        <w:t>prot</w:t>
      </w:r>
      <w:proofErr w:type="gramEnd"/>
      <w:r w:rsidRPr="00ED5552">
        <w:rPr>
          <w:sz w:val="24"/>
          <w:szCs w:val="24"/>
        </w:rPr>
        <w:t>., datë 30.07.2024 çështja është dërguar për gjykim.</w:t>
      </w:r>
    </w:p>
    <w:p w:rsidR="00076E72" w:rsidRPr="00ED5552" w:rsidRDefault="00076E72" w:rsidP="00076E72">
      <w:pPr>
        <w:pStyle w:val="ListParagraph"/>
        <w:numPr>
          <w:ilvl w:val="0"/>
          <w:numId w:val="33"/>
        </w:numPr>
        <w:tabs>
          <w:tab w:val="left" w:pos="990"/>
          <w:tab w:val="left" w:pos="1080"/>
        </w:tabs>
        <w:ind w:left="0" w:firstLine="540"/>
        <w:jc w:val="both"/>
        <w:rPr>
          <w:i/>
          <w:iCs/>
          <w:sz w:val="24"/>
          <w:szCs w:val="24"/>
        </w:rPr>
      </w:pPr>
      <w:r w:rsidRPr="00ED5552">
        <w:rPr>
          <w:b/>
          <w:sz w:val="24"/>
          <w:szCs w:val="24"/>
        </w:rPr>
        <w:t>Gjykata e</w:t>
      </w:r>
      <w:r w:rsidRPr="00ED5552">
        <w:rPr>
          <w:rFonts w:eastAsia="MS Mincho"/>
          <w:b/>
          <w:sz w:val="24"/>
          <w:szCs w:val="24"/>
        </w:rPr>
        <w:t xml:space="preserve"> Shkallës së Parë të Juridiksionit të Përgjithshëm </w:t>
      </w:r>
      <w:r w:rsidRPr="00ED5552">
        <w:rPr>
          <w:b/>
          <w:bCs/>
          <w:sz w:val="24"/>
          <w:szCs w:val="24"/>
        </w:rPr>
        <w:t>Durrës</w:t>
      </w:r>
      <w:r w:rsidRPr="00ED5552">
        <w:rPr>
          <w:rFonts w:eastAsia="MS Mincho"/>
          <w:b/>
          <w:bCs/>
          <w:sz w:val="24"/>
          <w:szCs w:val="24"/>
        </w:rPr>
        <w:t>,</w:t>
      </w:r>
      <w:r w:rsidRPr="00ED5552">
        <w:rPr>
          <w:rFonts w:eastAsia="MS Mincho"/>
          <w:b/>
          <w:sz w:val="24"/>
          <w:szCs w:val="24"/>
        </w:rPr>
        <w:t xml:space="preserve"> </w:t>
      </w:r>
      <w:r w:rsidRPr="00ED5552">
        <w:rPr>
          <w:rFonts w:eastAsia="MS Mincho"/>
          <w:bCs/>
          <w:sz w:val="24"/>
          <w:szCs w:val="24"/>
        </w:rPr>
        <w:t xml:space="preserve">me vendimin </w:t>
      </w:r>
      <w:r w:rsidRPr="00ED5552">
        <w:rPr>
          <w:bCs/>
          <w:sz w:val="24"/>
          <w:szCs w:val="24"/>
        </w:rPr>
        <w:t>nr. 11-2024-6892, datë 04.12.2024</w:t>
      </w:r>
      <w:r w:rsidRPr="00ED5552">
        <w:rPr>
          <w:bCs/>
          <w:i/>
          <w:iCs/>
          <w:sz w:val="24"/>
          <w:szCs w:val="24"/>
        </w:rPr>
        <w:t xml:space="preserve">, </w:t>
      </w:r>
      <w:r w:rsidRPr="00ED5552">
        <w:rPr>
          <w:rStyle w:val="FontStyle16"/>
          <w:rFonts w:ascii="Times New Roman" w:hAnsi="Times New Roman" w:cs="Times New Roman"/>
          <w:bCs/>
          <w:sz w:val="24"/>
          <w:szCs w:val="24"/>
        </w:rPr>
        <w:t>ka vendosur:</w:t>
      </w:r>
    </w:p>
    <w:p w:rsidR="00076E72" w:rsidRPr="00ED5552" w:rsidRDefault="00076E72" w:rsidP="00076E72">
      <w:pPr>
        <w:pStyle w:val="ListParagraph"/>
        <w:numPr>
          <w:ilvl w:val="1"/>
          <w:numId w:val="39"/>
        </w:numPr>
        <w:ind w:left="540"/>
        <w:jc w:val="both"/>
        <w:rPr>
          <w:sz w:val="24"/>
          <w:szCs w:val="24"/>
        </w:rPr>
      </w:pPr>
      <w:r w:rsidRPr="00ED5552">
        <w:rPr>
          <w:sz w:val="24"/>
          <w:szCs w:val="24"/>
        </w:rPr>
        <w:t xml:space="preserve">Deklarimin fajtor të të pandehurit </w:t>
      </w:r>
      <w:r w:rsidRPr="00ED5552">
        <w:rPr>
          <w:bCs/>
          <w:sz w:val="24"/>
          <w:szCs w:val="24"/>
        </w:rPr>
        <w:t>Adelion Vila</w:t>
      </w:r>
      <w:r w:rsidRPr="00ED5552">
        <w:rPr>
          <w:sz w:val="24"/>
          <w:szCs w:val="24"/>
        </w:rPr>
        <w:t xml:space="preserve"> për veprën penale “Shpërdorimi i detyrës”, i kryer në bashkëpunim, të parashikuar nga 248-25 i Kodit Penal dënimin e tij me 5 (pesë) vite burgim. Në aplikim të gjykimit të shkurtuar të pandehurit Adelion Vila i zbritet 1/3 e</w:t>
      </w:r>
      <w:r w:rsidR="00F86292" w:rsidRPr="00ED5552">
        <w:rPr>
          <w:sz w:val="24"/>
          <w:szCs w:val="24"/>
        </w:rPr>
        <w:t xml:space="preserve"> </w:t>
      </w:r>
      <w:r w:rsidRPr="00ED5552">
        <w:rPr>
          <w:sz w:val="24"/>
          <w:szCs w:val="24"/>
        </w:rPr>
        <w:t>dënimit të dhënë dhe dënohet përfundimisht me 3 vite e 4 muaj burgim. Në përllogaritjen e dënimit të merret koha e vuajtur në paraburgim duke filluar nga dita e ndalimit në datë 14.12.2023. Vuajtja e dënimit të bëhet në një burg të sigurisë</w:t>
      </w:r>
      <w:r w:rsidR="00F86292" w:rsidRPr="00ED5552">
        <w:rPr>
          <w:sz w:val="24"/>
          <w:szCs w:val="24"/>
        </w:rPr>
        <w:t xml:space="preserve"> </w:t>
      </w:r>
      <w:r w:rsidRPr="00ED5552">
        <w:rPr>
          <w:sz w:val="24"/>
          <w:szCs w:val="24"/>
        </w:rPr>
        <w:t>së zakonshme.</w:t>
      </w:r>
    </w:p>
    <w:p w:rsidR="00076E72" w:rsidRPr="00ED5552" w:rsidRDefault="00076E72" w:rsidP="00076E72">
      <w:pPr>
        <w:pStyle w:val="ListParagraph"/>
        <w:numPr>
          <w:ilvl w:val="1"/>
          <w:numId w:val="39"/>
        </w:numPr>
        <w:ind w:left="540"/>
        <w:jc w:val="both"/>
        <w:rPr>
          <w:sz w:val="24"/>
          <w:szCs w:val="24"/>
        </w:rPr>
      </w:pPr>
      <w:r w:rsidRPr="00ED5552">
        <w:rPr>
          <w:sz w:val="24"/>
          <w:szCs w:val="24"/>
        </w:rPr>
        <w:t xml:space="preserve">Deklarimin fajtor të të pandehurës </w:t>
      </w:r>
      <w:r w:rsidRPr="00ED5552">
        <w:rPr>
          <w:bCs/>
          <w:sz w:val="24"/>
          <w:szCs w:val="24"/>
        </w:rPr>
        <w:t>Alketa Kallçaku</w:t>
      </w:r>
      <w:r w:rsidRPr="00ED5552">
        <w:rPr>
          <w:sz w:val="24"/>
          <w:szCs w:val="24"/>
        </w:rPr>
        <w:t xml:space="preserve"> për veprën penale “Shpërdorimi i detyrës”, i kryer në bashkëpunim, të parashikuar nga 248-25 i Kodit Penal dhe bazuar në këtë dispozitë dënimin e saj me 18 muaj burgim. Në aplikim të gjykimit të shkurtuar të pandehurës i ulet 1/3 e dënimit të dhënë duke u dënuar përfundimisht me 12 muaj burgim. Në përllogaritjen e dënimit të merret parasysh koha e vuajtur me masën e sigurimit “arrest në shtëpi” duke filluar nga dita e ndalimit në </w:t>
      </w:r>
      <w:r w:rsidR="00F86292" w:rsidRPr="00ED5552">
        <w:rPr>
          <w:sz w:val="24"/>
          <w:szCs w:val="24"/>
        </w:rPr>
        <w:t xml:space="preserve">date </w:t>
      </w:r>
      <w:r w:rsidRPr="00ED5552">
        <w:rPr>
          <w:sz w:val="24"/>
          <w:szCs w:val="24"/>
        </w:rPr>
        <w:t>14.12.2023 konkretisht 11 muaj e 21 ditë.</w:t>
      </w:r>
    </w:p>
    <w:p w:rsidR="00076E72" w:rsidRPr="00ED5552" w:rsidRDefault="00076E72" w:rsidP="00076E72">
      <w:pPr>
        <w:pStyle w:val="ListParagraph"/>
        <w:numPr>
          <w:ilvl w:val="1"/>
          <w:numId w:val="39"/>
        </w:numPr>
        <w:ind w:left="540"/>
        <w:jc w:val="both"/>
        <w:rPr>
          <w:sz w:val="24"/>
          <w:szCs w:val="24"/>
        </w:rPr>
      </w:pPr>
      <w:r w:rsidRPr="00ED5552">
        <w:rPr>
          <w:sz w:val="24"/>
          <w:szCs w:val="24"/>
        </w:rPr>
        <w:t xml:space="preserve">Deklarimin fajtor të të pandehurit </w:t>
      </w:r>
      <w:r w:rsidRPr="00ED5552">
        <w:rPr>
          <w:bCs/>
          <w:sz w:val="24"/>
          <w:szCs w:val="24"/>
        </w:rPr>
        <w:t>Denis Musaj</w:t>
      </w:r>
      <w:r w:rsidRPr="00ED5552">
        <w:rPr>
          <w:sz w:val="24"/>
          <w:szCs w:val="24"/>
        </w:rPr>
        <w:t xml:space="preserve"> për veprën penale “Shpërdorimi i detyrës”, i kryer në bashkëpunim, të parashikuar nga 248-25 i Kodit Penal dhe bazuar në këtë dispozitë dënimin e tij me 12 muaj burgim. Aplikimin e gjykimit të shkurtuar duke i’u zbritur të pandehurti 1/3 e dënimit, dhe dënimin përfudimisht të të pandehurit Denis Musaj me 9 (nëntë) muaj burgim; Në aplikim të nenit 59 të Kodit Penal, të pezullohet ekzekutimi i vendimit me burgim duke u vendosur i pandehuri të mbaj kontrakte me Zyrën e Shërbimit të provës në një afat prej 18 (tetëmbëdhjetë muajsh) me kushtin që gjatë kohës së provës të mos kryejë vepër tjetër penale.</w:t>
      </w:r>
    </w:p>
    <w:p w:rsidR="00076E72" w:rsidRPr="00ED5552" w:rsidRDefault="00076E72" w:rsidP="00076E72">
      <w:pPr>
        <w:pStyle w:val="ListParagraph"/>
        <w:ind w:left="540"/>
        <w:jc w:val="both"/>
        <w:rPr>
          <w:sz w:val="24"/>
          <w:szCs w:val="24"/>
        </w:rPr>
      </w:pPr>
      <w:proofErr w:type="gramStart"/>
      <w:r w:rsidRPr="00ED5552">
        <w:rPr>
          <w:sz w:val="24"/>
          <w:szCs w:val="24"/>
        </w:rPr>
        <w:t>Shuarjen e masës së sigurimit personal “Detyrimi për t'u paraqitur në policinë gjyqësore”, të parashikuar nganeni 234 i K.Pr. Penale, për të pandehurin Denis Musaj.</w:t>
      </w:r>
      <w:proofErr w:type="gramEnd"/>
    </w:p>
    <w:p w:rsidR="00076E72" w:rsidRPr="00ED5552" w:rsidRDefault="00076E72" w:rsidP="00076E72">
      <w:pPr>
        <w:pStyle w:val="ListParagraph"/>
        <w:numPr>
          <w:ilvl w:val="1"/>
          <w:numId w:val="39"/>
        </w:numPr>
        <w:ind w:left="540"/>
        <w:jc w:val="both"/>
        <w:rPr>
          <w:sz w:val="24"/>
          <w:szCs w:val="24"/>
        </w:rPr>
      </w:pPr>
      <w:r w:rsidRPr="00ED5552">
        <w:rPr>
          <w:sz w:val="24"/>
          <w:szCs w:val="24"/>
        </w:rPr>
        <w:t xml:space="preserve">Deklarimin fajtor të të pandehurit </w:t>
      </w:r>
      <w:r w:rsidRPr="00ED5552">
        <w:rPr>
          <w:bCs/>
          <w:sz w:val="24"/>
          <w:szCs w:val="24"/>
        </w:rPr>
        <w:t>Egnis Gojani</w:t>
      </w:r>
      <w:r w:rsidRPr="00ED5552">
        <w:rPr>
          <w:sz w:val="24"/>
          <w:szCs w:val="24"/>
        </w:rPr>
        <w:t xml:space="preserve"> për veprën penale “Shpërdorimi i detyrës”, i kryer në bashkëpunim, të parashikuar nga 248-25 i Kodit Penal dhe bazuar në këtë dispozitë dënimin e tij me 2 (</w:t>
      </w:r>
      <w:proofErr w:type="gramStart"/>
      <w:r w:rsidRPr="00ED5552">
        <w:rPr>
          <w:sz w:val="24"/>
          <w:szCs w:val="24"/>
        </w:rPr>
        <w:t>dy</w:t>
      </w:r>
      <w:proofErr w:type="gramEnd"/>
      <w:r w:rsidRPr="00ED5552">
        <w:rPr>
          <w:sz w:val="24"/>
          <w:szCs w:val="24"/>
        </w:rPr>
        <w:t xml:space="preserve">) vite e 3 muaj burgim. Aplikimin e gjykimit të shkurtuar duke </w:t>
      </w:r>
      <w:proofErr w:type="gramStart"/>
      <w:r w:rsidRPr="00ED5552">
        <w:rPr>
          <w:sz w:val="24"/>
          <w:szCs w:val="24"/>
        </w:rPr>
        <w:t>iu</w:t>
      </w:r>
      <w:proofErr w:type="gramEnd"/>
      <w:r w:rsidRPr="00ED5552">
        <w:rPr>
          <w:sz w:val="24"/>
          <w:szCs w:val="24"/>
        </w:rPr>
        <w:t xml:space="preserve"> zbritur të pandehurit</w:t>
      </w:r>
      <w:r w:rsidR="00F86292" w:rsidRPr="00ED5552">
        <w:rPr>
          <w:sz w:val="24"/>
          <w:szCs w:val="24"/>
        </w:rPr>
        <w:t> 1</w:t>
      </w:r>
      <w:r w:rsidRPr="00ED5552">
        <w:rPr>
          <w:sz w:val="24"/>
          <w:szCs w:val="24"/>
        </w:rPr>
        <w:t xml:space="preserve">/3 e dënimit dhe dënimin përfudimisht të të </w:t>
      </w:r>
      <w:r w:rsidRPr="00ED5552">
        <w:rPr>
          <w:sz w:val="24"/>
          <w:szCs w:val="24"/>
        </w:rPr>
        <w:lastRenderedPageBreak/>
        <w:t>pandehurit Egnis Gojani me 18 muaj burgim.Urdhërohet shuarja e masës së sigurimit personal “arrest në burg” për të pandehurin Egnis Gojani duke filluar nga data 06.12.2024. Urdhërohet lirimi i menjëhershëm i të pandehurit Egnis Gojani nga ambientet e paraburgimit duke filluar nga data 06.12.2024 nëse nuk mbahet për ndonjë shkak tjetër ose me masë tjetër sigurie.</w:t>
      </w:r>
    </w:p>
    <w:p w:rsidR="00076E72" w:rsidRPr="00ED5552" w:rsidRDefault="00076E72" w:rsidP="00076E72">
      <w:pPr>
        <w:pStyle w:val="ListParagraph"/>
        <w:numPr>
          <w:ilvl w:val="1"/>
          <w:numId w:val="39"/>
        </w:numPr>
        <w:ind w:left="540"/>
        <w:jc w:val="both"/>
        <w:rPr>
          <w:sz w:val="24"/>
          <w:szCs w:val="24"/>
        </w:rPr>
      </w:pPr>
      <w:r w:rsidRPr="00ED5552">
        <w:rPr>
          <w:sz w:val="24"/>
          <w:szCs w:val="24"/>
        </w:rPr>
        <w:t>Deklarimin fajtor të të pandehurit Durim Halka për veprën penale “Moskallzim krimi” parashikuar nga neni 300 i K.Penal dhe dënimit e tij me 9 muaj burgim. Në aplikim të gjykimit të shkurtuar të pandehurit i ulet 1/3 e dënimit të dhënë duke u dënuar përfundimisht me 6 muaj burgim. Në përllogaritjen e dënimit të mbahet parasysh koha e vuajtur në paraburgim nga data 18.02.2024-18.04.2024. Vuajtja e dënimit të kryhet në një burg të sigurisë së zakonshme.</w:t>
      </w:r>
    </w:p>
    <w:p w:rsidR="00076E72" w:rsidRPr="00ED5552" w:rsidRDefault="00076E72" w:rsidP="00076E72">
      <w:pPr>
        <w:pStyle w:val="ListParagraph"/>
        <w:numPr>
          <w:ilvl w:val="1"/>
          <w:numId w:val="39"/>
        </w:numPr>
        <w:ind w:left="540"/>
        <w:jc w:val="both"/>
        <w:rPr>
          <w:sz w:val="24"/>
          <w:szCs w:val="24"/>
        </w:rPr>
      </w:pPr>
      <w:r w:rsidRPr="00ED5552">
        <w:rPr>
          <w:sz w:val="24"/>
          <w:szCs w:val="24"/>
        </w:rPr>
        <w:t xml:space="preserve">Deklarimin e pafajshëm të të pandehurit </w:t>
      </w:r>
      <w:r w:rsidRPr="00ED5552">
        <w:rPr>
          <w:bCs/>
          <w:sz w:val="24"/>
          <w:szCs w:val="24"/>
        </w:rPr>
        <w:t>Durim Halka</w:t>
      </w:r>
      <w:r w:rsidRPr="00ED5552">
        <w:rPr>
          <w:sz w:val="24"/>
          <w:szCs w:val="24"/>
        </w:rPr>
        <w:t xml:space="preserve"> për veprën penale “Thyerja, heqja, zëvendësimi i shenjave të sigurisë së autoriteteve doganore”, të parashikuar nga neni 179/b, pasi fakti penal nuk provohet se është kryer nga i pandehuri.</w:t>
      </w:r>
    </w:p>
    <w:p w:rsidR="00076E72" w:rsidRPr="00ED5552" w:rsidRDefault="00076E72" w:rsidP="00076E72">
      <w:pPr>
        <w:pStyle w:val="ListParagraph"/>
        <w:numPr>
          <w:ilvl w:val="1"/>
          <w:numId w:val="39"/>
        </w:numPr>
        <w:ind w:left="540"/>
        <w:jc w:val="both"/>
        <w:rPr>
          <w:sz w:val="24"/>
          <w:szCs w:val="24"/>
        </w:rPr>
      </w:pPr>
      <w:r w:rsidRPr="00ED5552">
        <w:rPr>
          <w:sz w:val="24"/>
          <w:szCs w:val="24"/>
        </w:rPr>
        <w:t xml:space="preserve">Deklarimin e pafajshëm të tëpandehurit </w:t>
      </w:r>
      <w:r w:rsidRPr="00ED5552">
        <w:rPr>
          <w:bCs/>
          <w:sz w:val="24"/>
          <w:szCs w:val="24"/>
        </w:rPr>
        <w:t>Hysen Zeqiri</w:t>
      </w:r>
      <w:r w:rsidRPr="00ED5552">
        <w:rPr>
          <w:sz w:val="24"/>
          <w:szCs w:val="24"/>
        </w:rPr>
        <w:t xml:space="preserve"> për veprën penale “Shpërdorimi i detyrës”, i kryer në bashkëpunim, të parashikuar nga 248-25 i Kodit Penal pasi fakti penal nuk provohet se është kryer nga i pandehuri. Shuarjen e masës së sigurimit personal“arrest në burg”, të parashikuar nga neni 234 i K.Pr.Penale, për të pandehurin Hysen Zeqiri.</w:t>
      </w:r>
    </w:p>
    <w:p w:rsidR="00076E72" w:rsidRPr="00ED5552" w:rsidRDefault="00076E72" w:rsidP="00076E72">
      <w:pPr>
        <w:pStyle w:val="ListParagraph"/>
        <w:numPr>
          <w:ilvl w:val="1"/>
          <w:numId w:val="39"/>
        </w:numPr>
        <w:ind w:left="540"/>
        <w:jc w:val="both"/>
        <w:rPr>
          <w:sz w:val="24"/>
          <w:szCs w:val="24"/>
        </w:rPr>
      </w:pPr>
      <w:r w:rsidRPr="00ED5552">
        <w:rPr>
          <w:sz w:val="24"/>
          <w:szCs w:val="24"/>
        </w:rPr>
        <w:t>Shpenzimet proceduriale në shumën e</w:t>
      </w:r>
      <w:r w:rsidR="00F86292" w:rsidRPr="00ED5552">
        <w:rPr>
          <w:sz w:val="24"/>
          <w:szCs w:val="24"/>
        </w:rPr>
        <w:t xml:space="preserve"> </w:t>
      </w:r>
      <w:r w:rsidRPr="00ED5552">
        <w:rPr>
          <w:sz w:val="24"/>
          <w:szCs w:val="24"/>
        </w:rPr>
        <w:t>17.000 (shtatëmbëdhjetë mijë) lekëve të cilat në bazë të nenit 485/1 të K.Pr.Penale janë parapaguar nga shteti, në bazë të neneve 393/1 dhe 406/4 të K.Pr.Penale, t'i ngarkohen në mënyrë solidare të pandehurve Adelion Vila, Egnis Gojani, Alketa Kallçaku, Denis Musaj, Durim Halka.</w:t>
      </w:r>
    </w:p>
    <w:p w:rsidR="00076E72" w:rsidRPr="00ED5552" w:rsidRDefault="00076E72" w:rsidP="00076E72">
      <w:pPr>
        <w:pStyle w:val="ListParagraph"/>
        <w:numPr>
          <w:ilvl w:val="1"/>
          <w:numId w:val="39"/>
        </w:numPr>
        <w:ind w:left="540"/>
        <w:jc w:val="both"/>
        <w:rPr>
          <w:sz w:val="24"/>
          <w:szCs w:val="24"/>
        </w:rPr>
      </w:pPr>
      <w:r w:rsidRPr="00ED5552">
        <w:rPr>
          <w:sz w:val="24"/>
          <w:szCs w:val="24"/>
        </w:rPr>
        <w:t>Urdhërohet policia gjyqësore dhe Prokuroria në zbatimin e këtij vendimi.</w:t>
      </w:r>
    </w:p>
    <w:p w:rsidR="00076E72" w:rsidRPr="00ED5552" w:rsidRDefault="00076E72" w:rsidP="00076E72">
      <w:pPr>
        <w:pStyle w:val="ListParagraph"/>
        <w:numPr>
          <w:ilvl w:val="1"/>
          <w:numId w:val="39"/>
        </w:numPr>
        <w:ind w:left="540"/>
        <w:jc w:val="both"/>
        <w:rPr>
          <w:sz w:val="24"/>
          <w:szCs w:val="24"/>
        </w:rPr>
      </w:pPr>
      <w:r w:rsidRPr="00ED5552">
        <w:rPr>
          <w:sz w:val="24"/>
          <w:szCs w:val="24"/>
        </w:rPr>
        <w:t xml:space="preserve">Ndaj këtij vendimi lejohet ankim në Gjykatën e Apelit të Juridiksionit të Përgjithshëm Tiranë </w:t>
      </w:r>
      <w:proofErr w:type="gramStart"/>
      <w:r w:rsidRPr="00ED5552">
        <w:rPr>
          <w:sz w:val="24"/>
          <w:szCs w:val="24"/>
        </w:rPr>
        <w:t>brenda</w:t>
      </w:r>
      <w:proofErr w:type="gramEnd"/>
      <w:r w:rsidRPr="00ED5552">
        <w:rPr>
          <w:sz w:val="24"/>
          <w:szCs w:val="24"/>
        </w:rPr>
        <w:t xml:space="preserve"> 15 ditëve duke filluar ky afat nga dita e nesërme e komunikimit të këtij vendimi.</w:t>
      </w:r>
    </w:p>
    <w:p w:rsidR="00076E72" w:rsidRPr="00ED5552" w:rsidRDefault="00076E72" w:rsidP="00076E72">
      <w:pPr>
        <w:pStyle w:val="NormalWeb"/>
        <w:numPr>
          <w:ilvl w:val="1"/>
          <w:numId w:val="33"/>
        </w:numPr>
        <w:tabs>
          <w:tab w:val="left" w:pos="540"/>
          <w:tab w:val="left" w:pos="630"/>
          <w:tab w:val="left" w:pos="810"/>
          <w:tab w:val="left" w:pos="1080"/>
        </w:tabs>
        <w:spacing w:before="0" w:beforeAutospacing="0" w:after="0" w:afterAutospacing="0"/>
        <w:ind w:left="0" w:firstLine="540"/>
        <w:jc w:val="both"/>
        <w:rPr>
          <w:i/>
          <w:iCs/>
          <w:lang w:val="sq-AL"/>
        </w:rPr>
      </w:pPr>
      <w:r w:rsidRPr="00ED5552">
        <w:rPr>
          <w:lang w:val="sq-AL"/>
        </w:rPr>
        <w:t xml:space="preserve">Gjykata </w:t>
      </w:r>
      <w:r w:rsidRPr="00ED5552">
        <w:rPr>
          <w:shd w:val="clear" w:color="auto" w:fill="FFFFFF"/>
          <w:lang w:val="sq-AL"/>
        </w:rPr>
        <w:t xml:space="preserve">e </w:t>
      </w:r>
      <w:r w:rsidRPr="00ED5552">
        <w:rPr>
          <w:rFonts w:eastAsia="MS Mincho"/>
          <w:lang w:val="sq-AL"/>
        </w:rPr>
        <w:t xml:space="preserve">Shkallës së Parë të Juridiksionit të Përgjithshëm </w:t>
      </w:r>
      <w:r w:rsidRPr="00ED5552">
        <w:rPr>
          <w:lang w:val="sq-AL"/>
        </w:rPr>
        <w:t>Durrës, në mbështetje të vendimmarrjes, ndër të tjera ka arsyetuar:</w:t>
      </w:r>
      <w:r w:rsidRPr="00ED5552">
        <w:rPr>
          <w:bCs/>
          <w:lang w:val="sq-AL"/>
        </w:rPr>
        <w:t xml:space="preserve"> </w:t>
      </w:r>
      <w:r w:rsidRPr="00ED5552">
        <w:rPr>
          <w:bCs/>
          <w:i/>
          <w:iCs/>
          <w:lang w:val="sq-AL"/>
        </w:rPr>
        <w:t>“...,</w:t>
      </w:r>
      <w:r w:rsidRPr="00ED5552">
        <w:rPr>
          <w:i/>
          <w:iCs/>
          <w:lang w:val="sq-AL"/>
        </w:rPr>
        <w:t> Nga analiza e faktit dhe provave të paraqitura më sipër, arrihet në konkluzionin se të pandehurit Adelion Vila, Alketa Kallçaku, Denis Musaj, Egnis Gojani, kanë konsumuar në mënyrë kumulative elementët e veprës penale për të cilën akuzohen të parashikuar nga neni 248 i Kodit Penal. Nga interpretimi i kësaj dispozite evidentohet se nga ana objektive kjo figurë e veprës penale, kryhet me veprime ose duke mos kryer veprime, në kundërshtim me ligjin, që përbën mospërmbushje të rregullt të detyrës. Pra, element përbërës i domosdoshëm për cilësimin juridik të veprës është kundërligjshmëria e veprimtarisë së funksionarit publik, prandaj, në çdo rast duhet të referohet në aktin normativ përkatës që rregullon funksionet dhe detyrat e funksionarëve publik. Këtu nuk bëhet fjalë vetëm për ligjin në kuptimin formal, por për çdo akt normativ, të tilla si marrëveshje ndërkombëtare, akte nënligjore, etj...</w:t>
      </w:r>
    </w:p>
    <w:p w:rsidR="00076E72" w:rsidRPr="00ED5552" w:rsidRDefault="00076E72" w:rsidP="00076E72">
      <w:pPr>
        <w:pStyle w:val="NormalWeb"/>
        <w:numPr>
          <w:ilvl w:val="1"/>
          <w:numId w:val="33"/>
        </w:numPr>
        <w:tabs>
          <w:tab w:val="left" w:pos="540"/>
          <w:tab w:val="left" w:pos="630"/>
          <w:tab w:val="left" w:pos="810"/>
          <w:tab w:val="left" w:pos="1080"/>
        </w:tabs>
        <w:spacing w:before="0" w:beforeAutospacing="0" w:after="0" w:afterAutospacing="0"/>
        <w:ind w:left="0" w:firstLine="540"/>
        <w:jc w:val="both"/>
        <w:rPr>
          <w:i/>
          <w:iCs/>
          <w:lang w:val="sq-AL"/>
        </w:rPr>
      </w:pPr>
      <w:r w:rsidRPr="00ED5552">
        <w:rPr>
          <w:i/>
          <w:iCs/>
          <w:lang w:val="sq-AL"/>
        </w:rPr>
        <w:t xml:space="preserve">Në lidhje me të pandehurin Adelion Vila: Nga analiza e fakteve dhe provave të sipërcituara, gjykata arrin në konkluzionin se provohet tej çdo dyshimi të arsyeshëm se, i pandehuri Adelion Vila, nën cilësinë e punonjësit të policisë, në Drejtorinë Vendore për Kufirin dhe Migarcionin Durrës, njëkohësisht pjesë e strukturës së Njësisë së Përbashkët të Kontrollit të Kontenierëve, në portin e Durrësit, me veprime aktive të kundraligjshme, në kundërshtim me detyrën e tij funksionale dhe në cenim të kësaj të fundit, në kundërshtim me ligjin “Për policinë e shtetit”, Urdhrit të përbashkët me nr. 7231 rot, date 14.04.2022 të Drejtorisë së Përgjithshme të Doganave dhe Nr. 436/2 prot, date 14.04.2022 të Drejtorisë së Përgjithshme të Policisë së Shtetit, “Për bashkëpunimin për kryerjen e procedurave dhe veprimeve të përbashkëta tëa utoriteteve të policisë dhe autoriteteve doganore”, si dhe rregullimeve ligjore të parashikuara në Kodin Doganor dhe akteve nënligjore të dalë nëzbatim të tij, që lidhen me “regjimin e magazimit të ndërmjetëm”, “zonës së transiti”, ka konsumuar në mënyrë kumulative elementët e veprës penale“Shpërdorimi i detyrës” të </w:t>
      </w:r>
      <w:r w:rsidRPr="00ED5552">
        <w:rPr>
          <w:i/>
          <w:iCs/>
          <w:lang w:val="sq-AL"/>
        </w:rPr>
        <w:lastRenderedPageBreak/>
        <w:t>parashikuar nga neni 248 i Kodit Penal. Kështu, i pandehuri Adelion Vila, në kundërshtim me rregullimet ligjore, ka nxjerë nga terminali i kontenierive, kontenierin me numër “SEGU944869”, duke e çuar këtë të fundit në një ambient privat dhe më pas kontrollin e tij në këtë të fundit. Duke vepruar në këtë mënyrë, i pandehuri, i ka sjellë jo vetëm dëm ekonomik shtetit por ka cenuar sigurinë kombëtare. Veprimet në kundërshtim me detyrën, i pandehuri i ka kryer në bashkëpunim me të pandehurit Denis Musaj, Alketa Kallçaku, Egnis Gojani, (ndërsa për Durim Halka dhe Hysen Zeqiri do të arsyetohet në vijim). Këto të fundit, e kanë ndihmuar të pandehurin Adelion Vila që të arrij qëllimin kriminal për nxjerrjen e kontenierit jashtë zonës së terminalit, dhe kontrollin dhe marrjen e sendeve që ndodheshin në të, në një ambient privat, me persona të tjerë, në kundështim të plotë me detyrën e tij funksionale si punonjës i policisë pranë Drejtorisë Vendore për Kufirin dhe Migracionin Durrës dhe të Urdhrit të Përbashkët me Nr. 7231, datë 14.04.2022 të Drejtorisë së Përgjithshme të Policisë së Shtetit, “Për bashkëpunimin për kryerjen e procedurave dhe veprimeve të përbashkëta të autoriteteve të policisë dhe autoriteteve doganore”. Veprimet e të pandehurit janë në kundërshtim me detyrën e tij, pasi ai ka pasur si objekt kryesor të veprimtarisë së tij, sigurinë dhe mbrojtjen e hapësirës portuale e cila është një zonë me rëndësi kombëtare. Fakti që ai ka kryer një sërë veprimesh, duke përfshirë edhe persona të tjerë, ka nxjerrë një kontenier nga porti pa asnjë lloj autorizimi, apo interesa thelbësisht private, bëjnë që veprimet e tij të plotësojë elementet e anës objektive të veprës penale “Shpërdorimit të detyrës”. Këto fakte provohet me provat e administruara në gjykim dhe që gjenden në fashikullin e gjykimit, përfshi këtu pamjet filmike, gjurmët që ka lënë në sistemin portual hyrja dhe dalja e kontenierit, deklarimet e të bashkëpandehurve të tjetër, drejtuesit të porti Pirro Vengu etj të pasqyruara hollësisht në pjesën hyrëse të këtij vendimi. Motivi i kryerjes së këtij veprimi edhe pse nuk ka rëndësi për kualifikimin e faktit, ka rëndësi për individualizimin e dënimit. Sa i takon pasojës që ka ardhur, është e vërtetë qënë këtë gjykim nuk u provua se cila qe natyra e sendeve që janë fshehur në kontenier, ndërsa provohet se janë marrë dy arka me banane, por veprimet e kryera në tërësi kanë cenuar interesat e shtetit dhe angazhimin për të garantuar jo vetëm cilësinë e shërbimeve të ofruara në portin më të madh në Shqipëri, por edhe faktin se veprimet të tilla nëse lejohen dhe tolerohen mund të përbëjnë precedentë për veprimet edhe më të rrezikshme në të ardhmen. Përveç interesave shtetërore, janë cenuar edhe interesat e privatit, pasi rezulton se kontenieri ishte në pronësi të shoqërisë ZICO SHA që ka të drejtat për ta disponuar lirisht atë. Askush nuk mund të cenojë pronën e tjetrit pa pasur një shkak të ligjshëm. Përveç kësaj shoqëria Zico është përfshirë edhe në procedurat gjyqësore në mënyrë të pa provokuar prej saj për shkak të sjelljeve të paligjshme të të pandehurit. I pandehuri nuk ka pasur asnjë shkak ligjor për të nxjerrë kontenierin jashtë zonës ku presupozohej të ruhej dhe me veprimet e tij ka cenuar gjithë besueshmërinë e autoritetit portual në menaxhimin e situatave të tilla. Aq më tepër ai kishte një detyrë të tillë, si oficer policie që duhet të raportojë dhe referojë rastet e kundërligjshme dhe jo ti inkurajojë dhe kryejë vetë ato. Prandaj bazuar në thëniet e vetë të pandehurit, deklarimet e të pandehurve të tjerë, pamjet filmike, aktet shkresore të administruara, ky shtetas duhet të deklarohet fajtor dhe të dënohet për veprimet e kryera prejtij.</w:t>
      </w:r>
    </w:p>
    <w:p w:rsidR="00076E72" w:rsidRPr="00ED5552" w:rsidRDefault="00076E72" w:rsidP="00076E72">
      <w:pPr>
        <w:pStyle w:val="NormalWeb"/>
        <w:numPr>
          <w:ilvl w:val="1"/>
          <w:numId w:val="33"/>
        </w:numPr>
        <w:tabs>
          <w:tab w:val="left" w:pos="540"/>
          <w:tab w:val="left" w:pos="630"/>
          <w:tab w:val="left" w:pos="810"/>
          <w:tab w:val="left" w:pos="1080"/>
        </w:tabs>
        <w:spacing w:before="0" w:beforeAutospacing="0" w:after="0" w:afterAutospacing="0"/>
        <w:ind w:left="0" w:firstLine="540"/>
        <w:jc w:val="both"/>
        <w:rPr>
          <w:i/>
          <w:iCs/>
          <w:lang w:val="sq-AL"/>
        </w:rPr>
      </w:pPr>
      <w:r w:rsidRPr="00ED5552">
        <w:rPr>
          <w:i/>
          <w:iCs/>
          <w:lang w:val="nl-NL"/>
        </w:rPr>
        <w:t xml:space="preserve">Në lidhje me të pandehurën Alketa Kallçaku. Nga analiza e fakteve dhe provave të sipërcituara, gjykata krijon bindjen se provohet tej çdo dyshimi të arsyeshëm se e pandehura Alketa Kallçaku, nën cilësinë e inspektores së portës pranë shoqërisë “Mariner Adriatic” SHPK, me veprime aktive të kundraligjshme, në kundërshtim me detyrën e saj funksionale që konsiston ndër të tjera në kontrollin, regjistrimin dhe lëvizjet e kontenierëve, monitorimin e mbarëvajtjes së punës për hyrje/daljet depozitimin e kontenierëve në terminal,në cenim të kësaj të fundit, si dhe rregullimeve ligjore të parashikuara në Kodin Doganor dhe akteve nënligjore të dalë në zbatim të tij, që lidhen me“regjimin e magazimit të ndërmjetëm”, “zonës së transitit”, ka konsumuar në mënyrë kumulative elementët e veprës penale “Shpërdorimi i detyrës” tëparashikuar nga neni 248 i Kodit Penal. Kështu, e pandehura, </w:t>
      </w:r>
      <w:r w:rsidRPr="00ED5552">
        <w:rPr>
          <w:i/>
          <w:iCs/>
          <w:lang w:val="nl-NL"/>
        </w:rPr>
        <w:lastRenderedPageBreak/>
        <w:t>duke keqpërdorur atributet që i jepte detyra e saj, ka lejuar cenimin e regjimit të hyrjeve së automjeteve dhe kontenierëve, në zonën e tranzitit brenda Portit Durrës. Ajo ka kryer regjistrimin e kamionit në portën hyrëse pa dokumentacionin përkatës, pasi drejtuesi i kamionit nuk ka pasur një praktikë doganore dhe autorizim nga agjencia dhe shoqëria “Zico” SHA për tërheqjen e kontenierit apo autoriteti portual dhe institucionet/shoqëritë e tjera për lëshimin e tij. Veprimet në kundërshtim me detyrën, e pandehura i ka kryer në bashkëpunim me të pandehurin Adelion Vila.Gjithashtu, me veprimet e saj, shtetasja Alketa Kallçaku, ka ndihmuar shtetasin Adelion Vila që të arrij qëllimin kriminal për nxjerrjen e kontenierit jashtë zonës së terminalit, dhe kontrollin dhe marrjen e sendeve që ndodheshin në të, në një ambient privat, me persona të tjerë, në kundështim të plotë me detyrën e tij funksionale si punonjës i policisë pranë Drejtorisë Vendore për Kufirin dhe Migracionin Durrës dhe të Urdhrit të përbashkët me nr. 7231 prot, datë14.04.2022 të Drejtorisë së Përgjithshme të Doganave dhe Nr. 436/2 prot, datë14.04.2022 të Drejtorisë së Përgjithshme të Policisë së Shtetit, “Për bashkëpuniminpër kryerjen e procedurave dhe veprimeve të përbashkëta të autoriteteve tëpolicisë dhe autoriteteve doganore”.</w:t>
      </w:r>
    </w:p>
    <w:p w:rsidR="00076E72" w:rsidRPr="00ED5552" w:rsidRDefault="00076E72" w:rsidP="00076E72">
      <w:pPr>
        <w:pStyle w:val="NormalWeb"/>
        <w:numPr>
          <w:ilvl w:val="1"/>
          <w:numId w:val="33"/>
        </w:numPr>
        <w:tabs>
          <w:tab w:val="left" w:pos="540"/>
          <w:tab w:val="left" w:pos="630"/>
          <w:tab w:val="left" w:pos="810"/>
          <w:tab w:val="left" w:pos="1080"/>
        </w:tabs>
        <w:spacing w:before="0" w:beforeAutospacing="0" w:after="0" w:afterAutospacing="0"/>
        <w:ind w:left="0" w:firstLine="540"/>
        <w:jc w:val="both"/>
        <w:rPr>
          <w:i/>
          <w:iCs/>
          <w:lang w:val="sq-AL"/>
        </w:rPr>
      </w:pPr>
      <w:r w:rsidRPr="00ED5552">
        <w:rPr>
          <w:i/>
          <w:iCs/>
          <w:lang w:val="nl-NL"/>
        </w:rPr>
        <w:t>Në lidhje me të pandehurin Denis Musaj. Nga analiza e fakteve dhe provave të sipërcituara, arrijmë në konkluzionin se, i pandehuri Denis Musaj, nën cilësinë e inspektorit të portës pranë shoqërisë “Mariner Adriatic” SHPK, me veprime aktive të kundraligjshme, në kundërshtim me detyrën e tij funksionale që konsiston ndër të tjera në kontrollin, regjistrimin dhe lëvizje te kontenierëve, monitorimin e mbarvajtjes së punës për hyrje/daljet depozitimin e kontenierëve në terminal, në cenim të kësaj të fundit, si dhe rregullimeve ligjore të parashikuara në Kodin Doganor dhe akteve nënligjore të dalë nëzbatim të tij, që lidhen me “regjimin e magazimit të ndërmjetëm”, “zonës së transitit”, ka konsumuar në mënyrë kumulative elementët e veprës penale“Shpërdorimi i detyrës” të parashikuar nga neni 248 i Kodit Penal.</w:t>
      </w:r>
      <w:r w:rsidRPr="00ED5552">
        <w:rPr>
          <w:lang w:val="nl-NL"/>
        </w:rPr>
        <w:t xml:space="preserve"> </w:t>
      </w:r>
      <w:r w:rsidRPr="00ED5552">
        <w:rPr>
          <w:i/>
          <w:iCs/>
          <w:lang w:val="nl-NL"/>
        </w:rPr>
        <w:t>Kështu, i pandehuri, duke keqpërdorur atributet që i jepte detyra e tij, ka lejuar cenimin e regjimit të daljeve së automjeteve dhe kontenierëve, në zonën e tranzitit brenda Portit Durrës. Ai ka kryer regjistrimin e kamionit në portën dalëse dhe ka lejuar daljen e kontenierit pa dokumentacionin përkatës, pasi drejtuesi i kamionit nuk ka pasur një praktikë doganore dhe autorizim nga agjencia dhe shoqëria “Zico”SHA për tërheqjen e kontenierit apo autoriteti portual dhe institucionet/shoqëritë e tjera për lëshimin e tij. Veprimet në kundërshtim me detyrën, i pandehuri i ka kryer në bashkëpunim me të pandehurin Adelion Vila.Gjithashtu, me veprimet e tij, shtetasi Denis Musaj, ka ndihmuar shtetasin Adelion Vila që të arrij qëllimin kriminal për nxjerrjen e kontenierit jashtë zonës së terminalit, dhe kontrollin dhe marrjen e sendeve që ndodheshin në të, në një ambient privat, me persona të tjerë, në kundështim të plotë me detyrën e tij funksionale si punonjës i policisë pranë Drejtorisë Vendore për Kufirin dhe Migracionin Durrës dhe të Urdhrit të përbashkët me nr. 7231 prot, date 14.04.2022 të Drejtorisë së Përgjithshme të Doganave dhe Nr. 436/2 prot, datë 14.04.2022 të Drejtorisë së Përgjithshme të Policisë së Shtetit, “Për bashkëpunimin për kryerjen e procedurave dhe veprimeve të përbashkëta të autoriteteve të policisë dhe autoriteteve doganore”.</w:t>
      </w:r>
    </w:p>
    <w:p w:rsidR="00076E72" w:rsidRPr="00ED5552" w:rsidRDefault="00076E72" w:rsidP="00076E72">
      <w:pPr>
        <w:pStyle w:val="NormalWeb"/>
        <w:numPr>
          <w:ilvl w:val="1"/>
          <w:numId w:val="33"/>
        </w:numPr>
        <w:tabs>
          <w:tab w:val="left" w:pos="540"/>
          <w:tab w:val="left" w:pos="630"/>
          <w:tab w:val="left" w:pos="810"/>
          <w:tab w:val="left" w:pos="1080"/>
        </w:tabs>
        <w:spacing w:before="0" w:beforeAutospacing="0" w:after="0" w:afterAutospacing="0"/>
        <w:ind w:left="0" w:firstLine="540"/>
        <w:jc w:val="both"/>
        <w:rPr>
          <w:i/>
          <w:iCs/>
          <w:lang w:val="sq-AL"/>
        </w:rPr>
      </w:pPr>
      <w:r w:rsidRPr="00ED5552">
        <w:rPr>
          <w:i/>
          <w:iCs/>
          <w:lang w:val="nl-NL"/>
        </w:rPr>
        <w:t xml:space="preserve">Në lidhje me të pandehurin Egnis Gojani. Nga analiza e fakteve dhe provave të sipërcituara, arrijmë në konkluzionin se, i pandehuri Egnis Gojani,nën cilësinë e inspektorit të portës pranë shoqërisë “Mariner Adriatic” SHPK, me veprime aktive të kundraligjshme, në kundërshtim me detyrën e tij funksionale që konsiston ndër të tjera në kontrollin, regjistrimin dhe lëvizjete kontenierëve, monitorimin e mbarvajtjes së punës për hyrje/daljet depozitimin e kontenierëve në terminal, në cenim të kësaj të fundit, si dhe rregullimeve ligjore të parashikuara në Kodin Doganor dhe akteve nënligjore të dalë në zbatim të tij, që lidhen me “regjimin e magazimit të ndërmjetëm”, “zonës së transitit”, ka konsumuar në mënyrë kumulative elementët e veprës penale“Shpërdorimi i detyrës” të parashikuar nga neni 248 i Kodit Penal. Kështu, i pandehuri, duke keqpërdorur atributet që i jepte detyra e tijj, ka lejuar cënimin e regjimit tëhyrjeve së automjeteve dhe kontenierëve, në zonën e tranzitit brenda Portit Durrës. Ai ka kryer regjistrimin e kamionit në portën hyrëse pa dokumentacionin </w:t>
      </w:r>
      <w:r w:rsidRPr="00ED5552">
        <w:rPr>
          <w:i/>
          <w:iCs/>
          <w:lang w:val="nl-NL"/>
        </w:rPr>
        <w:lastRenderedPageBreak/>
        <w:t>përkatës, pasi drejtuesi i kamionit nuk ka pasur një praktikë doganore dhe autorizim nga agjencia dhe shoqëria "Zico" sh.a për tërheqjen e kontenierit apo autoriteti portual dhe institucionet/shoqëritë e tjera për lëshimin e tij. Veprimet në kundërshtim me detyrën, i pandehuri i ka kryer në bashkëpunim me të pandehurin Adelion Vila.Gjithashtu, me veprimet e tij, shtetasi Egnis Gojani, ka ndihmuar shtetasin Adelion Vila që të arrij qëllimin kriminal për nxjerrjen e kontenierit jashtë zonës së terminalit, dhe kontrollin dhe marrjen e sendeve që ndodheshin në të, në një ambient privat, me persona të tjerë, në kundështim të plotë me detyrën e tij funksionale si punonjës i policisë pranë Drejtorisë Vendore për Kufirin dhe Migracionin Durrës dhe të Urdhrit të përbashkët me nr.7231 prot, datë14.04.2022 të Drejtorisë së Përgjithshme të Doganave dhe Nr. 436/2 prot, datë14.04.2022 të Drejtorisë së Përgjithshme të Policisë së Shtetit, “Për bashkëpunimin për kryerjen e procedurave dhe veprimeve të përbashkëta të autoriteteve të policisë dhe autoriteteve doganore”. Pra siç u analizuar më sipër, gjykata krijon bindjen tej çdo dyshimi të arsyeshëm se të pandehurit Adelion Vila, Alketa Kallçaku, Egnis Gojani dhe Denis Musaj në bashkëpunim midis tyre kanë konsumuar veprën penale të “Shpërdorimit të detyrës”. Bashkëpunimi parashikohet nga neni 25 i K.Penal dhe nënkupton kryerjen e veprës penale nga dy ose më shumë persona në saj të një marrëveshjeje të arritur më parë ose në mënyrë të atypëratyshme.(...). Siç rezulton gjatë pamjevefilmike, i pandehuri Adelion Vila ka qenë i pranishëm tek Alketa Kallçaku etj,në momentin që kryheshin veprimet. Ai ka pasur një rol kryesor, në nxitjen e secilit prej tyre që të kryenin veprimet perkatëse dhe veprimet e të pandehurve kanë qenë të koordinuara dhe asnjeri nuk ka sijalizuar autoritetin portual ose eprorët e tyre per ekzistencën e parregullsive. Pretendimet e të pandehurve, Kallçaku,Gojani dhe Musaj se kanë vepruar në përputhje me ligjin, muk rezultojnë nga aktet provuese. E kundërta provohet që ata kanë lejuar dalje/hyrjen dhe rihyrjen e kontenierit pa një praktikë të rregullt doganore nga persona të paautorizuar. Sa më sipër provohet nga aktet në fashikullin e gjykimit dhe të pandehurit duhet të deklarohen fajtor dhe të dënohen.</w:t>
      </w:r>
    </w:p>
    <w:p w:rsidR="00076E72" w:rsidRPr="00ED5552" w:rsidRDefault="00076E72" w:rsidP="00076E72">
      <w:pPr>
        <w:pStyle w:val="NormalWeb"/>
        <w:numPr>
          <w:ilvl w:val="1"/>
          <w:numId w:val="33"/>
        </w:numPr>
        <w:tabs>
          <w:tab w:val="left" w:pos="540"/>
          <w:tab w:val="left" w:pos="630"/>
          <w:tab w:val="left" w:pos="810"/>
          <w:tab w:val="left" w:pos="1080"/>
        </w:tabs>
        <w:spacing w:before="0" w:beforeAutospacing="0" w:after="0" w:afterAutospacing="0"/>
        <w:ind w:left="0" w:firstLine="540"/>
        <w:jc w:val="both"/>
        <w:rPr>
          <w:i/>
          <w:iCs/>
          <w:lang w:val="sq-AL"/>
        </w:rPr>
      </w:pPr>
      <w:r w:rsidRPr="00ED5552">
        <w:rPr>
          <w:i/>
          <w:iCs/>
          <w:lang w:val="nl-NL"/>
        </w:rPr>
        <w:t>Në lidhje me të pandehurit Durim Halka. I pandehuri Durim Halka akuzohet për dy vepra penale. Sipas organit të akuzës, i pandehuri Durim Halka, me veprimet e tij të kundraligishme që konsistojnë në dëmtin dhe heqjen e vulave të kontenierit, me qëllim kontrollin dhe marrjen e sendeve që ndodheshin në të, ka konsumuar në mënyrë kumulative elementët e veprës penale “Thyerja, heqja, zëvendësimi i shenjave te sigurisë së autoritetevedoganore”, të parashikuar nga neni 179/b i Kodit Penal. Kjo vepër penale perfshihet në seksionin e V të Kodit Penal, krimet në fushën doganore dhe ka si objekt marrëdhëniet juridike të vendosura për të garantuar mos shmangien nga kontrolli doganor. Ana objektive e kësaj vepre realizohet nëpërmjet thyerjes, heqjes sëvulës doganore, zëvendësimi, ndërrimi ose falsifikimi i shenjave të tjera tësigurisë të vendosura nga autoritetet doganore. Subjekti mund të jetë i përgjithshëm ose edhe i posaçëm, ndërsa ana subjektive kryhet me dashje direkte me qëllim shmangien e kontrollit doganor. Në rastin konkret për këtë veprim akuzohet i pandehurit Durim Halka; i cili rezulton se është shofer me profesion që punon prej vitesh në zonën e portin dhe në aspektin ligjor rezulton i rregjistruar si person fizik. Rezulton se thyerja e plumbçeve të sigurisë është berë, por qëllimi nuk ka rezultuar shmangia e kontrollit doganor, por marrja e dy arkave me babane në kontenier dhe pasi është mbyllur dhe rivulosur kontenieri është kthyer në port për të vazhduar me procedurat ku në vijim i ështe nënshtruar edhe kontrollit doganor. Prandaj Gjykata vlerëson se nuk përmbushet një element i anës objektive të veprës penale të parashikuar nga neni 179/b të K.Penal… (…) Prandaj bazuar në sa më sipër ky i pandehur për këtë vepër penale duhet të deklarohet i pafajshëm, pasi nuk provohet se është konsumuar prej tij, pasi mungon elementi i anës subjektive pra qëllimi i posaçëm për t’iu shmangur kontrollit doganor.</w:t>
      </w:r>
    </w:p>
    <w:p w:rsidR="00076E72" w:rsidRPr="00ED5552" w:rsidRDefault="00076E72" w:rsidP="00076E72">
      <w:pPr>
        <w:pStyle w:val="NormalWeb"/>
        <w:numPr>
          <w:ilvl w:val="2"/>
          <w:numId w:val="33"/>
        </w:numPr>
        <w:tabs>
          <w:tab w:val="left" w:pos="540"/>
          <w:tab w:val="left" w:pos="630"/>
          <w:tab w:val="left" w:pos="810"/>
          <w:tab w:val="left" w:pos="1170"/>
          <w:tab w:val="left" w:pos="1260"/>
        </w:tabs>
        <w:spacing w:before="0" w:beforeAutospacing="0" w:after="0" w:afterAutospacing="0"/>
        <w:ind w:left="0" w:firstLine="540"/>
        <w:jc w:val="both"/>
        <w:rPr>
          <w:i/>
          <w:iCs/>
          <w:lang w:val="sq-AL"/>
        </w:rPr>
      </w:pPr>
      <w:r w:rsidRPr="00ED5552">
        <w:rPr>
          <w:i/>
          <w:iCs/>
          <w:lang w:val="sq-AL"/>
        </w:rPr>
        <w:t xml:space="preserve">Për akuzën e shpërdorimit të detyrës. Në lidhje me veprimet e tij nëpërmjet marrjes së kontenierit nga terminali i kontenierëve në kundërshtim me të gjitha procedurat doganore dhe policore, shtetasi Durim Halka akuzohet se ka ndihmuar shtetasin Adelion Vila që të arrijë qëllimin kriminal për nxjerrien e kontenierit jashtë zonës së terminalit, dhe </w:t>
      </w:r>
      <w:r w:rsidRPr="00ED5552">
        <w:rPr>
          <w:i/>
          <w:iCs/>
          <w:lang w:val="sq-AL"/>
        </w:rPr>
        <w:lastRenderedPageBreak/>
        <w:t>kontrollin dhe marrjen e sendeve që ndodheshin në të në një ambient privat, me persona të tjerë, në kundërshtim të plotë me detyrën e tij funksionale si punonjës i policisë pranë Drejtorisë Vendore për Kufirin dhe Migracionin Durrës dhe të Urdhrit të përbashkët me nr.7231 prot, datë 14.04.2022 të Drejtorisë së Përgithshme të Doganave dhe Nr.436/2 prot, datë 14.04.2022 të Drejtorisë së Përgjithshme të Policisë së Shtetit, “Për bashkëpunimin për kryerjen e procedurave dhe veprimeve të përbashkëtatë autoriteteve të policisë dhe autoriteteve doganore”. Nisur nga fakti që shpërdorimi i detyrës nga shtetasi Adelion Vila, është kryer edhe si pasojë e ndihmës së dhënë nga personi nën hetim Durim Halka, organi i akuzës ka arriturnë konkluzionin se dhe ky i fundit ka konsumuar në mënyrë kumulatite elementët e veprës penale “Shpërdorimi i detyrës” i kryer në bashkëpunim, te parashikuarnga neni 248-25 të Kodit Penal. Në lidhje me këte fakt gjykata vlerëson të theksojë se referuar nenit 248 të K.Penal, subjekti i kësaj vepre është një person fizik që ka cilësi te posaçme, pra është një funksionar publik që ushtron detyrë publike dhe me veprimet e tij që përbejnë mospërmbushje tërregullt të detyrës shkakton pasojë kriminale. Në rastin konkret rezulton se Durim Halka është person fizik i rregjistruar me NIPT dhe me profesion shofer, pra ushtron një funksion privat dhe nuk ka asnjë cilësi që lidhen me ushtrimin e funksioneve shtetërore ose publike. Ajo që gjykata krijon bindjen se ka ndodhur në rastin konkret, është se i pandehuri Durim Halka edhe pse i ka ditur cilësitë e posaçme të subjektit Adelion Vila, dhe ka konstatuar që veprimet e tij ishin të parregullta, sërisht nën ndikimin e tij ka vazhduar të drejtojë kontenierin etj. Siç ka deklaruar vetë Durim Halka por, edhe të pandehurit e tjerë të cilët e njihnin si shofer të vjetër, ai ka punuar prej vitesh në zonën e portit dhe duhej ta dinte se si veprohej me hyrje-daljen e kontenierëve. Prandaj ai në momentin që ka krijuar bindjen (siç rezulton dhe nga deklarimet e tij) se janë kryer veprimet të kundërligjshme, duhet të kishte reaguar dhe kallzuar rastin në autoritetet ligjzbatuese.</w:t>
      </w:r>
      <w:r w:rsidRPr="00ED5552">
        <w:rPr>
          <w:lang w:val="sq-AL"/>
        </w:rPr>
        <w:t xml:space="preserve"> </w:t>
      </w:r>
      <w:r w:rsidRPr="00ED5552">
        <w:rPr>
          <w:i/>
          <w:iCs/>
          <w:lang w:val="sq-AL"/>
        </w:rPr>
        <w:t xml:space="preserve">Kështu bazuar në neni 375 të KPP Gjykata çmon se vepra penale për të cilën akuzohet i pandehuri Durim Halka duhet të rikualifikohet në “Moskallzim krimi” parashikuar nga neni 300 i K.Penal. </w:t>
      </w:r>
      <w:r w:rsidRPr="00ED5552">
        <w:rPr>
          <w:lang w:val="sq-AL"/>
        </w:rPr>
        <w:t xml:space="preserve">(...)... </w:t>
      </w:r>
      <w:r w:rsidRPr="00ED5552">
        <w:rPr>
          <w:i/>
          <w:iCs/>
          <w:lang w:val="sq-AL"/>
        </w:rPr>
        <w:t>Prandaj bazuar në sa më sipër ky i pandehuri duhet të deklarohet fajtor dhe të dënohet për veprë npenale të parashikuar më sipër.</w:t>
      </w:r>
    </w:p>
    <w:p w:rsidR="00076E72" w:rsidRPr="00ED5552" w:rsidRDefault="00076E72" w:rsidP="00076E72">
      <w:pPr>
        <w:pStyle w:val="NormalWeb"/>
        <w:numPr>
          <w:ilvl w:val="1"/>
          <w:numId w:val="33"/>
        </w:numPr>
        <w:tabs>
          <w:tab w:val="left" w:pos="540"/>
          <w:tab w:val="left" w:pos="630"/>
          <w:tab w:val="left" w:pos="1080"/>
          <w:tab w:val="left" w:pos="1260"/>
        </w:tabs>
        <w:spacing w:before="0" w:beforeAutospacing="0" w:after="0" w:afterAutospacing="0"/>
        <w:ind w:left="0" w:firstLine="540"/>
        <w:jc w:val="both"/>
        <w:rPr>
          <w:i/>
          <w:iCs/>
          <w:u w:val="single"/>
          <w:lang w:val="sq-AL"/>
        </w:rPr>
      </w:pPr>
      <w:r w:rsidRPr="00ED5552">
        <w:rPr>
          <w:i/>
          <w:iCs/>
          <w:lang w:val="nl-NL"/>
        </w:rPr>
        <w:t xml:space="preserve">Në lidhje me të pandehurin Hysen Zeqiri. Prokuroria argumenton në lidhje me këtë të pandehur se, nga analiza e fakteve dhe provave të administruara në gjykim, i pandehuri Hysen Zeqiri, me veprimet e tij, ka ndihmuar shtetasin Adelion Vila që të arrij qëllimin kriminal për nxjerrjen e kontenierit jashtë zonës së terminalit, dhe kontrollin dhe marrjen e sendeve që ndodheshin në të, në një ambient privat, me persona të tjerë, në kundështim të plotë me detyrën e tij funksionale si punonjës i policisë pranë Drejtorisë Vendore për Kufirin dhe Migracionin Durrës dhe të Urdhrit të përbashkët me nr.7231 prot, datë 14.04.2022 të Drejtorisë së Përgjithshme të Doganave dhe Nr.436/2 prot, datë 14.04.2022 të Drejtorisë së Përgjithshme të Policisë së Shtetit, “Për bashkëpunimin për kryerjen e procedurave dhe veprimeve të përbashkëta të autoriteteve të policisë dhe autoriteteve doganore”. Nisur nga fakti që shpërdorimi i detyrës nga shtetasi Adelion Vila, është kryer edhe si pasojë edhe të ndihmës së dhënë nga personi nën hetim Hysen Zeqiri, vlersojmë se dhe ky i fundit ka konsumuar në mënyrë kumulatite elementët e veprës penale “Shpërdorimi i detyrës” i kryer në bashkëpunim, të parashikuar nga neni 248-25të Kodit Penal. Gjykata vlerëson se në rastin konkret i pandehuri Hysen Zeqiri nuk i ka përmbushur elementët e veprës penaletë parashikuar nga neni 248 i K.Penal ose elementët e ndonjë vepre tjetër dhe duhet të deklarohet i pafajshëm si më poshtë vijon:...(…).., në rastin konkret, gjykata vlerëson se së pari i pandehuri nuk ka asnjë cilësi të posaçmepër tu konsideruar si person me funksione publike. Ai është një qytetar I thjeshtë që presupozohet se ka pasur njohje dhe lidhje me Adelion Vilën. Nga gjurmimi i veprimeve të Adelion Vilës nga dalja e portit e në vijim, nuk konstatohet që të jetë shoqëruar edhe nga Hysen Zeqiri. Organi i akuzës ka vënë në dispozicion të gjykatës në cilësinë e provës materiale, disa pamje filmike që kanë fiksuar mjetin me të cilin udhëtonte Hysen Zeqiri dhe pozicionimin e tij në afërsi të vendparkimit në Shkozet ku u bë dhe hapja e kontenierit, por nuk rezulton ndonjë pamje që të </w:t>
      </w:r>
      <w:r w:rsidRPr="00ED5552">
        <w:rPr>
          <w:i/>
          <w:iCs/>
          <w:lang w:val="nl-NL"/>
        </w:rPr>
        <w:lastRenderedPageBreak/>
        <w:t>provojë se i pandehuri ka qenë prezent kur është hapur kontenieri dhe ka hyrë në të dhe ka nxjerrë arkat me banane apo ka pasur ndonjë rol tjetër në ngjarje. Me aq prova sa ka në fashikull në lidhje më këtë të pandehur, nuk krijohet bindja se ai ka kryer ndonjë veprim të dënueshëm penalisht, prandaj ai duhet të deklarohet i pafajshëm, në referim të neni 388të KPP pasi nuk provhet se vepra penale është kryer prej tij.</w:t>
      </w:r>
    </w:p>
    <w:p w:rsidR="00076E72" w:rsidRPr="00ED5552" w:rsidRDefault="00076E72" w:rsidP="00076E72">
      <w:pPr>
        <w:pStyle w:val="NormalWeb"/>
        <w:numPr>
          <w:ilvl w:val="0"/>
          <w:numId w:val="33"/>
        </w:numPr>
        <w:tabs>
          <w:tab w:val="left" w:pos="900"/>
          <w:tab w:val="left" w:pos="990"/>
        </w:tabs>
        <w:spacing w:before="0" w:beforeAutospacing="0" w:after="0" w:afterAutospacing="0"/>
        <w:ind w:left="0" w:firstLine="540"/>
        <w:jc w:val="both"/>
        <w:rPr>
          <w:lang w:val="sq-AL"/>
        </w:rPr>
      </w:pPr>
      <w:r w:rsidRPr="00ED5552">
        <w:rPr>
          <w:lang w:val="sq-AL"/>
        </w:rPr>
        <w:t>Kundër vendimit nr. (11-2024-6892) 1033, datë 04.12.2024 të Gjykatës së</w:t>
      </w:r>
      <w:r w:rsidRPr="00ED5552">
        <w:rPr>
          <w:rFonts w:eastAsia="MS Mincho"/>
          <w:lang w:val="sq-AL"/>
        </w:rPr>
        <w:t xml:space="preserve"> </w:t>
      </w:r>
      <w:r w:rsidRPr="00ED5552">
        <w:rPr>
          <w:rFonts w:eastAsia="MS Mincho"/>
          <w:bCs/>
          <w:lang w:val="sq-AL"/>
        </w:rPr>
        <w:t>Shkallës së Parë të Juridiksionit të Përgjithshëm Durrës</w:t>
      </w:r>
      <w:r w:rsidRPr="00ED5552">
        <w:rPr>
          <w:lang w:val="sq-AL"/>
        </w:rPr>
        <w:t>,</w:t>
      </w:r>
      <w:r w:rsidRPr="00ED5552">
        <w:rPr>
          <w:b/>
          <w:bCs/>
          <w:lang w:val="sq-AL"/>
        </w:rPr>
        <w:t xml:space="preserve"> </w:t>
      </w:r>
      <w:r w:rsidRPr="00ED5552">
        <w:rPr>
          <w:bCs/>
          <w:lang w:val="sq-AL"/>
        </w:rPr>
        <w:t>ka paraqitur apel Prokuroria</w:t>
      </w:r>
      <w:r w:rsidRPr="00ED5552">
        <w:rPr>
          <w:b/>
          <w:bCs/>
          <w:lang w:val="sq-AL"/>
        </w:rPr>
        <w:t xml:space="preserve">, </w:t>
      </w:r>
      <w:r w:rsidRPr="00ED5552">
        <w:rPr>
          <w:lang w:val="sq-AL"/>
        </w:rPr>
        <w:t>duke kërkuar përsëritjen pjesërisht të shqyrtimit gjyqësor dhe në përfundim deklarimin fajtor dhe dënimin e të pandehurve Hyzen Zeqiri dhe Durim Halka për veprën penale “Shpërdorim detyre”, sipas nenit 248-25 të Kodit Penal, ky i fundit edhe për veprën penale të parashikuar nga neni 179/b, i Kodit Penal.</w:t>
      </w:r>
    </w:p>
    <w:p w:rsidR="00076E72" w:rsidRPr="00ED5552" w:rsidRDefault="00076E72" w:rsidP="00076E72">
      <w:pPr>
        <w:pStyle w:val="NormalWeb"/>
        <w:numPr>
          <w:ilvl w:val="0"/>
          <w:numId w:val="33"/>
        </w:numPr>
        <w:tabs>
          <w:tab w:val="left" w:pos="900"/>
          <w:tab w:val="left" w:pos="990"/>
        </w:tabs>
        <w:spacing w:before="0" w:beforeAutospacing="0" w:after="0" w:afterAutospacing="0"/>
        <w:ind w:left="0" w:firstLine="540"/>
        <w:jc w:val="both"/>
        <w:rPr>
          <w:lang w:val="sq-AL"/>
        </w:rPr>
      </w:pPr>
      <w:r w:rsidRPr="00ED5552">
        <w:rPr>
          <w:lang w:val="sq-AL"/>
        </w:rPr>
        <w:t>Kundër ankimit të prokurorisë,</w:t>
      </w:r>
      <w:r w:rsidRPr="00ED5552">
        <w:rPr>
          <w:b/>
          <w:bCs/>
          <w:lang w:val="sq-AL"/>
        </w:rPr>
        <w:t xml:space="preserve"> </w:t>
      </w:r>
      <w:r w:rsidRPr="00ED5552">
        <w:rPr>
          <w:bCs/>
          <w:lang w:val="sq-AL"/>
        </w:rPr>
        <w:t>ka paraqitur kundërankim i pandehuri Durim Halka,</w:t>
      </w:r>
      <w:r w:rsidRPr="00ED5552">
        <w:rPr>
          <w:b/>
          <w:bCs/>
          <w:lang w:val="sq-AL"/>
        </w:rPr>
        <w:t> </w:t>
      </w:r>
      <w:r w:rsidRPr="00ED5552">
        <w:rPr>
          <w:lang w:val="sq-AL"/>
        </w:rPr>
        <w:t>nëpërmjet të cilit ka kërkuar mospranimin e ankimit.</w:t>
      </w:r>
    </w:p>
    <w:p w:rsidR="00076E72" w:rsidRPr="00ED5552" w:rsidRDefault="00076E72" w:rsidP="00076E72">
      <w:pPr>
        <w:pStyle w:val="NormalWeb"/>
        <w:numPr>
          <w:ilvl w:val="0"/>
          <w:numId w:val="33"/>
        </w:numPr>
        <w:tabs>
          <w:tab w:val="left" w:pos="900"/>
          <w:tab w:val="left" w:pos="990"/>
        </w:tabs>
        <w:spacing w:before="0" w:beforeAutospacing="0" w:after="0" w:afterAutospacing="0"/>
        <w:ind w:left="0" w:firstLine="540"/>
        <w:jc w:val="both"/>
        <w:rPr>
          <w:lang w:val="sq-AL"/>
        </w:rPr>
      </w:pPr>
      <w:r w:rsidRPr="00ED5552">
        <w:rPr>
          <w:lang w:val="sq-AL"/>
        </w:rPr>
        <w:t>Kundër ankimit të prokurorisë,</w:t>
      </w:r>
      <w:r w:rsidRPr="00ED5552">
        <w:rPr>
          <w:b/>
          <w:bCs/>
          <w:lang w:val="sq-AL"/>
        </w:rPr>
        <w:t xml:space="preserve"> </w:t>
      </w:r>
      <w:r w:rsidRPr="00ED5552">
        <w:rPr>
          <w:bCs/>
          <w:lang w:val="sq-AL"/>
        </w:rPr>
        <w:t>ka paraqitur kundërankim i pandehuri Hysen Zeqiri</w:t>
      </w:r>
      <w:r w:rsidRPr="00ED5552">
        <w:rPr>
          <w:b/>
          <w:bCs/>
          <w:lang w:val="sq-AL"/>
        </w:rPr>
        <w:t>, </w:t>
      </w:r>
      <w:r w:rsidRPr="00ED5552">
        <w:rPr>
          <w:lang w:val="sq-AL"/>
        </w:rPr>
        <w:t>nëpërmjet të cilit ka kërkuar lënien në fuqi të vendimit të gjykatës së shkallës së parë.</w:t>
      </w:r>
    </w:p>
    <w:p w:rsidR="00076E72" w:rsidRPr="00ED5552" w:rsidRDefault="00076E72" w:rsidP="00076E72">
      <w:pPr>
        <w:pStyle w:val="NormalWeb"/>
        <w:numPr>
          <w:ilvl w:val="0"/>
          <w:numId w:val="33"/>
        </w:numPr>
        <w:tabs>
          <w:tab w:val="left" w:pos="900"/>
          <w:tab w:val="left" w:pos="990"/>
        </w:tabs>
        <w:spacing w:before="0" w:beforeAutospacing="0" w:after="0" w:afterAutospacing="0"/>
        <w:ind w:left="0" w:firstLine="540"/>
        <w:jc w:val="both"/>
        <w:rPr>
          <w:lang w:val="sq-AL"/>
        </w:rPr>
      </w:pPr>
      <w:r w:rsidRPr="00ED5552">
        <w:rPr>
          <w:lang w:val="sq-AL"/>
        </w:rPr>
        <w:t>Kundër vendimit nr. (11-2024-6892) 1033, datë 04.12.2024 të Gjykatës së</w:t>
      </w:r>
      <w:r w:rsidRPr="00ED5552">
        <w:rPr>
          <w:rFonts w:eastAsia="MS Mincho"/>
          <w:lang w:val="sq-AL"/>
        </w:rPr>
        <w:t xml:space="preserve"> </w:t>
      </w:r>
      <w:r w:rsidRPr="00ED5552">
        <w:rPr>
          <w:rFonts w:eastAsia="MS Mincho"/>
          <w:bCs/>
          <w:lang w:val="sq-AL"/>
        </w:rPr>
        <w:t>Shkallës së Parë të Juridiksionit të Përgjithshëm Durrës</w:t>
      </w:r>
      <w:r w:rsidRPr="00ED5552">
        <w:rPr>
          <w:lang w:val="sq-AL"/>
        </w:rPr>
        <w:t>,</w:t>
      </w:r>
      <w:r w:rsidRPr="00ED5552">
        <w:rPr>
          <w:b/>
          <w:bCs/>
          <w:lang w:val="sq-AL"/>
        </w:rPr>
        <w:t xml:space="preserve"> </w:t>
      </w:r>
      <w:r w:rsidRPr="00ED5552">
        <w:rPr>
          <w:bCs/>
          <w:lang w:val="sq-AL"/>
        </w:rPr>
        <w:t>ka paraqitur apel i pandehuri Adelion Vila</w:t>
      </w:r>
      <w:r w:rsidRPr="00ED5552">
        <w:rPr>
          <w:b/>
          <w:bCs/>
          <w:lang w:val="sq-AL"/>
        </w:rPr>
        <w:t> </w:t>
      </w:r>
      <w:r w:rsidRPr="00ED5552">
        <w:rPr>
          <w:lang w:val="sq-AL"/>
        </w:rPr>
        <w:t>me të cilin ka kërkuar ndryshimin e vendimit, uljen e masës së dënimit me burgim dhe aplikimin e dënimit alternativ sipas nenit 59 të Kodit Penal, me pezullimin e dënimit me burgim dhe vënien në prove.</w:t>
      </w:r>
    </w:p>
    <w:p w:rsidR="00076E72" w:rsidRPr="00ED5552" w:rsidRDefault="00076E72" w:rsidP="00076E72">
      <w:pPr>
        <w:pStyle w:val="NormalWeb"/>
        <w:numPr>
          <w:ilvl w:val="0"/>
          <w:numId w:val="33"/>
        </w:numPr>
        <w:tabs>
          <w:tab w:val="left" w:pos="900"/>
          <w:tab w:val="left" w:pos="990"/>
        </w:tabs>
        <w:spacing w:before="0" w:beforeAutospacing="0" w:after="0" w:afterAutospacing="0"/>
        <w:ind w:left="0" w:firstLine="540"/>
        <w:jc w:val="both"/>
        <w:rPr>
          <w:lang w:val="sq-AL"/>
        </w:rPr>
      </w:pPr>
      <w:r w:rsidRPr="00ED5552">
        <w:rPr>
          <w:lang w:val="sq-AL"/>
        </w:rPr>
        <w:t>Kundër vendimit nr. (11-2024-6892) 1033, datë 04.12.2024 të Gjykatës së</w:t>
      </w:r>
      <w:r w:rsidRPr="00ED5552">
        <w:rPr>
          <w:rFonts w:eastAsia="MS Mincho"/>
          <w:lang w:val="sq-AL"/>
        </w:rPr>
        <w:t xml:space="preserve"> </w:t>
      </w:r>
      <w:r w:rsidRPr="00ED5552">
        <w:rPr>
          <w:rFonts w:eastAsia="MS Mincho"/>
          <w:bCs/>
          <w:lang w:val="sq-AL"/>
        </w:rPr>
        <w:t>Shkallës së Parë të Juridiksionit të Përgjithshëm Durrës</w:t>
      </w:r>
      <w:r w:rsidRPr="00ED5552">
        <w:rPr>
          <w:lang w:val="sq-AL"/>
        </w:rPr>
        <w:t>,</w:t>
      </w:r>
      <w:r w:rsidRPr="00ED5552">
        <w:rPr>
          <w:b/>
          <w:bCs/>
          <w:lang w:val="sq-AL"/>
        </w:rPr>
        <w:t xml:space="preserve"> </w:t>
      </w:r>
      <w:r w:rsidRPr="00ED5552">
        <w:rPr>
          <w:bCs/>
          <w:lang w:val="sq-AL"/>
        </w:rPr>
        <w:t>kanë paraqitur apel të pandehurit Denis Musaj dhe Alketa Kallçaku,</w:t>
      </w:r>
      <w:r w:rsidRPr="00ED5552">
        <w:rPr>
          <w:b/>
          <w:bCs/>
          <w:lang w:val="sq-AL"/>
        </w:rPr>
        <w:t xml:space="preserve"> </w:t>
      </w:r>
      <w:r w:rsidRPr="00ED5552">
        <w:rPr>
          <w:lang w:val="sq-AL"/>
        </w:rPr>
        <w:t>duke kërkuar ndryshimin e vendimit dhe deklarimin e pafajshëm të tyre, me argumentin se fakti penal nuk ekziston.</w:t>
      </w:r>
      <w:r w:rsidRPr="00ED5552">
        <w:rPr>
          <w:b/>
          <w:bCs/>
          <w:lang w:val="sq-AL"/>
        </w:rPr>
        <w:t xml:space="preserve"> </w:t>
      </w:r>
    </w:p>
    <w:p w:rsidR="00076E72" w:rsidRPr="00ED5552" w:rsidRDefault="00076E72" w:rsidP="00076E72">
      <w:pPr>
        <w:pStyle w:val="NormalWeb"/>
        <w:numPr>
          <w:ilvl w:val="0"/>
          <w:numId w:val="33"/>
        </w:numPr>
        <w:tabs>
          <w:tab w:val="left" w:pos="900"/>
          <w:tab w:val="left" w:pos="990"/>
        </w:tabs>
        <w:spacing w:before="0" w:beforeAutospacing="0" w:after="0" w:afterAutospacing="0"/>
        <w:ind w:left="0" w:firstLine="540"/>
        <w:jc w:val="both"/>
        <w:rPr>
          <w:lang w:val="sq-AL"/>
        </w:rPr>
      </w:pPr>
      <w:r w:rsidRPr="00ED5552">
        <w:rPr>
          <w:lang w:val="sq-AL"/>
        </w:rPr>
        <w:t>Kundër vendimit nr. (11-2024-6892) 1033, datë 04.12.2024 të Gjykatës së</w:t>
      </w:r>
      <w:r w:rsidRPr="00ED5552">
        <w:rPr>
          <w:rFonts w:eastAsia="MS Mincho"/>
          <w:lang w:val="sq-AL"/>
        </w:rPr>
        <w:t xml:space="preserve"> </w:t>
      </w:r>
      <w:r w:rsidRPr="00ED5552">
        <w:rPr>
          <w:rFonts w:eastAsia="MS Mincho"/>
          <w:bCs/>
          <w:lang w:val="sq-AL"/>
        </w:rPr>
        <w:t>Shkallës së Parë të Juridiksionit të Përgjithshëm Durrës</w:t>
      </w:r>
      <w:r w:rsidRPr="00ED5552">
        <w:rPr>
          <w:lang w:val="sq-AL"/>
        </w:rPr>
        <w:t>,</w:t>
      </w:r>
      <w:r w:rsidRPr="00ED5552">
        <w:rPr>
          <w:b/>
          <w:bCs/>
          <w:lang w:val="sq-AL"/>
        </w:rPr>
        <w:t xml:space="preserve"> </w:t>
      </w:r>
      <w:r w:rsidRPr="00ED5552">
        <w:rPr>
          <w:bCs/>
          <w:lang w:val="sq-AL"/>
        </w:rPr>
        <w:t>ka paraqitur apel i pandehuri Egnis Gojani </w:t>
      </w:r>
      <w:r w:rsidRPr="00ED5552">
        <w:rPr>
          <w:lang w:val="sq-AL"/>
        </w:rPr>
        <w:t>, duke kërkuar prishjen e vendimit të gjykatës së shkallës së parë, deklarimin e pafajshëm për veprën penale për të cilën akuzohet.</w:t>
      </w:r>
    </w:p>
    <w:p w:rsidR="00076E72" w:rsidRPr="00ED5552" w:rsidRDefault="00076E72" w:rsidP="00076E72">
      <w:pPr>
        <w:pStyle w:val="NormalWeb"/>
        <w:numPr>
          <w:ilvl w:val="0"/>
          <w:numId w:val="33"/>
        </w:numPr>
        <w:tabs>
          <w:tab w:val="left" w:pos="900"/>
          <w:tab w:val="left" w:pos="990"/>
        </w:tabs>
        <w:spacing w:before="0" w:beforeAutospacing="0" w:after="0" w:afterAutospacing="0"/>
        <w:ind w:left="0" w:firstLine="540"/>
        <w:jc w:val="both"/>
        <w:rPr>
          <w:lang w:val="sq-AL"/>
        </w:rPr>
      </w:pPr>
      <w:r w:rsidRPr="00ED5552">
        <w:rPr>
          <w:lang w:val="sq-AL"/>
        </w:rPr>
        <w:t>Kundër vendimit nr. (11-2024-6892) 1033, datë 04.12.2024 të Gjykatës së</w:t>
      </w:r>
      <w:r w:rsidRPr="00ED5552">
        <w:rPr>
          <w:rFonts w:eastAsia="MS Mincho"/>
          <w:lang w:val="sq-AL"/>
        </w:rPr>
        <w:t xml:space="preserve"> </w:t>
      </w:r>
      <w:r w:rsidRPr="00ED5552">
        <w:rPr>
          <w:rFonts w:eastAsia="MS Mincho"/>
          <w:bCs/>
          <w:lang w:val="sq-AL"/>
        </w:rPr>
        <w:t>Shkallës së Parë të Juridiksionit të Përgjithshëm Durrës</w:t>
      </w:r>
      <w:r w:rsidRPr="00ED5552">
        <w:rPr>
          <w:lang w:val="sq-AL"/>
        </w:rPr>
        <w:t>,</w:t>
      </w:r>
      <w:r w:rsidRPr="00ED5552">
        <w:rPr>
          <w:b/>
          <w:bCs/>
          <w:lang w:val="sq-AL"/>
        </w:rPr>
        <w:t xml:space="preserve"> </w:t>
      </w:r>
      <w:r w:rsidRPr="00ED5552">
        <w:rPr>
          <w:bCs/>
          <w:lang w:val="sq-AL"/>
        </w:rPr>
        <w:t>ka paraqitur apel i pandehuri Durim Halka</w:t>
      </w:r>
      <w:r w:rsidRPr="00ED5552">
        <w:rPr>
          <w:b/>
          <w:bCs/>
          <w:i/>
          <w:iCs/>
          <w:lang w:val="sq-AL"/>
        </w:rPr>
        <w:t xml:space="preserve">, </w:t>
      </w:r>
      <w:r w:rsidRPr="00ED5552">
        <w:rPr>
          <w:lang w:val="sq-AL"/>
        </w:rPr>
        <w:t>duke kërkuar ndryshimin e vendimit të gjykatës së shkallës së parë, uljen e dënimit me burgim dhe aplikimin e një dënimi alternativ.</w:t>
      </w:r>
    </w:p>
    <w:p w:rsidR="00076E72" w:rsidRPr="00ED5552" w:rsidRDefault="00076E72" w:rsidP="00076E72">
      <w:pPr>
        <w:pStyle w:val="NormalWeb"/>
        <w:numPr>
          <w:ilvl w:val="0"/>
          <w:numId w:val="33"/>
        </w:numPr>
        <w:tabs>
          <w:tab w:val="left" w:pos="900"/>
          <w:tab w:val="left" w:pos="990"/>
        </w:tabs>
        <w:spacing w:before="0" w:beforeAutospacing="0" w:after="0" w:afterAutospacing="0"/>
        <w:ind w:left="0" w:firstLine="540"/>
        <w:jc w:val="both"/>
        <w:rPr>
          <w:rStyle w:val="FontStyle16"/>
          <w:rFonts w:ascii="Times New Roman" w:hAnsi="Times New Roman" w:cs="Times New Roman"/>
          <w:b/>
          <w:bCs/>
          <w:sz w:val="24"/>
          <w:szCs w:val="24"/>
          <w:lang w:val="sq-AL"/>
        </w:rPr>
      </w:pPr>
      <w:r w:rsidRPr="00ED5552">
        <w:rPr>
          <w:b/>
          <w:lang w:val="sq-AL"/>
        </w:rPr>
        <w:t>Gjykata e Apelit të Juridiksionit të Përgjithshëm</w:t>
      </w:r>
      <w:r w:rsidRPr="00ED5552">
        <w:rPr>
          <w:lang w:val="sq-AL"/>
        </w:rPr>
        <w:t xml:space="preserve">, </w:t>
      </w:r>
      <w:r w:rsidRPr="00ED5552">
        <w:rPr>
          <w:rFonts w:eastAsia="MS Mincho"/>
          <w:bCs/>
          <w:lang w:val="sq-AL"/>
        </w:rPr>
        <w:t>me vendimin</w:t>
      </w:r>
      <w:r w:rsidRPr="00ED5552">
        <w:rPr>
          <w:bCs/>
          <w:lang w:val="sq-AL"/>
        </w:rPr>
        <w:t xml:space="preserve"> nr. 1426 (30-2025-4911)</w:t>
      </w:r>
      <w:r w:rsidRPr="00ED5552">
        <w:rPr>
          <w:lang w:val="sq-AL"/>
        </w:rPr>
        <w:t xml:space="preserve"> datë 09.06.2025</w:t>
      </w:r>
      <w:r w:rsidRPr="00ED5552">
        <w:rPr>
          <w:bCs/>
          <w:lang w:val="sq-AL"/>
        </w:rPr>
        <w:t xml:space="preserve">, </w:t>
      </w:r>
      <w:r w:rsidRPr="00ED5552">
        <w:rPr>
          <w:rStyle w:val="FontStyle16"/>
          <w:rFonts w:ascii="Times New Roman" w:hAnsi="Times New Roman" w:cs="Times New Roman"/>
          <w:bCs/>
          <w:sz w:val="24"/>
          <w:szCs w:val="24"/>
          <w:lang w:val="sq-AL"/>
        </w:rPr>
        <w:t>ka vendosur:</w:t>
      </w:r>
    </w:p>
    <w:p w:rsidR="00076E72" w:rsidRPr="00ED5552" w:rsidRDefault="00076E72" w:rsidP="00076E72">
      <w:pPr>
        <w:pStyle w:val="ListParagraph"/>
        <w:numPr>
          <w:ilvl w:val="0"/>
          <w:numId w:val="31"/>
        </w:numPr>
        <w:jc w:val="both"/>
        <w:rPr>
          <w:sz w:val="24"/>
          <w:szCs w:val="24"/>
        </w:rPr>
      </w:pPr>
      <w:r w:rsidRPr="00ED5552">
        <w:rPr>
          <w:sz w:val="24"/>
          <w:szCs w:val="24"/>
        </w:rPr>
        <w:t>Prishjen e vendimit nr. (11-2024-6892) 1033, datë 04.12.2024 të Gjykatës së Shkallës së Parë të Juridiksionit të Përgjithshëm Durrës dhe kthimin e çështjes për rigjykim pranë të njëjtës gjykatë, me tjetër trup gjykues.</w:t>
      </w:r>
    </w:p>
    <w:p w:rsidR="00076E72" w:rsidRPr="00ED5552" w:rsidRDefault="00076E72" w:rsidP="00076E72">
      <w:pPr>
        <w:pStyle w:val="ListParagraph"/>
        <w:numPr>
          <w:ilvl w:val="0"/>
          <w:numId w:val="31"/>
        </w:numPr>
        <w:jc w:val="both"/>
        <w:rPr>
          <w:sz w:val="24"/>
          <w:szCs w:val="24"/>
        </w:rPr>
      </w:pPr>
      <w:r w:rsidRPr="00ED5552">
        <w:rPr>
          <w:sz w:val="24"/>
          <w:szCs w:val="24"/>
          <w:shd w:val="clear" w:color="auto" w:fill="FFFFFF"/>
        </w:rPr>
        <w:t xml:space="preserve">Kundër këtij vendimi lejohet rekurs në Gjykatën e Lartë, </w:t>
      </w:r>
      <w:proofErr w:type="gramStart"/>
      <w:r w:rsidRPr="00ED5552">
        <w:rPr>
          <w:sz w:val="24"/>
          <w:szCs w:val="24"/>
          <w:shd w:val="clear" w:color="auto" w:fill="FFFFFF"/>
        </w:rPr>
        <w:t>brenda</w:t>
      </w:r>
      <w:proofErr w:type="gramEnd"/>
      <w:r w:rsidRPr="00ED5552">
        <w:rPr>
          <w:sz w:val="24"/>
          <w:szCs w:val="24"/>
          <w:shd w:val="clear" w:color="auto" w:fill="FFFFFF"/>
        </w:rPr>
        <w:t xml:space="preserve"> 20 ditëve nga e nesërmja e komunikimit të vendimit të arsyetuar.</w:t>
      </w:r>
    </w:p>
    <w:p w:rsidR="00076E72" w:rsidRPr="00ED5552" w:rsidRDefault="00076E72" w:rsidP="00076E72">
      <w:pPr>
        <w:pStyle w:val="NormalWeb"/>
        <w:numPr>
          <w:ilvl w:val="1"/>
          <w:numId w:val="33"/>
        </w:numPr>
        <w:tabs>
          <w:tab w:val="left" w:pos="900"/>
          <w:tab w:val="left" w:pos="990"/>
          <w:tab w:val="left" w:pos="1170"/>
        </w:tabs>
        <w:spacing w:before="0" w:beforeAutospacing="0" w:after="0" w:afterAutospacing="0"/>
        <w:ind w:left="0" w:firstLine="540"/>
        <w:jc w:val="both"/>
        <w:rPr>
          <w:i/>
          <w:iCs/>
          <w:lang w:val="sq-AL"/>
        </w:rPr>
      </w:pPr>
      <w:r w:rsidRPr="00ED5552">
        <w:rPr>
          <w:lang w:val="sq-AL"/>
        </w:rPr>
        <w:t xml:space="preserve">Gjykata </w:t>
      </w:r>
      <w:r w:rsidRPr="00ED5552">
        <w:rPr>
          <w:shd w:val="clear" w:color="auto" w:fill="FFFFFF"/>
          <w:lang w:val="sq-AL"/>
        </w:rPr>
        <w:t xml:space="preserve">e </w:t>
      </w:r>
      <w:r w:rsidRPr="00ED5552">
        <w:rPr>
          <w:lang w:val="sq-AL"/>
        </w:rPr>
        <w:t xml:space="preserve">Apelit të Juridiksionit të Përgjithshëm në mbështetje të vendimmarrjes, ndër të tjera ka arsyetuar: </w:t>
      </w:r>
      <w:r w:rsidRPr="00ED5552">
        <w:rPr>
          <w:i/>
          <w:iCs/>
          <w:lang w:val="sq-AL"/>
        </w:rPr>
        <w:t>“...,</w:t>
      </w:r>
      <w:r w:rsidRPr="00ED5552">
        <w:rPr>
          <w:lang w:val="sq-AL"/>
        </w:rPr>
        <w:t> </w:t>
      </w:r>
      <w:r w:rsidRPr="00ED5552">
        <w:rPr>
          <w:i/>
          <w:iCs/>
          <w:lang w:val="sq-AL"/>
        </w:rPr>
        <w:t>Gjykata e Apelit vlerëson se vendimi </w:t>
      </w:r>
      <w:r w:rsidRPr="00ED5552">
        <w:rPr>
          <w:i/>
          <w:iCs/>
          <w:lang w:val="it-IT"/>
        </w:rPr>
        <w:t>N</w:t>
      </w:r>
      <w:r w:rsidRPr="00ED5552">
        <w:rPr>
          <w:i/>
          <w:iCs/>
          <w:lang w:val="sq-AL"/>
        </w:rPr>
        <w:t>r.11-2024-6892, datë 04.12.2024, i Gjykatës së Shkallës së Parë të Juridiksionit të Përgjithshëm Durrës, është konkluzion i një procesi jo të rregullt ligjor, dhe i shkeljeve procedurale të cilat janë kryer që në fazën seancës paraprake. Këto shkelje procedurale bëjnë gjykimi i çështjes të mos jetë ushtruar në përputhje me ligjin, dhe në harmoni me nenin 428/1 pika “ç”, bëjnë të pavlefshëm vendimin e Gjyqtarit të Seancës Paraprake si dhe vendimin e ankimuar...</w:t>
      </w:r>
    </w:p>
    <w:p w:rsidR="00076E72" w:rsidRPr="00ED5552" w:rsidRDefault="00076E72" w:rsidP="00076E72">
      <w:pPr>
        <w:pStyle w:val="NormalWeb"/>
        <w:numPr>
          <w:ilvl w:val="1"/>
          <w:numId w:val="33"/>
        </w:numPr>
        <w:tabs>
          <w:tab w:val="left" w:pos="900"/>
          <w:tab w:val="left" w:pos="990"/>
          <w:tab w:val="left" w:pos="1170"/>
        </w:tabs>
        <w:spacing w:before="0" w:beforeAutospacing="0" w:after="0" w:afterAutospacing="0"/>
        <w:ind w:left="0" w:firstLine="540"/>
        <w:jc w:val="both"/>
        <w:rPr>
          <w:i/>
          <w:iCs/>
          <w:lang w:val="sq-AL"/>
        </w:rPr>
      </w:pPr>
      <w:r w:rsidRPr="00ED5552">
        <w:rPr>
          <w:i/>
          <w:iCs/>
          <w:lang w:val="sq-AL"/>
        </w:rPr>
        <w:t>Në seancën gjyqësore, të zhvilluar para Gjyqtarit të Seancës Paraprake, prokurori ka parashtruar kërkesën për dërgimin në gjyq, mbrojtësit kanë kërkuar gjykimin e shkurtuar të çështjes penale, ku i pandehuri Adelion Vila ka pranuar akuzën ndërsa të gjithë të pandehurit e tjerë nuk kanë pranuar akuzat e ngritura ndaj tyre.</w:t>
      </w:r>
      <w:r w:rsidRPr="00ED5552">
        <w:rPr>
          <w:lang w:val="sq-AL"/>
        </w:rPr>
        <w:t xml:space="preserve"> </w:t>
      </w:r>
      <w:r w:rsidRPr="00ED5552">
        <w:rPr>
          <w:i/>
          <w:iCs/>
          <w:lang w:val="sq-AL"/>
        </w:rPr>
        <w:t xml:space="preserve">Gjyqtari i Seancës Paraprake, ka vlerësuar se nuk ka akte të pavlefshme apo të papërdorshme sipas nenit 128 të K.Pr.Penale, ka pranuar kërkesën për të proceduar me  gjykim të shkurtuar, aktete </w:t>
      </w:r>
      <w:r w:rsidRPr="00ED5552">
        <w:rPr>
          <w:i/>
          <w:iCs/>
          <w:lang w:val="sq-AL"/>
        </w:rPr>
        <w:lastRenderedPageBreak/>
        <w:t>procedimit penal i ka bërë pjesë të fashikullit të gjykimit dhe ka ftuar palët për diskutimet përfundimtare, ku prokurori ka kërkuar deklarimin fajtor dhe dënimin e të pandehurve. Në seancat pasardhëse janë parashtruar diskutime të secilit të pandehur dhe në përfundim është shpallur vendimi i dënimit, objekt ankimi. Në ankim i pandehuri Egnis Gojani ka ngritur pretendime për cenim të të drejtës kushtetuese për të patur të pranishëm mbrojtësin e tij në veprimet procedurale të prokurorisë për komunikimin e akuzës dhe njohjen me letrën e të drejtave, për marrjen në pyetje si i pandehur, për komunikimin e përfundimit të hetimeve, dhe për mos njoftimin e tij dhe të mbrojtësit të zgjedhur me dy vendimet për zgjatjen e afatit të hetimeve, akte këto të gjitha të pa nënshkruara prej të pandehurit dhe mbrojtësit të tij por vetëm nga punonjës të policisë së burgjeve Durrës. Sipas të pandehurit afatet e hetimit ndaj tij janë cënuar nga prokuroria, ai është mbajtur në paraburgim pa të drejtë dhe më pas u dënua nga gjykata për të justifikuar paligjshmërinë e paraburgimit. Sipas shkaqeve të ankimit, zgjatja e afatit të hetimit nuk ju komunikua atij dhe mbrojtësit, dhe në vazhdim u kërkua nga gjykata zgjatje tjetër të afateve për hetimin e kësaj çështje me pretendimin se duhej të kryheshin disa veprime proceduriale të domosdoshme për zbardhjen e plotë të çështjes, por edhe pas kësaj zgjatje, prokuroria nuk ka kryer asnjë veprim për përmbushjen e detyrave të gjykatës dhe procedoi me veçimin e procedimit penal, që duhet ta bënte mëpërpara në kohë, për të dyshuarit të tjerë.</w:t>
      </w:r>
    </w:p>
    <w:p w:rsidR="00076E72" w:rsidRPr="00ED5552" w:rsidRDefault="00076E72" w:rsidP="00076E72">
      <w:pPr>
        <w:pStyle w:val="NormalWeb"/>
        <w:numPr>
          <w:ilvl w:val="1"/>
          <w:numId w:val="33"/>
        </w:numPr>
        <w:tabs>
          <w:tab w:val="left" w:pos="990"/>
          <w:tab w:val="left" w:pos="1170"/>
        </w:tabs>
        <w:spacing w:before="0" w:beforeAutospacing="0" w:after="0" w:afterAutospacing="0"/>
        <w:ind w:left="0" w:firstLine="540"/>
        <w:jc w:val="both"/>
        <w:rPr>
          <w:i/>
          <w:iCs/>
          <w:lang w:val="sq-AL"/>
        </w:rPr>
      </w:pPr>
      <w:r w:rsidRPr="00ED5552">
        <w:rPr>
          <w:i/>
          <w:iCs/>
          <w:lang w:val="sq-AL"/>
        </w:rPr>
        <w:t>Në vlerësim të shkaqeve të ankimit, Gjykata e Apelit konstaton se i pandehuri Egnis Gojani, ashtu si dhe të pandehurit e tjerë, në gjykimin në shkallë të parë ka kërkuar gjykim të shkurtuar të çështjes ndaj tij pa ngritur kërkesa për pavlefshmëri apo papërdorshmëri. Gjykata e shkallës së parë pranoi kërkesën e tyre për gjykim të shkurtuar. Ndërkohë i pandehuri Egnis Gojani, në diskutimet përfundimtare të paraqitura në shkallë të parë, pretendoi shkeljet procedurale të sipërcituara, paraqitur njëkohësisht si shkak ankimi, ndonëse nuk formuloi kërkesa tipike për pavlefshmëri apo papërdorshmëri duke i kërkuar gjykatës që në vlerësim të shkeljeve procedurale dhe fakteve të çështjes të deklaronte të pafajshëm të pandehurin. Nga aktet e dosjes rezulton se prokuroria ka zgjatur dy herë hetimet me vendimet datë 11.03.2024 dhe 11.06.2024, të cilat nuk u janë komunikuar të pandehurve veçse me vendimin për përfundimin e hetimeve. Pra vetëm pasi janë marrë të pandehur dhe u është komunikuar përfundimi i hetimeve, u është komunikuar të pandehurve secili prej vendimeve për zgjatje të afatit të hetimit. Nga interpretimi i nenit 325 të KPP, vendimi për zgjatjen e afatit të hetimit u komunikohet personit nën hetim dhe viktimës nga vepra penale. E drejta e ankimit fillon nga momenti i komunikimit të vendimit. Në vendimin e gjykatës së shkallës së parë nuk i është dhënë asnjë përgjigje pretendimeve të të pandehurit për mos njoftimin e tij dhe të mbrojtësit për vendimet e zgjatjes së hetimeve dhe nëse përbën ndonjë shkak për pavlefshmëri të akteve apo sjell si pasojë papërdorshmëritë ndonjë akti, me pasoja dhe në ritin e gjykimit.</w:t>
      </w:r>
    </w:p>
    <w:p w:rsidR="00076E72" w:rsidRPr="00ED5552" w:rsidRDefault="00076E72" w:rsidP="00076E72">
      <w:pPr>
        <w:pStyle w:val="NormalWeb"/>
        <w:numPr>
          <w:ilvl w:val="2"/>
          <w:numId w:val="33"/>
        </w:numPr>
        <w:tabs>
          <w:tab w:val="left" w:pos="990"/>
          <w:tab w:val="left" w:pos="1170"/>
        </w:tabs>
        <w:spacing w:before="0" w:beforeAutospacing="0" w:after="0" w:afterAutospacing="0"/>
        <w:ind w:left="0" w:firstLine="540"/>
        <w:jc w:val="both"/>
        <w:rPr>
          <w:i/>
          <w:iCs/>
          <w:lang w:val="sq-AL"/>
        </w:rPr>
      </w:pPr>
      <w:r w:rsidRPr="00ED5552">
        <w:rPr>
          <w:i/>
          <w:iCs/>
          <w:lang w:val="sq-AL"/>
        </w:rPr>
        <w:t>Në vlerësim të shkakut tjetër të ankimit për mosnjoftimin e tij dhe të mbrojtësit të zgjedhur me aktin e njoftimit të akuzës, letrat e të drejtave të të pandehurit dhe vendimin për përfundimin</w:t>
      </w:r>
      <w:r w:rsidR="00F86292" w:rsidRPr="00ED5552">
        <w:rPr>
          <w:i/>
          <w:iCs/>
          <w:lang w:val="sq-AL"/>
        </w:rPr>
        <w:t xml:space="preserve"> </w:t>
      </w:r>
      <w:r w:rsidRPr="00ED5552">
        <w:rPr>
          <w:i/>
          <w:iCs/>
          <w:lang w:val="sq-AL"/>
        </w:rPr>
        <w:t xml:space="preserve">e hetimeve, nga aktet e dosjes rezulton se i pandehuri Egnis Gojani, ka refuzuar komunikimin e akuzës dhe njohja me letrat e të drejtave të tij sipas nenit 34/a të KPP, në datë 08.07.2024, ndërsa janë nënshkruar dy punonjës të IEVP Durrës ku ai ndodhej në paraburgim. I pyetur në cilësinë e të pandehurit ai ka refuzuar të japë shpjegime me arsyetimin se nuk është dakort me shtyrjen e hetimeve për shkak të mungesës dhe mosnjoftimit të mbrojtësit të tij. Gjithashtu ka refuzuar komunikimin e vendimit “Për përfundimin e hetimeve”, në datë 08.07.2024, të nënshkruar nga punonjës policie të paraburgimit. Në vijim prokuroria ka dërguar në datë 16.07.2024 aktet në IEVP, përfshi vendimet për zgjatjen e afatit hetimor datë 11.03.2024 dhe datë 11.06.2024, letrat e të drejtave të të pandehurit, vendimi për marrjen e personit të pandehur, procesverbali për pyetjen e të pandehurit, njoftim për përfundimin e hetimeve. Këto akte janë refuzuar sërish nga i pandehuri në datë 19.07.2024. Ndërkohë asnjë prej këtyre akteve procedurale të hetimit paraprak nuk i janë komunikuar mbrojtësit të zgjedhur të të pandehurit Egnis Gojani. Sipas </w:t>
      </w:r>
      <w:r w:rsidRPr="00ED5552">
        <w:rPr>
          <w:i/>
          <w:iCs/>
          <w:lang w:val="sq-AL"/>
        </w:rPr>
        <w:lastRenderedPageBreak/>
        <w:t>nenit 34 të KP, akti i njoftimit të akuzës i njoftohet të pandehurit dhe mbrojtësit të tij, ndërsa referuar nenit 34/ 256 të KPP, njohja e të pandehurit me letrën e të drejtave është një e drejtë dhe garanci e parashikuar në ligj, ndër të tjera për të kuptuar akuzën dhe për tu njohur me të drejtën e zgjedhjes së mbrojtësit, me qëllim pjesëmarrjen e tij në procedim dhe mundësinë e aksesit dhe të mbrojtjes efektive të tij në hetim...(...). Gjykata e Apelit çmon se në kundërshtim me kërkesat e nenit 327/2 KPP, i cili parashikon se: Brenda afatit të parashikuar nga neni 324, i këtij Kodi, prokurori njofton mbi përfundimin e hetimeve paraprake të pandehurin, mbrojtësin e tij, si dhe viktimën ose trashëgimtarët e saj, kur identiteti dhe vendbanimi i tyre rezultojnë nga aktet e procedimit”, prokurori nuk i ka komunikuar vendimin për përfundimin e hetimeve, mbrojtësit të zgjedhur të të pandehurit Egnis Gojani. Mosrespektimi i kësaj të drejte procedurale, në zbatim të nenit 331/2 të KPP</w:t>
      </w:r>
      <w:r w:rsidRPr="00ED5552">
        <w:rPr>
          <w:i/>
          <w:iCs/>
          <w:spacing w:val="2"/>
          <w:lang w:val="sq-AL"/>
        </w:rPr>
        <w:t xml:space="preserve">, sipas të cilit “Kërkesa për dërgimin e çështjes në gjyq është e pavlefshme kur nuk respektohen përcaktimet e paragrafëve 2, 3 dhe 4, të nenit 327, të këtij Kodi, përbën shkak për pavlefshmëri absolute të aktit procedural të dërgimit të </w:t>
      </w:r>
      <w:r w:rsidRPr="00ED5552">
        <w:rPr>
          <w:lang w:val="sq-AL"/>
        </w:rPr>
        <w:t>ç</w:t>
      </w:r>
      <w:r w:rsidRPr="00ED5552">
        <w:rPr>
          <w:i/>
          <w:iCs/>
          <w:spacing w:val="2"/>
          <w:lang w:val="sq-AL"/>
        </w:rPr>
        <w:t>ështjes në gjyq… (…)… Gjykata e shkallës së parë ka pasur detyrimin të marrë në shqyrtim kryesisht pavlefshmërinë absolute, ose të rivlerësonte vendimarrjen e saj pas kërkesave të të pandehurit Egnis Gojani në diskutimin përfundimtar me pasojë revokimin e vendimit për gjykim të shkurtuar të çështjes penale. Revokimi i vendimit duhej të shtrihej edhe tek të pandehurit e tjerë përsa kohë që akuza ndaj tyre është për një fakt penal të kryer në bashkëpunim, dhe që sipas praktikës gjyqësore të Gjykatës së Lartë, nuk mund të veçohet çështja penale pasi cënon procedimin penal. </w:t>
      </w:r>
      <w:r w:rsidRPr="00ED5552">
        <w:rPr>
          <w:i/>
          <w:iCs/>
          <w:lang w:val="sq-AL"/>
        </w:rPr>
        <w:t xml:space="preserve">Nëse ka pretendime për paligjshmërinë e akteve dhe të pandehurit e kërkojnë këtë, sikundër ka pretenduar në diskutime përfundimtare i pandehuri Egnis Gojani, atëherë gjykata për t’i dhënë zgjidhje pretendimeve dhe kërkesave duhet të revokonte vendimin që ajo ka marrë mbi kërkesën e të pandehurit për gjykim të shkurtuar dhe të urdhëronte vazhdimin e zhvillimit gjyqësor me gjykim të zakonshëm (shih vendimin e Kolegjit Penal të Gjykatës së Lartë Nr.00-2013-413 (1), datë 9.1.2013)… </w:t>
      </w:r>
      <w:r w:rsidRPr="00ED5552">
        <w:rPr>
          <w:i/>
          <w:iCs/>
        </w:rPr>
        <w:t xml:space="preserve">(…). </w:t>
      </w:r>
    </w:p>
    <w:p w:rsidR="00076E72" w:rsidRPr="00ED5552" w:rsidRDefault="00076E72" w:rsidP="00076E72">
      <w:pPr>
        <w:pStyle w:val="NormalWeb"/>
        <w:numPr>
          <w:ilvl w:val="2"/>
          <w:numId w:val="33"/>
        </w:numPr>
        <w:tabs>
          <w:tab w:val="left" w:pos="990"/>
          <w:tab w:val="left" w:pos="1170"/>
        </w:tabs>
        <w:spacing w:before="0" w:beforeAutospacing="0" w:after="0" w:afterAutospacing="0"/>
        <w:ind w:left="0" w:firstLine="540"/>
        <w:jc w:val="both"/>
        <w:rPr>
          <w:i/>
          <w:iCs/>
          <w:lang w:val="sq-AL"/>
        </w:rPr>
      </w:pPr>
      <w:r w:rsidRPr="00ED5552">
        <w:rPr>
          <w:i/>
          <w:iCs/>
          <w:lang w:val="sq-AL"/>
        </w:rPr>
        <w:t>Nga aktet e dosjes, Gjykata e Apelit konstaton kryesisht se edhe në rastin e të pandehurës Alketa Kallçaku ka shkaqe për pavlefshmëri të kërkesës për dërgimin e çështjes në gjyq. Rezulton se e pandehura Alketa Kallçaku, pasi i është komunikuar akuza dhe vendimi për përfundimin e hetimeve, nëpërmjet mbrojtësit të saj ka kërkuar kopje të akteve, kërkesë e pasqyruar në vendimin e prokurorit. Kjo e drejtë nuk i është garantuar të pandehurës, të cilës nuk ju vunë në dispozicion aktet, në kundërshtim me kërkesat e nenit 324/3 të KPP i cili parashikon se “Njoftimi përmban përshkrimin e përmbledhur të faktit penal për të cilin procedohet, kohën dhe vendin e kryerjes, cilësimin juridik, lajmërimin për depozitimin e akteve në sekretari dhe të drejtën për t'u njohur me aktet dhe për të marrë kopje. Pasi organi i akuzës ka paraqitur kërkesën për dërgim në gjyq dhe çështja ndodhej për gjykim para Gjyqtarit të Seancës Paraprake, mbrojtësi i të pandehurës Alketa Kallcaku në datat 04 dhe 24 Tetor 2024 ripërsëriti kërkesën për kopje të akteve të fashikullit dhe pamjet filmike të hyrjes së kamionit në terminal. Vetëm pas këtij momenti aktet ju vunë në dispozicion. Për rrjedhojë edhe për këtë të pandehur nuk është respektuar përcaktimi i paragrafit 3 të nenit 327 të KPP, bazuar në nenin 331 pika 2 të KPP, sipas të cilit “</w:t>
      </w:r>
      <w:r w:rsidRPr="00ED5552">
        <w:rPr>
          <w:i/>
          <w:iCs/>
          <w:spacing w:val="2"/>
          <w:lang w:val="sq-AL"/>
        </w:rPr>
        <w:t>Kërkesa për dërgimin e çështjes në gjyq është e pavlefshme kur nuk respektohen përcaktimet e paragrafëve 2, 3 dhe 4, të nenit 327, të këtij Kodi”.</w:t>
      </w:r>
      <w:r w:rsidRPr="00ED5552">
        <w:rPr>
          <w:i/>
          <w:iCs/>
          <w:lang w:val="sq-AL"/>
        </w:rPr>
        <w:t xml:space="preserve">Gjykata e apelit, edhe në këtë rast vlerëson kryesisht se kërkesa për dërgim në gjyq është absolutisht e pavlefshme dhe shkak për të cilin gjykata e shkallës së parë nuk mund të procedonte me gjykim të shkurtuar. Për shkak të vesit të kërkesës për dërgim në gjyq, aktet procedurale të mëpasme janë të pavlefshme përfshi vendimin për pranimin e gjykimit të shkurtuar dhe vetë vendimin përfundimtar të dhënë sipas këtij riti, dhe që është objekt ankimi në apel. Në kushtet, kur kërkesa për dërgimin e çështjes për gjykim konstatohet se është e pavlefshme si kryesisht nga gjykata në rastin e të pandehurës Alketa Kallçaku ashtu dhe mbi bazë ankimi në rastin e të pandehurit Egnis Gojani, në zbatim të nenit 331 pika 2 e tij për shkak të mosrespektimit të nenit 327 pikat 2 dhe 3 të K.Pr.Penale, referuar nenit 131 i K.Pr. Penale i cili parashikon se: </w:t>
      </w:r>
      <w:r w:rsidRPr="00ED5552">
        <w:rPr>
          <w:i/>
          <w:iCs/>
          <w:lang w:val="sq-AL"/>
        </w:rPr>
        <w:lastRenderedPageBreak/>
        <w:t>“1. Pavlefshmëria e një akti i bën të pavlefshme aktet e mëpasme që varennga ai që është deklaruar i pavlefshëm”, bën të pavlefshme të gjitha aktet e mëpasme që varen nga kërkesa për dërgimin e çështjes për gjykim, sikundër se është vendimi i Gjyqtarit të Seancës Paraprake për pranimin e gjykimit të shkurtuar dhe vetë vendimin përfundimtar të dhënë sipas këtij riti, dhe që është objekt ankimi në apel, dhe shkak për të cilin vendimi i gjykatës së shkallës së parë duhet të prishet dhe çështja duhet të kthehet për rigjykim me tjetër trup gjykues.</w:t>
      </w:r>
    </w:p>
    <w:p w:rsidR="00076E72" w:rsidRPr="00ED5552" w:rsidRDefault="00076E72" w:rsidP="00076E72">
      <w:pPr>
        <w:pStyle w:val="NormalWeb"/>
        <w:numPr>
          <w:ilvl w:val="1"/>
          <w:numId w:val="33"/>
        </w:numPr>
        <w:tabs>
          <w:tab w:val="left" w:pos="990"/>
          <w:tab w:val="left" w:pos="1170"/>
        </w:tabs>
        <w:spacing w:before="0" w:beforeAutospacing="0" w:after="0" w:afterAutospacing="0"/>
        <w:ind w:left="0" w:firstLine="540"/>
        <w:jc w:val="both"/>
        <w:rPr>
          <w:i/>
          <w:iCs/>
          <w:lang w:val="sq-AL"/>
        </w:rPr>
      </w:pPr>
      <w:r w:rsidRPr="00ED5552">
        <w:rPr>
          <w:i/>
          <w:iCs/>
          <w:lang w:val="sq-AL"/>
        </w:rPr>
        <w:t xml:space="preserve">Gjykata e Apelit, konstaton gjithashtu se Gjyqtari i Seancës Paraprake, i cili në rastin konkret rezulton të jetë më pas edhe gjyqtari i themelit, nuk ka kryer detyrën e vet funksionale në verifikimin e plotësisë së hetimeve e lidhur kjo me detyrimin e prokurorit për ushtrimin e ndjekjes penale. Mungesa e ushtrimit të ndjekjes penale nga prokurori në kuptimin substancial të saj dhe mungesa e kontrollit nga Gjyqtari i Seancës Paraprake të ushtrimit të ndjekjes penale, pasjell pavlefshmëri absolute të vendimit të gjyqtarit për të ftuar palët në diskutime përfundimtare mbi bazën e ushtrimit të ndjekjes penale jo në respektim të plotë të dispozitave procedurale penale dhe kryerjen e hetimeve jo të plota për këtë çështje… </w:t>
      </w:r>
      <w:r w:rsidRPr="00ED5552">
        <w:rPr>
          <w:i/>
          <w:iCs/>
          <w:shd w:val="clear" w:color="auto" w:fill="FFFFFF"/>
          <w:lang w:val="sq-AL"/>
        </w:rPr>
        <w:t>(…)</w:t>
      </w:r>
      <w:r w:rsidRPr="00ED5552">
        <w:rPr>
          <w:i/>
          <w:iCs/>
          <w:lang w:val="sq-AL"/>
        </w:rPr>
        <w:t xml:space="preserve">. </w:t>
      </w:r>
      <w:r w:rsidRPr="00ED5552">
        <w:rPr>
          <w:i/>
          <w:iCs/>
          <w:shd w:val="clear" w:color="auto" w:fill="FFFFFF"/>
          <w:lang w:val="sq-AL"/>
        </w:rPr>
        <w:t>Gjykata e shkallës së parë, ka dhënë një vendim jo nëpërputhje me të drejtën procedurale që normojnë mënyrën e disponimit të gjykatës në rastet e kërkesës për dërgimin e çështjes në gjyq, pasi në cilësinë e </w:t>
      </w:r>
      <w:r w:rsidRPr="00ED5552">
        <w:rPr>
          <w:i/>
          <w:iCs/>
          <w:lang w:val="sq-AL"/>
        </w:rPr>
        <w:t xml:space="preserve">gjyqtarit të seancës paraprake nuk ka kontrolluar ushtrimin e ndjekjes penale sipas parimit të ligjshmërisë në drejtim të përshtatshmërisë dhe plotësisë së materialit provues, burimit të provave të grumbulluara nga prokurori përgjatë hetimeve paraprake, nevojën për kryerjen ose jo të hetimeve të tjera. (...). </w:t>
      </w:r>
      <w:r w:rsidRPr="00ED5552">
        <w:rPr>
          <w:i/>
          <w:iCs/>
          <w:shd w:val="clear" w:color="auto" w:fill="FFFFFF"/>
          <w:lang w:val="sq-AL"/>
        </w:rPr>
        <w:t>a. Lidhur me dërgimin në gjykim të çështjes penale për të pandehurin Hysen Zeqiri, gjykata e shkallës së parë duhej të kishte verifikuar nëse veprimet hetimore të kryera nga prokuroria për këtë të pandehur kanë qenë të plota apo jo, mision kryesor ky i Gjyqtarit të Seancës Paraprake. Nga aktet e dosjes rezulton se ky i pandehur ka pasur dijeni të plotë dhe ka qenë një ndër personat që ka pritur daljen e kamionit me kontenierin nga teritori doganor, e ka shoqëruar me automjetin e tij ku një pjesë të rrugës e kanë përshkruar së bashku me të pandehurin Adelion Vila, ka qenë I pranishëm dhe dukej se ishte personi që interesohej kontrolli i kontenierit dhe po prej tij janë marrë produktet në dy arka me banane, pas disa orë kërkimi. Pasi u gjetën arkat e duhura me banane, brenda të cilave gjendej produkti që pritej të ndodhej në këtë arka, ato u vendosën në automjetin e të pandehurit Hyzen Zeqiri i cili i trasportoi më pas në një destinacion tjetër. Gjyqtari i Seancës Paraprake, nuk ka kryer detyrën kryesore të kontrollit të plotësisë së hetimeve, në një kohë që prokuroria nuk ka hetuar për natyrën dhe llojin e produktit që ndodhej në dy arkat me banane të cilat u hoqën nga kontenieri, destinacioni i tyre dhe personat e tjerë të përfshirë në të. Hetimet e thelluara në këtë drejtim do të orientonin drejt dhe ngritjen e akuzave të duhura.</w:t>
      </w:r>
      <w:r w:rsidRPr="00ED5552">
        <w:rPr>
          <w:i/>
          <w:iCs/>
          <w:lang w:val="sq-AL"/>
        </w:rPr>
        <w:t xml:space="preserve"> (...). </w:t>
      </w:r>
      <w:r w:rsidRPr="00ED5552">
        <w:rPr>
          <w:i/>
          <w:iCs/>
          <w:shd w:val="clear" w:color="auto" w:fill="FFFFFF"/>
          <w:lang w:val="sq-AL"/>
        </w:rPr>
        <w:t xml:space="preserve">b. Gjyqtari i Seancës Paraprake nuk ka verifikuar plotësinë e hetimeve nëse në këtë aktivitet të kundraligjshëm kanë qenë të përfshirë edhe subjekte të tjerë që ushtrojnë funksione publike, dhe nëse ky aktivitet i kundraligjshëm lidhet vetëm me vepra penale në fushën e doganave, apo veprimtari tjetër kriminale e kryer që shkon përtej dy arkave me banane të mbërritura në territorin shqiptar të cilat janë hequr nga kontenieri dhe që sipas aktit të ekspertimit kontabël rezulton dëmi në vlerën 5,000 lekë. Dega e Doganës Durrës në informacionin e përcjellë për prokurorinë informon se “Shoqëria “ZiCo”sha, importon artikuj të eksportuar nga vende të Amerikës Latine, të konsideruara si vende me risk të lartë dhe për rrjedhojë në mbështetje të kodit doganor dhe akteve nënligjore këto ngarkesa duhet të scanohen 100%. Rezulton se në jo pak raste në importet e kësaj shoqërie janë konstatuar sasi të lëndëve narkotike të për të cilën janë rregjistruar edhe procedime…” </w:t>
      </w:r>
      <w:r w:rsidRPr="00ED5552">
        <w:rPr>
          <w:i/>
          <w:iCs/>
          <w:shd w:val="clear" w:color="auto" w:fill="FFFFFF"/>
        </w:rPr>
        <w:t>… Autoriteti Portual Durrës është përgjegjës për sigurinë në port”.</w:t>
      </w:r>
      <w:r w:rsidRPr="00ED5552">
        <w:rPr>
          <w:i/>
          <w:iCs/>
          <w:lang w:val="sq-AL"/>
        </w:rPr>
        <w:t xml:space="preserve">(...). c. I pandehuri Adelion Vila rezulton me detyrë Ndihmës specialist kontrollor në Stacionin e Policisë Kufitare Port Durrës në Drejtorinë Vendore të Kufirit dhe Migracionit. Në datë 08.12.2023 nga ora 08.00-22.00 ka qenë i planizuar me shërbim me detyrë Ndihmës specialist Kontrollor tek Njësia e Përbashkët e Kontrollit të Kontenierëve në Terminalin e Kontenierëve në Portin Durrës. Me dashje dhe në bashkëpunim me të tjerë ka </w:t>
      </w:r>
      <w:r w:rsidRPr="00ED5552">
        <w:rPr>
          <w:i/>
          <w:iCs/>
          <w:lang w:val="sq-AL"/>
        </w:rPr>
        <w:lastRenderedPageBreak/>
        <w:t>lejuar daljen nga Terminali i Kontenierëve të Portit Durrës (dalja në orën 16.00 dhe ka hyrë në orën 18.41) në kundërshtim me rregullat dhe pa kryerprocedurat e zhdoganimit, të kontenierit me nr. SEGU944869” që i përket kompanisë “ZiCo”sha., i ngarkuar me banane. Nga ana objektive mënyra e kryerjes së faktit penal nga ky i pandehur tregon më së paku pakujdesi të theksuar të shërbimeve të sigurisë së territorit doganor dhe më së shumti një organizim të përkryer për të siguruar koridor të lirë pa survejim policor për lëvizjen e konterinerit, me përmasa të konsiderueshme dhe lehtësisht të evidentueshme, nga terminali jashtë doganës dhe rikthimin e tij, pa u vënë re. Kjo e fundit duhej të ishte pjesë e verifikimit të plotësisë së hetimeve nga Gjyqtari i Seancës Paraprake para se ai të kthehej në gjyqtar themeli për shkak të pranimit të gjykimit të shkurtuar.</w:t>
      </w:r>
      <w:r w:rsidRPr="00ED5552">
        <w:rPr>
          <w:i/>
          <w:iCs/>
          <w:shd w:val="clear" w:color="auto" w:fill="FFFFFF"/>
          <w:lang w:val="sq-AL"/>
        </w:rPr>
        <w:t> Në dosje ndodhen vetëm disa procedime disiplinore ndaj zinxhirit të punonjësve të policisë, ndërsa procedimi penal nuk ka identifikuar përgjegjës dhe në vijim procedimi është ve</w:t>
      </w:r>
      <w:r w:rsidRPr="00ED5552">
        <w:rPr>
          <w:i/>
          <w:iCs/>
          <w:lang w:val="sq-AL"/>
        </w:rPr>
        <w:t>ç</w:t>
      </w:r>
      <w:r w:rsidRPr="00ED5552">
        <w:rPr>
          <w:i/>
          <w:iCs/>
          <w:shd w:val="clear" w:color="auto" w:fill="FFFFFF"/>
          <w:lang w:val="sq-AL"/>
        </w:rPr>
        <w:t>uar për vijimin e hetimeve.</w:t>
      </w:r>
    </w:p>
    <w:p w:rsidR="00076E72" w:rsidRPr="00ED5552" w:rsidRDefault="00076E72" w:rsidP="00076E72">
      <w:pPr>
        <w:pStyle w:val="NormalWeb"/>
        <w:numPr>
          <w:ilvl w:val="1"/>
          <w:numId w:val="33"/>
        </w:numPr>
        <w:tabs>
          <w:tab w:val="left" w:pos="990"/>
          <w:tab w:val="left" w:pos="1170"/>
        </w:tabs>
        <w:spacing w:before="0" w:beforeAutospacing="0" w:after="0" w:afterAutospacing="0"/>
        <w:ind w:left="0" w:firstLine="540"/>
        <w:jc w:val="both"/>
        <w:rPr>
          <w:i/>
          <w:iCs/>
          <w:lang w:val="sq-AL"/>
        </w:rPr>
      </w:pPr>
      <w:r w:rsidRPr="00ED5552">
        <w:rPr>
          <w:i/>
          <w:iCs/>
          <w:shd w:val="clear" w:color="auto" w:fill="FFFFFF"/>
          <w:lang w:val="sq-AL"/>
        </w:rPr>
        <w:t>Gjykata e shkallës së parë i ka gjetur fajtor dhe dënuar të pandehurit Alketa Kallçaku punonjësit e Shoqërisë “Marina Adriatic” shpk, për veprën penale “shpërdorim detyre”, parashikuar nga neni 248 KP, kryer në bashkëpunim, me subjektin e posaçëm Adelion Vila. Gjykata e apelit e gjen vendimin e gjykatës së shkallës së parë tërësisht të paarsyetuar në drejtim të faktit nëse këta të pandehur janë apo jo subjekt të veprës penale “shpërdorim detyre” parashikuar nga neni 248 KP. Nga aktet rezulton se sipas marrëveshjes datë 31.03.2021 midis Autoritetit Portual Durrës dhe shoqërisë private “Mariner Adriatic” shpk, në cilësinë e operatorit privat, filial në Shqipëri i shoqërisë Hili Compani, të cilës me procedurë prokurimi i ka kaluar menaxhimi i Terminalit të Kontenierëve Durrës, i gjithë personeli i terminalit kur menaxhohej nga shteti shqiptar, u transferuan si punojës të shoqërisë private “Mariner Adriatic” shpk. Secili prej të pandehurve Alketa Kallcaku, Denis Musaj dhe Egnis Gojani ka lidhur kontratën e punës me shoqërinë “Mariner Adriatic” po në datë 31.03.2021, në pozicionin “Inspektor Porte”. Sa më sipër, ata rezultojnë të jenë të punësuar pranë shoqërisë “Marina Adriatic shpk” e cila është e organizuar si person juridik me përgjegjësi të kufizuar. Gjykata e shkallës së parë nuk ka arsyetuar nëse gjatë ushtrimit të detyrës së tyre lidhur me faktin penal për të cilin gjykohen të pandehurit, kanë ushtruar ajo jo funksion publik dhe në këtë kontekst, janë apo jo subjekte të veprës penale të parashikuar nga neni 248 KP. Gjykata ka mbajtur një qëndrim kontradiktor dhe standard të dyfishtë në interpretimin e subjekteve të kësaj vepre penale për këta të pandehur në raport me qëndrimin dhe arsyetimin e vetë gjykatës për dy të pandehurit e tjerë Durim Halka dhe Hysen Zeqiri. Vendimi i gjykatës së shkallës së parë është tërësisht i paarsyetuar, kontradiktor dhe absolutisht i pavlefshëm edhe për këtë shkak, me pasojë prishjen dhe kthimin e tij për rigjykim në shkallë të parë sipas nenit 428/1 shkronja “ç” të KPP.</w:t>
      </w:r>
    </w:p>
    <w:p w:rsidR="00076E72" w:rsidRPr="00ED5552" w:rsidRDefault="00076E72" w:rsidP="00076E72">
      <w:pPr>
        <w:pStyle w:val="NormalWeb"/>
        <w:numPr>
          <w:ilvl w:val="1"/>
          <w:numId w:val="33"/>
        </w:numPr>
        <w:tabs>
          <w:tab w:val="left" w:pos="990"/>
          <w:tab w:val="left" w:pos="1170"/>
        </w:tabs>
        <w:spacing w:before="0" w:beforeAutospacing="0" w:after="0" w:afterAutospacing="0"/>
        <w:ind w:left="0" w:firstLine="540"/>
        <w:jc w:val="both"/>
        <w:rPr>
          <w:i/>
          <w:iCs/>
          <w:lang w:val="sq-AL"/>
        </w:rPr>
      </w:pPr>
      <w:r w:rsidRPr="00ED5552">
        <w:rPr>
          <w:i/>
          <w:iCs/>
          <w:lang w:val="sq-AL"/>
        </w:rPr>
        <w:t>IV. Sa i përket kërkesës së prokurorit në apel për përsëritje të shqyrtimit gjyqësor lidhur me ankimin e ushtruar nga akuza ndaj të pandehurve Durim Halka dhe Hysen Zeqiri të cilët janë deklaruar të pafajshëm nga gjykata e shkallës së parë për veprën penale të parashikuar nga neni 248 KP. Gjykata e Apelit rrëzoi kërkesën me argumentin se nuk jemi përpara kushteve të vendimit njehësues </w:t>
      </w:r>
      <w:r w:rsidRPr="00ED5552">
        <w:rPr>
          <w:i/>
          <w:iCs/>
          <w:lang w:val="it-IT"/>
        </w:rPr>
        <w:t>Nr. 00-2024-2162 (275), datë 06.11.2024 </w:t>
      </w:r>
      <w:r w:rsidRPr="00ED5552">
        <w:rPr>
          <w:i/>
          <w:iCs/>
          <w:lang w:val="sq-AL"/>
        </w:rPr>
        <w:t xml:space="preserve">të Gjykatës së Lartë. Në këtë vendim njëhsues përcaktohet qartazi se cilat janë kushtet për të cilat mund të përsëritet shqyrtimi gjyqësor, në të cilin ndër të tjera arsyetohet se: “76. Vetë neni 427 i KPP, është titulluar “Përsëritja e shqyrtimit gjyqësor” dhe parashikon “rimarrjen e provave të lejuara në shqyrtimin gjyqësor të shkallës së parë” “marrjen e provave të reja”,“përsëritjen e shqyrtimin gjyqësor”, të drejtën e disponimit të gjykatës “provat që zbulohen pas gjykimit të shkallës së parë ose të atyre që dalin aty për aty”. Nga përmbajtja e këtyre termave në raport me këtë dispozitë rezulton se përsëritja e shqyrtimit gjyqësor mund të bëhet: (i) me “rimarrjen e provave të lejuara në shqyrtimin gjyqësor të shkallës së parë” (ii) me “marrjen e provave të reja”, (iii) me ndalimin e Gjykatës së Apelit për deklarimin fajtor të të pandehurit vetëm mbi bazën e vlerësimit të ndryshëm të provave të marra në gjykimin në shkallë të parë. Në këtë rast gjykata e apelit përsërit shqyrtimin gjyqësor. (iv) me të drejtën e disponimit të gjykatës për “provat që zbulohen pas gjykimit të shkallës së parë </w:t>
      </w:r>
      <w:r w:rsidRPr="00ED5552">
        <w:rPr>
          <w:i/>
          <w:iCs/>
          <w:lang w:val="sq-AL"/>
        </w:rPr>
        <w:lastRenderedPageBreak/>
        <w:t>ose të atyre që dalin aty për aty.” Në përfundim të çështjes të shtruar për njehësim në këtë vendim qartazi është arsyetuar: “Parashikimi i nenit 427, pika 4, të Kodit të Procedurës Penale nuk e detyron gjykatën e apelit që në çdo rast kur apelohet vendimi i pafajësisë, </w:t>
      </w:r>
      <w:bookmarkStart w:id="1" w:name="_Hlk184492874"/>
      <w:r w:rsidRPr="00ED5552">
        <w:rPr>
          <w:i/>
          <w:iCs/>
          <w:lang w:val="sq-AL"/>
        </w:rPr>
        <w:t>të përsërisë shqyrtimin gjyqësor. Kur gjykata vendos përsëritjen e shqyrtimit gjyqësor, e vlerëson këtë disponim në raport me nevojën e verifikimit të fakteve ose provave të çështjes në gjykim, </w:t>
      </w:r>
      <w:bookmarkStart w:id="2" w:name="_Hlk184492924"/>
      <w:bookmarkEnd w:id="1"/>
      <w:r w:rsidRPr="00ED5552">
        <w:rPr>
          <w:i/>
          <w:iCs/>
          <w:lang w:val="sq-AL"/>
        </w:rPr>
        <w:t>nëse në apel janë ngritur çështje të vlerësimit të gabuar të provave </w:t>
      </w:r>
      <w:bookmarkEnd w:id="2"/>
      <w:r w:rsidRPr="00ED5552">
        <w:rPr>
          <w:i/>
          <w:iCs/>
          <w:lang w:val="sq-AL"/>
        </w:rPr>
        <w:t>nga gjykata e shkallës së parë.” Në rastin konkret gjykata konstatoi se jemi përpara një analize ligjore dhe jo një elementi fakti, ndaj dhe në këto kushte çmoi të rrëzojë kërkesën e prokurorit, duke mbajtur në konsideratë gjithashtu pavlefshmëritë e konstatuara sipas arsyetimit të mësipërm të gjykatës.</w:t>
      </w:r>
    </w:p>
    <w:p w:rsidR="00076E72" w:rsidRPr="00ED5552" w:rsidRDefault="00076E72" w:rsidP="00076E72">
      <w:pPr>
        <w:pStyle w:val="NormalWeb"/>
        <w:numPr>
          <w:ilvl w:val="1"/>
          <w:numId w:val="33"/>
        </w:numPr>
        <w:tabs>
          <w:tab w:val="left" w:pos="990"/>
          <w:tab w:val="left" w:pos="1170"/>
        </w:tabs>
        <w:spacing w:before="0" w:beforeAutospacing="0" w:after="0" w:afterAutospacing="0"/>
        <w:ind w:left="0" w:firstLine="540"/>
        <w:jc w:val="both"/>
        <w:rPr>
          <w:i/>
          <w:iCs/>
          <w:lang w:val="sq-AL"/>
        </w:rPr>
      </w:pPr>
      <w:r w:rsidRPr="00ED5552">
        <w:rPr>
          <w:i/>
          <w:iCs/>
          <w:lang w:val="sq-AL"/>
        </w:rPr>
        <w:t xml:space="preserve">V. Në rigjykim, gjykata e shkallës së parë duhet të mbajë në konsideratë sa më sipër pavlefshmërinë e kërkesës për dërgim në gjyq, çështjet e shtruara mbi plotësinë e hetimeve, çështjet e diskutuara mbi subjektet e veprës penale të parashikuar nga neni 248 KP, ndërsa do të duhet të arsyetojë nëse mund të zbatohet me analogji vendimi unifikues nr. 3, datë 02.11.2015, të Kolegjeve të Bashkuara të Gjykatës së Lartë (ku në rastin e figurës së veprës penale të parashikuar nga neni 175 i KoditPenal, bashkëpunimi i një subjekti të veçantë (intraneus) me një subjekt tjetër të përgjithshëm (extraneus) përbën një rast të veçantë, që është parashikuar shprehimisht dhe posaçërisht nga neni 175 i Kodit Penal, i cili disponon se “Kryerja e kontrabandës nga  punonjës të doganave ose punonjës që kanë lidhje me veprimtarinë doganore, qoftë edhe në bashkëpunim me persona të tjerë, dënohet me burgim nga tre gjer në dhjetë vjet”). Lidhur me këtë të fundit, gjykata e apelit thekson se në bazë të parimit të specialitetit, kur dy norma ligjore rregullojnë të njëjtën lëndë, zbatohet norma e posaçme, e cila ka përparësi dhe shmang normën e përgjithshme, kjo në përputhje me kriterin e përgjithshëm juridik për zgjidhjen e kundërshtive lex specialis derogat legi generali. (...)... Në cilësimin juridik të faktit penal, gjykata në rigjykim duhet të mbajë në konsiderë edhe vendimin unifikues të Gjykatëssë Lartë Nr.1 datë 12.03.2002 sipas të cilit “Anën objektive të figurës së krimit të shpërdorimit të detyrës, parashikuar nga neni 248 i K.Penal, të cilin ligjëvënësi, vec të tjerave, e ka shprehur edhe me fjalët: “Kryerja… E veprimeve në kundërshtim me ligjin që përbën mospërmbushje të rregullt tëdetyrës”, që janë shumë të përgjithshme, në figurën e krimit të parashikuar nganeni 175 i K.Penal, këtë element përbërës të kësaj figure krimi, e ka konkretizuar, duke e shprehur me fjalët: “Kryerja e kontrabandës…” veprimtari kjo, e cila është e qartë që është në kundërshtim me ligjin dhe me përmbushjen e rregullt të detyrës të një kategorie të caktuar personash dhe konkretisht të punonjësve që lidhen me veprimtarië doganore. Këta të fundit përbëjnë edhe subjektin e posacëm të figurës së krimit të parashikuar nga neni 175 i K.Penal në të cilin mund të përfshihet një rreth i kufizuar personash sic janë punonjësit e doganave ose punonjës të tjerë që kanë lidhje me veprimtarinë doganore dhe jo cdo punonjës i ngarkuar me funksion shtetëror ose me shërbim publik nga të cilat që përbëhet subjekti i figurës së krimit të parashikuar nga neni 248 i K.Penal. Nga sa u tha më lart, arrihet në përfundimin se figura e krimit të kontrabandës nga punonjës që lidhen me veprimtarinë doganore, parashikuar nga neni 175 i K.Penal, është një variant i figurës së përgjithshme të krimit të shpërdorimit të detyrës, parashikuar nga neni 248 i tij, e cila realizohet në një fushë specifike të veprimtarisë shtetërore sikurse është ajo e doganave dhe prandaj këto figura krimi nuk mund të konkurojnë me njëra tjetrën”. Gjykata në rigjykim, duhet të mbajë në konsideratë edhe parashikimet e vendimit Nr. 4 datë 10.02.2012 të Gjykatës Kushtetuese ku arsyetohet se “ E thënë ndryshe, gjyqtari në momentin e marrjes së vendimit, në lidhje me pranimin ose jo të kërkesës për gjykim të shkurtuar të të pandehurit, duhet të udhëhiqet jo vetëm nga parimi i ekonomisë gjyqësore (shih paragrafin 19 të këtij vendimi), por duhet të vendosë, kryesisht, në përputhje me parimin e drejtësisë efektive. Kjo do të thotë që ai, ndër të tjera, duhet të marrë në konsideratë edhe cilësimin juridik të veprës penale të përcaktuar nga prokurori. Si pasojë, nëse ka dyshime mbi këtë cilësim, ky element mjafton që gjyqtari të rrëzojë kërkesën e të pandehurit për të proceduar me gjykim të posaçëm dhe të vazhdojë gjykimin me procedurën e </w:t>
      </w:r>
      <w:r w:rsidRPr="00ED5552">
        <w:rPr>
          <w:i/>
          <w:iCs/>
          <w:lang w:val="sq-AL"/>
        </w:rPr>
        <w:lastRenderedPageBreak/>
        <w:t>zakonshme duke respektuar kështu të gjitha parimet e procesit të rregullt ligjor, si kontradiktoriteti, e drejta e mbrojtjes, etj.… Nga sa më lart, Gjykata arrin në konkluzionin se, kur nga gjykatat e juridiksionit të zakonshëm procedohet me gjykim të shkurtuar, procedim në të cilin, duke qenë se gjykata merr në konsideratë vetëm dosjen e prokurorit, nuk ekziston mundësia e realizimit të së drejtës së mbrojtjes efektive nga i pandehuri, ndryshimi i cilësimit juridik të veprës penale nga ana e gjykatës, është në kundërshtim me qëllimin e këtij gjykimi”.</w:t>
      </w:r>
    </w:p>
    <w:p w:rsidR="00076E72" w:rsidRPr="00ED5552" w:rsidRDefault="00076E72" w:rsidP="00076E72">
      <w:pPr>
        <w:pStyle w:val="NormalWeb"/>
        <w:numPr>
          <w:ilvl w:val="0"/>
          <w:numId w:val="33"/>
        </w:numPr>
        <w:tabs>
          <w:tab w:val="left" w:pos="540"/>
          <w:tab w:val="left" w:pos="900"/>
        </w:tabs>
        <w:spacing w:before="0" w:beforeAutospacing="0" w:after="0" w:afterAutospacing="0"/>
        <w:ind w:left="0" w:firstLine="540"/>
        <w:jc w:val="both"/>
        <w:rPr>
          <w:bCs/>
          <w:i/>
          <w:iCs/>
          <w:lang w:val="sq-AL"/>
        </w:rPr>
      </w:pPr>
      <w:r w:rsidRPr="00ED5552">
        <w:rPr>
          <w:rFonts w:eastAsia="MS Mincho"/>
          <w:lang w:val="sq-AL"/>
        </w:rPr>
        <w:t xml:space="preserve">Kundër vendimit </w:t>
      </w:r>
      <w:bookmarkStart w:id="3" w:name="_Hlk204435824"/>
      <w:r w:rsidRPr="00ED5552">
        <w:rPr>
          <w:lang w:val="sq-AL"/>
        </w:rPr>
        <w:t xml:space="preserve">nr. 1426 (30-2025-4911) datë 09.06.2025 </w:t>
      </w:r>
      <w:r w:rsidRPr="00ED5552">
        <w:rPr>
          <w:rFonts w:eastAsia="MS Mincho"/>
          <w:lang w:val="sq-AL"/>
        </w:rPr>
        <w:t>të Gjykatës së Apelit të Juridiksionit të Përgjithshëm,</w:t>
      </w:r>
      <w:bookmarkEnd w:id="3"/>
      <w:r w:rsidRPr="00ED5552">
        <w:rPr>
          <w:rFonts w:eastAsia="MS Mincho"/>
          <w:lang w:val="sq-AL"/>
        </w:rPr>
        <w:t xml:space="preserve"> ka paraqitur rekurs i pandehuri Durim Halka</w:t>
      </w:r>
      <w:r w:rsidRPr="00ED5552">
        <w:rPr>
          <w:rFonts w:eastAsia="MS Mincho"/>
          <w:b/>
          <w:lang w:val="sq-AL"/>
        </w:rPr>
        <w:t xml:space="preserve"> </w:t>
      </w:r>
      <w:r w:rsidRPr="00ED5552">
        <w:rPr>
          <w:rFonts w:eastAsia="MS Mincho"/>
          <w:i/>
          <w:iCs/>
          <w:lang w:val="sq-AL"/>
        </w:rPr>
        <w:t>(</w:t>
      </w:r>
      <w:r w:rsidRPr="00ED5552">
        <w:rPr>
          <w:rFonts w:eastAsia="MS Mincho"/>
          <w:bCs/>
          <w:i/>
          <w:iCs/>
          <w:lang w:val="sq-AL"/>
        </w:rPr>
        <w:t>i përfaqësuar nga mbrojtësi i zgjedhur),</w:t>
      </w:r>
      <w:r w:rsidRPr="00ED5552">
        <w:rPr>
          <w:rFonts w:eastAsia="MS Mincho"/>
          <w:bCs/>
          <w:lang w:val="sq-AL"/>
        </w:rPr>
        <w:t xml:space="preserve"> </w:t>
      </w:r>
      <w:r w:rsidRPr="00ED5552">
        <w:rPr>
          <w:bCs/>
          <w:lang w:val="sq-AL"/>
        </w:rPr>
        <w:t>duke kërkuar</w:t>
      </w:r>
      <w:r w:rsidRPr="00ED5552">
        <w:rPr>
          <w:bCs/>
          <w:i/>
          <w:iCs/>
          <w:lang w:val="sq-AL"/>
        </w:rPr>
        <w:t>: “</w:t>
      </w:r>
      <w:r w:rsidRPr="00ED5552">
        <w:rPr>
          <w:i/>
          <w:iCs/>
          <w:lang w:val="sq-AL"/>
        </w:rPr>
        <w:t>Ndryshimin e vendimit nr. 1462 (30-2025-4911, datë 09.06.2025 të Gjykatës së Apelit të Juridiksionit të Përgjithshëm Tiranë, duke vendosur kthimin e çështjes për rigjykim pranë Gjykatës së Apelit</w:t>
      </w:r>
      <w:r w:rsidRPr="00ED5552">
        <w:rPr>
          <w:rFonts w:eastAsia="MS Mincho"/>
          <w:bCs/>
          <w:i/>
          <w:iCs/>
          <w:lang w:val="sq-AL"/>
        </w:rPr>
        <w:t>”.</w:t>
      </w:r>
      <w:r w:rsidRPr="00ED5552">
        <w:rPr>
          <w:rFonts w:eastAsia="MS Mincho"/>
          <w:b/>
          <w:i/>
          <w:iCs/>
          <w:lang w:val="sq-AL"/>
        </w:rPr>
        <w:t xml:space="preserve"> </w:t>
      </w:r>
      <w:r w:rsidRPr="00ED5552">
        <w:rPr>
          <w:rFonts w:eastAsia="MS Mincho"/>
          <w:bCs/>
          <w:lang w:val="sq-AL"/>
        </w:rPr>
        <w:t>Në rekurs në mënyrë të përmbledhur janë paraqitur shkaqet si vijon:</w:t>
      </w:r>
      <w:r w:rsidRPr="00ED5552">
        <w:rPr>
          <w:rFonts w:eastAsia="MS Mincho"/>
          <w:b/>
          <w:i/>
          <w:iCs/>
          <w:lang w:val="sq-AL"/>
        </w:rPr>
        <w:t xml:space="preserve"> </w:t>
      </w:r>
    </w:p>
    <w:p w:rsidR="00076E72" w:rsidRPr="00ED5552" w:rsidRDefault="00076E72" w:rsidP="00076E72">
      <w:pPr>
        <w:pStyle w:val="NormalWeb"/>
        <w:numPr>
          <w:ilvl w:val="0"/>
          <w:numId w:val="26"/>
        </w:numPr>
        <w:tabs>
          <w:tab w:val="left" w:pos="180"/>
          <w:tab w:val="left" w:pos="540"/>
          <w:tab w:val="left" w:pos="900"/>
        </w:tabs>
        <w:spacing w:before="0" w:beforeAutospacing="0" w:after="0" w:afterAutospacing="0"/>
        <w:ind w:left="0" w:firstLine="180"/>
        <w:jc w:val="both"/>
        <w:rPr>
          <w:i/>
          <w:iCs/>
          <w:lang w:val="sq-AL"/>
        </w:rPr>
      </w:pPr>
      <w:r w:rsidRPr="00ED5552">
        <w:rPr>
          <w:lang w:val="sq-AL"/>
        </w:rPr>
        <w:t>Gjykata e Apelit nëpërmjet vendimmarrjes së saj ka cenuar parimin e ligjshmërisë dhe ka shkelur rregullat e një procesi të rregullt gjyqësor duke rënduar pozitën ligjore dhe procedurale të rekursuesit Durim Halka.</w:t>
      </w:r>
    </w:p>
    <w:p w:rsidR="00076E72" w:rsidRPr="00ED5552" w:rsidRDefault="00076E72" w:rsidP="00076E72">
      <w:pPr>
        <w:pStyle w:val="NormalWeb"/>
        <w:numPr>
          <w:ilvl w:val="0"/>
          <w:numId w:val="26"/>
        </w:numPr>
        <w:tabs>
          <w:tab w:val="left" w:pos="180"/>
          <w:tab w:val="left" w:pos="540"/>
          <w:tab w:val="left" w:pos="900"/>
        </w:tabs>
        <w:spacing w:before="0" w:beforeAutospacing="0" w:after="0" w:afterAutospacing="0"/>
        <w:ind w:left="0" w:firstLine="180"/>
        <w:jc w:val="both"/>
        <w:rPr>
          <w:i/>
          <w:iCs/>
          <w:lang w:val="sq-AL"/>
        </w:rPr>
      </w:pPr>
      <w:r w:rsidRPr="00ED5552">
        <w:rPr>
          <w:lang w:val="sq-AL"/>
        </w:rPr>
        <w:t>Në vendimin e saj gjykata nuk ka cituar në asnjë fjali të vetme se kualif</w:t>
      </w:r>
      <w:r w:rsidR="00F86292" w:rsidRPr="00ED5552">
        <w:rPr>
          <w:lang w:val="sq-AL"/>
        </w:rPr>
        <w:t>ikimi juridik i veprës penale "M</w:t>
      </w:r>
      <w:r w:rsidRPr="00ED5552">
        <w:rPr>
          <w:lang w:val="sq-AL"/>
        </w:rPr>
        <w:t>oskallëzim krimi" për të pandehurin Durim Halka është i gabuar apo nëse ai mund të përgjigjet penalisht për ndonjë vepër penale më të rëndë. Megjithatë, në prishje të vendimit të gjykatës në tërësi, ka sjellë si pasojë kthimin e çështjes për rigjykim edhe për këtë të pandehur.</w:t>
      </w:r>
    </w:p>
    <w:p w:rsidR="00076E72" w:rsidRPr="00ED5552" w:rsidRDefault="00076E72" w:rsidP="00076E72">
      <w:pPr>
        <w:pStyle w:val="NormalWeb"/>
        <w:numPr>
          <w:ilvl w:val="0"/>
          <w:numId w:val="26"/>
        </w:numPr>
        <w:tabs>
          <w:tab w:val="left" w:pos="180"/>
          <w:tab w:val="left" w:pos="540"/>
          <w:tab w:val="left" w:pos="900"/>
        </w:tabs>
        <w:spacing w:before="0" w:beforeAutospacing="0" w:after="0" w:afterAutospacing="0"/>
        <w:ind w:left="0" w:firstLine="180"/>
        <w:jc w:val="both"/>
        <w:rPr>
          <w:i/>
          <w:iCs/>
          <w:lang w:val="sq-AL"/>
        </w:rPr>
      </w:pPr>
      <w:r w:rsidRPr="00ED5552">
        <w:rPr>
          <w:lang w:val="sq-AL"/>
        </w:rPr>
        <w:t>I pandehuri Durim Halka është deklaruar fajtor jo për faktin e nxjerrjes së kontenierit nga porti, por pasi ka kuptuar në parking se po kryhej një veprimtari e paligjshme nuk ka kallëzuar. Rrjedhimisht, pavarësisht se gjykata e shkallës se parë nuk është shprehur për pafajësi për veprën penale të shpërdorimit të detyrës por ka rikualifikuar faktin, është e qartë se ky shtetas nuk është dënuar penalisht për veprën penale të shpërdorimit të detyrës në bashkëpunim me shtetasin Adelion Vila.</w:t>
      </w:r>
      <w:r w:rsidRPr="00ED5552">
        <w:rPr>
          <w:i/>
          <w:iCs/>
          <w:lang w:val="sq-AL"/>
        </w:rPr>
        <w:t xml:space="preserve"> </w:t>
      </w:r>
      <w:r w:rsidRPr="00ED5552">
        <w:rPr>
          <w:lang w:val="sq-AL"/>
        </w:rPr>
        <w:t>Në kuadër të këtij pretendimi, Prokurori ka kërkuar riçeljen e shqyrtimit gjyqësor, kërkesë të cilën Gjykata e Apelit e ka gjetur të pambështetur për sa kohë nuk bëhej fjalë për shqyrtim të provave por për kualifikimin juridik të veprës penale që është çështje ligji dhe nuk kërkon ri-shqyrtim të provave.</w:t>
      </w:r>
    </w:p>
    <w:p w:rsidR="00076E72" w:rsidRPr="00ED5552" w:rsidRDefault="00076E72" w:rsidP="00076E72">
      <w:pPr>
        <w:pStyle w:val="NormalWeb"/>
        <w:numPr>
          <w:ilvl w:val="0"/>
          <w:numId w:val="26"/>
        </w:numPr>
        <w:tabs>
          <w:tab w:val="left" w:pos="180"/>
          <w:tab w:val="left" w:pos="540"/>
          <w:tab w:val="left" w:pos="900"/>
        </w:tabs>
        <w:spacing w:before="0" w:beforeAutospacing="0" w:after="0" w:afterAutospacing="0"/>
        <w:ind w:left="0" w:firstLine="180"/>
        <w:jc w:val="both"/>
        <w:rPr>
          <w:i/>
          <w:iCs/>
          <w:lang w:val="sq-AL"/>
        </w:rPr>
      </w:pPr>
      <w:r w:rsidRPr="00ED5552">
        <w:rPr>
          <w:lang w:val="sq-AL"/>
        </w:rPr>
        <w:t>Neni 427 i Kodit të Procedurës Penale "Përsëritja e shqyrtimit gjyqësor, në zbatim të kësaj norme, si dhe të praktikës së Gjykatës së Lartë përsëritja e shqyrtimit gjyqësor nuk është e detyrueshme për Gjykatën e Apelit kur kërkohet deklarimi fajtor i një personi të deklaruar të pafajshëm, Gjykata e Apelit ka rrëzuar këtë kërkesë, duke vijuar me shqyrtimin e pretendimeve të ankimit që kanë të bëjnë me çështje të ligjit.</w:t>
      </w:r>
      <w:r w:rsidRPr="00ED5552">
        <w:rPr>
          <w:i/>
          <w:iCs/>
          <w:lang w:val="sq-AL"/>
        </w:rPr>
        <w:t xml:space="preserve"> </w:t>
      </w:r>
      <w:r w:rsidRPr="00ED5552">
        <w:rPr>
          <w:lang w:val="sq-AL"/>
        </w:rPr>
        <w:t>Gjykata e Apelit nuk vendosi ri-çeljen e shqyrtimit gjyqësor as bazuar në kërkesën e organit të Prokurorisë dhe as kryesisht, në zbatim të nenit 427 të Kodit të Procedurës Penale. Megjithatë, arriti në përfundimin se provat nuk janë interpretuar siç duhet dhe se vendimi shfaq mangësi në arsyetimin e tij.</w:t>
      </w:r>
    </w:p>
    <w:p w:rsidR="00076E72" w:rsidRPr="00ED5552" w:rsidRDefault="00076E72" w:rsidP="00076E72">
      <w:pPr>
        <w:pStyle w:val="NormalWeb"/>
        <w:numPr>
          <w:ilvl w:val="0"/>
          <w:numId w:val="26"/>
        </w:numPr>
        <w:tabs>
          <w:tab w:val="left" w:pos="180"/>
          <w:tab w:val="left" w:pos="540"/>
          <w:tab w:val="left" w:pos="900"/>
        </w:tabs>
        <w:spacing w:before="0" w:beforeAutospacing="0" w:after="0" w:afterAutospacing="0"/>
        <w:ind w:left="0" w:firstLine="180"/>
        <w:jc w:val="both"/>
        <w:rPr>
          <w:i/>
          <w:iCs/>
          <w:lang w:val="sq-AL"/>
        </w:rPr>
      </w:pPr>
      <w:r w:rsidRPr="00ED5552">
        <w:rPr>
          <w:lang w:val="sq-AL"/>
        </w:rPr>
        <w:t>Gjykata e Apelit ka theksuar se vendimi është i paarsyetuar ndërkohë që vetë nuk ka dhënë asnjë lloj arsyetimi se përse çështja duhet të rishqyrtohet me një tjetër trup gjykues dhe mangësitë të korrigjohen nëpërmjet shqyrtimit të gjykimit në shkallën e dytë, për të përmbushur misionin rigjykues, në përputhje me nenin 407 e vijues të Kodit të Procedurës Penale.</w:t>
      </w:r>
    </w:p>
    <w:p w:rsidR="00076E72" w:rsidRPr="00ED5552" w:rsidRDefault="00076E72" w:rsidP="00076E72">
      <w:pPr>
        <w:pStyle w:val="NormalWeb"/>
        <w:numPr>
          <w:ilvl w:val="0"/>
          <w:numId w:val="26"/>
        </w:numPr>
        <w:tabs>
          <w:tab w:val="left" w:pos="180"/>
          <w:tab w:val="left" w:pos="540"/>
          <w:tab w:val="left" w:pos="900"/>
        </w:tabs>
        <w:spacing w:before="0" w:beforeAutospacing="0" w:after="0" w:afterAutospacing="0"/>
        <w:ind w:left="0" w:firstLine="180"/>
        <w:jc w:val="both"/>
        <w:rPr>
          <w:i/>
          <w:iCs/>
          <w:lang w:val="sq-AL"/>
        </w:rPr>
      </w:pPr>
      <w:r w:rsidRPr="00ED5552">
        <w:rPr>
          <w:lang w:val="sq-AL"/>
        </w:rPr>
        <w:t>Si arriti në përfundimin Gjykata e Apelit se çështja nuk mund të zgjidhet prej saj, në kushtet kur vetë kjo gjykatë me vendim të ndërmjetëm ka rrëzuar kërkesën për riçeljen e shqyrtimit gjyqësor. Në kundërshtim me këtë vendim të ndërmjetëm të këtij trupi gjykues, me vendimin përfundimtar është vendosur prishja e vendimit të shkallës së parë dhe kthimi për rigjykim duke sugjeruar gjykimin e çështjes penale me gjykim të zakonshëm dhe rishikimin e kualifikimit juridik të veprës penale për një vepër penale më rënduese. Ndërkohë që për të pandehurit e tjerë prokurori nuk kishte ushtruar fare ankim.</w:t>
      </w:r>
      <w:r w:rsidRPr="00ED5552">
        <w:rPr>
          <w:i/>
          <w:iCs/>
          <w:lang w:val="sq-AL"/>
        </w:rPr>
        <w:t xml:space="preserve"> </w:t>
      </w:r>
      <w:r w:rsidRPr="00ED5552">
        <w:rPr>
          <w:lang w:val="sq-AL"/>
        </w:rPr>
        <w:t xml:space="preserve">Lidhur me këtë situatë procedurale të krijuar nga Gjykata e Apelit nëpërmjet vendimmarrjes së saj, sillet në vëmendje të Kolegjit Penal qëndrimi i mbajtur nëpërmjet vendimit nr. 00-2021-945, datë </w:t>
      </w:r>
      <w:r w:rsidRPr="00ED5552">
        <w:rPr>
          <w:lang w:val="sq-AL"/>
        </w:rPr>
        <w:lastRenderedPageBreak/>
        <w:t>18.11.2021 të Gjykatës së Lartë. Ndërkohë, në rastin konkret nëpërmjet vendimmarrjes së saj Gjykata e Apelit e ka rënduar pozitën e të pandehurit Durim Halka edhe pse për këtë të pandehur ka ankim nga organi i Prokurorisë, ankim i cili u rrëzua pjesërisht që në seancë gjyqësore me vendim të ndërmjetëm për shkak të mospranimit të kërkesës për të ri-çelur shqyrtimin gjyqësor.</w:t>
      </w:r>
    </w:p>
    <w:p w:rsidR="00076E72" w:rsidRPr="00ED5552" w:rsidRDefault="00076E72" w:rsidP="00076E72">
      <w:pPr>
        <w:pStyle w:val="NormalWeb"/>
        <w:numPr>
          <w:ilvl w:val="0"/>
          <w:numId w:val="26"/>
        </w:numPr>
        <w:tabs>
          <w:tab w:val="left" w:pos="180"/>
          <w:tab w:val="left" w:pos="540"/>
          <w:tab w:val="left" w:pos="900"/>
        </w:tabs>
        <w:spacing w:before="0" w:beforeAutospacing="0" w:after="0" w:afterAutospacing="0"/>
        <w:ind w:left="0" w:firstLine="180"/>
        <w:jc w:val="both"/>
        <w:rPr>
          <w:lang w:val="sq-AL"/>
        </w:rPr>
      </w:pPr>
      <w:r w:rsidRPr="00ED5552">
        <w:rPr>
          <w:lang w:val="sq-AL"/>
        </w:rPr>
        <w:t>Në kushtet kur vetë Gjykata e Apelit nuk ka arsyetuar mbi kualifikimin juridik të faktit penal, është tërësisht në shkelje të ligjit të sugjerojë zbatimin e ligjit me analogji për të shqyrtuar mundësinë e zbatimit të një norme penale rënduese.</w:t>
      </w:r>
    </w:p>
    <w:p w:rsidR="00076E72" w:rsidRPr="00ED5552" w:rsidRDefault="00076E72" w:rsidP="00076E72">
      <w:pPr>
        <w:pStyle w:val="NormalWeb"/>
        <w:numPr>
          <w:ilvl w:val="0"/>
          <w:numId w:val="26"/>
        </w:numPr>
        <w:tabs>
          <w:tab w:val="left" w:pos="180"/>
          <w:tab w:val="left" w:pos="540"/>
          <w:tab w:val="left" w:pos="900"/>
        </w:tabs>
        <w:spacing w:before="0" w:beforeAutospacing="0" w:after="0" w:afterAutospacing="0"/>
        <w:ind w:left="0" w:firstLine="180"/>
        <w:jc w:val="both"/>
        <w:rPr>
          <w:lang w:val="sq-AL"/>
        </w:rPr>
      </w:pPr>
      <w:r w:rsidRPr="00ED5552">
        <w:rPr>
          <w:lang w:val="sq-AL"/>
        </w:rPr>
        <w:t>Në prishjen e vendimit në kuadër të "mosarsyetimit” të vendimit, Gjykata e Apelit duhet të jepte shkaqe të qenësishme dhe të mirë-argumentuara se përse gjykata e shkallës së parë nuk e ka arsyetuar si duhet vendimin e saj sa i takon të paktën elementit të (mungesës së) bashkëpunimit mes shtetasit Durim Halka dhe Adelion Vila. Gjykata e Apelit nuk ka arritur të shqyrtojë në mënyrë të qartë se si qëndrojnë faktet në raport me ligjin, por megjithatë vendimin e shkallës së parë e ka gjetur të paarsyetuar.</w:t>
      </w:r>
    </w:p>
    <w:p w:rsidR="00076E72" w:rsidRPr="00ED5552" w:rsidRDefault="00076E72" w:rsidP="00076E72">
      <w:pPr>
        <w:pStyle w:val="NormalWeb"/>
        <w:numPr>
          <w:ilvl w:val="0"/>
          <w:numId w:val="26"/>
        </w:numPr>
        <w:tabs>
          <w:tab w:val="left" w:pos="180"/>
          <w:tab w:val="left" w:pos="540"/>
          <w:tab w:val="left" w:pos="900"/>
        </w:tabs>
        <w:spacing w:before="0" w:beforeAutospacing="0" w:after="0" w:afterAutospacing="0"/>
        <w:ind w:left="0" w:firstLine="180"/>
        <w:jc w:val="both"/>
        <w:rPr>
          <w:lang w:val="sq-AL"/>
        </w:rPr>
      </w:pPr>
      <w:r w:rsidRPr="00ED5552">
        <w:rPr>
          <w:lang w:val="sq-AL"/>
        </w:rPr>
        <w:t>Organi i Prokurorisë ka ndryshuar kualifikimin juridik të veprës penale për shkak se personat që kanë nxjerrë kontenierin nuk kanë qenë personat përgjegjës për shlyerjen e detyrimeve doganore e për rrjedhojë duke mos pasur përpjekje për shmangie të detyrimeve doganore nuk mund të ketë vepër kontrabandë. Ndërkohë, i pandehuri Durim Halka as nuk është subjekt i posaçëm dhe as ka bashkëpunuar me subjekte të posaçëm, as ka tentuar të marrë mallra kontrabandë, as të bashkëpunojë për kontrabandimin e tyre nga të tretë, por ka qenë në kushtet e padijenisë mbi kryerjen e veprës penale dhe bindjen e urdhrave të punonjësit të policisë, deri në momentin që ai vetë e pranon se filloi të kuptonte se po kryheshin veprime të paligjshme.</w:t>
      </w:r>
    </w:p>
    <w:p w:rsidR="00076E72" w:rsidRPr="00ED5552" w:rsidRDefault="00076E72" w:rsidP="00076E72">
      <w:pPr>
        <w:pStyle w:val="NormalWeb"/>
        <w:numPr>
          <w:ilvl w:val="0"/>
          <w:numId w:val="26"/>
        </w:numPr>
        <w:tabs>
          <w:tab w:val="left" w:pos="180"/>
          <w:tab w:val="left" w:pos="540"/>
          <w:tab w:val="left" w:pos="900"/>
        </w:tabs>
        <w:spacing w:before="0" w:beforeAutospacing="0" w:after="0" w:afterAutospacing="0"/>
        <w:ind w:left="0" w:firstLine="180"/>
        <w:jc w:val="both"/>
        <w:rPr>
          <w:lang w:val="sq-AL"/>
        </w:rPr>
      </w:pPr>
      <w:r w:rsidRPr="00ED5552">
        <w:rPr>
          <w:lang w:val="sq-AL"/>
        </w:rPr>
        <w:t>Gjykata e Apelit ka rënduar pozitën ligjore dhe procedurale të këtij shtetasi, pa dhënë arsyetim të mbështetur në ligj mbi kualifikimin juridik të fakteve/veprimeve të kryera prej tij, por vetëm duke sugjeruar zbatimin e ligjit me analogji.</w:t>
      </w:r>
    </w:p>
    <w:p w:rsidR="00076E72" w:rsidRPr="00ED5552" w:rsidRDefault="00076E72" w:rsidP="00076E72">
      <w:pPr>
        <w:pStyle w:val="NormalWeb"/>
        <w:numPr>
          <w:ilvl w:val="0"/>
          <w:numId w:val="26"/>
        </w:numPr>
        <w:tabs>
          <w:tab w:val="left" w:pos="180"/>
          <w:tab w:val="left" w:pos="540"/>
          <w:tab w:val="left" w:pos="900"/>
        </w:tabs>
        <w:spacing w:before="0" w:beforeAutospacing="0" w:after="0" w:afterAutospacing="0"/>
        <w:ind w:left="0" w:firstLine="180"/>
        <w:jc w:val="both"/>
        <w:rPr>
          <w:lang w:val="sq-AL"/>
        </w:rPr>
      </w:pPr>
      <w:r w:rsidRPr="00ED5552">
        <w:rPr>
          <w:lang w:val="sq-AL"/>
        </w:rPr>
        <w:t>Gjykata ka shkelur normat ligjore procedurale mbi kufinjtë e shqyrtimit të çështjes prej saj, neni 425 – i Kodit të Procedurës Penale. Në rastin konkret, Gjykata e Apelit ka tejkaluar kufinjtë e shqyrtimit të çështjes, duke i dhënë faktit një kualifikim më të rëndë, të cilin edhe pse nuk e ka kryer vetë pasi e ka kthyer çështjen për rigjykim, e ka sugjeruar për gjykatën e shkallës së parë për ta zbatuar ligjin me analogji. Ndërkohë që, nëse do të kryente një cilësim juridik më të rëndë se ai i kërkuar nga prokurori (shpërdorimi i detyrës në këtë rast) do të duhej të procedonte me ri çeljen e shqyrtimit gjyqësor, në përputhje me urdhërimin e nenit 425 të Kodit të Procedurës Penale, gjë të cilën Gjykata nuk e ka realizuar. Pavarësisht se nuk e ka realizuar këtë procedurë i ka hyrë ri-shqyrtimit të fakteve kryesisht dhe ka dalë në konkluzionin se mund të jemi përpara një vepre penale më të rëndë e cila duhet zbatuar me analogji.</w:t>
      </w:r>
    </w:p>
    <w:p w:rsidR="00076E72" w:rsidRPr="00ED5552" w:rsidRDefault="00076E72" w:rsidP="00076E72">
      <w:pPr>
        <w:pStyle w:val="NormalWeb"/>
        <w:numPr>
          <w:ilvl w:val="0"/>
          <w:numId w:val="26"/>
        </w:numPr>
        <w:tabs>
          <w:tab w:val="left" w:pos="180"/>
          <w:tab w:val="left" w:pos="540"/>
          <w:tab w:val="left" w:pos="900"/>
        </w:tabs>
        <w:spacing w:before="0" w:beforeAutospacing="0" w:after="0" w:afterAutospacing="0"/>
        <w:ind w:left="0" w:firstLine="180"/>
        <w:jc w:val="both"/>
        <w:rPr>
          <w:lang w:val="sq-AL"/>
        </w:rPr>
      </w:pPr>
      <w:r w:rsidRPr="00ED5552">
        <w:rPr>
          <w:lang w:val="sq-AL"/>
        </w:rPr>
        <w:t>Gjykata e Apelit ka theksuar se gjykata e shkallës së parë duhet të kishte konstatuar mangësi në njoftimin e akuzës dhe praninë e mbrojtësit, ndërkohë që prej mbrojtësit ka pasur pretendime mbi pavlefshmërinë e akteve dhe për rrjedhojë gjykata nuk duhet të kishte pranuar kërkesën për gjykim të shkurtuar. Duke qenë se kthimi i çështjes për këto shkaqe për të pandehurit e tjerë kanë ndikuar në pozitën proceduale të të pandehurit Durim Halka. Vlen të nënvijëzohen aryset që kanë çuar në vendimmarrje të gabuar të Gjykatës së Apelit.</w:t>
      </w:r>
    </w:p>
    <w:p w:rsidR="00076E72" w:rsidRPr="00ED5552" w:rsidRDefault="00076E72" w:rsidP="00076E72">
      <w:pPr>
        <w:pStyle w:val="NormalWeb"/>
        <w:numPr>
          <w:ilvl w:val="0"/>
          <w:numId w:val="26"/>
        </w:numPr>
        <w:tabs>
          <w:tab w:val="left" w:pos="180"/>
          <w:tab w:val="left" w:pos="540"/>
          <w:tab w:val="left" w:pos="900"/>
        </w:tabs>
        <w:spacing w:before="0" w:beforeAutospacing="0" w:after="0" w:afterAutospacing="0"/>
        <w:ind w:left="0" w:firstLine="180"/>
        <w:jc w:val="both"/>
        <w:rPr>
          <w:lang w:val="sq-AL"/>
        </w:rPr>
      </w:pPr>
      <w:r w:rsidRPr="00ED5552">
        <w:rPr>
          <w:lang w:val="sq-AL"/>
        </w:rPr>
        <w:t xml:space="preserve">Së pari, Gjykata e Apelit e ka paragjykuar çështjen në momentin që shprehet në vendimin e saj se gjykata e shkallës së parë duhet të kishte "hetuar" në drejtim të faktit penal nëse autorët ishin identifikuar plotësisht dhe nëse fakti penal konsistonte realisht në marrjen e arkave me banane, duke qenë se autorët e dinin vendin se ku duhet të kërkonin. Megjithatë, në rigjykimin e çështjes Gjykata e Apelit vetë nuk ka lënë ndonjë detyrë se si hetohet gjyqësisht ky fakt për të zbuluar se përse autorët shkuan dhe morën pikërisht 2 arka me banane. Gjykata e shkallës së parë ka gjykuar mbi provat e administruara nga organi i Prokurorisë mbi faktin e nxjerrjes së kontenierit nga Porti i Durrësit ku ka kryer hetime për 2 vite, dhe në përfundim nuk ka arritur të dalë në konkluzione të ndryshme lidhur me faktin </w:t>
      </w:r>
      <w:r w:rsidRPr="00ED5552">
        <w:rPr>
          <w:lang w:val="sq-AL"/>
        </w:rPr>
        <w:lastRenderedPageBreak/>
        <w:t>penal. Ndërsa sa i përket personave të paidentifikuar që janë larguar me arkat me banane vijon hetimi pa autor pasi procedimi është ndarë. Sa më sipër, nisur nga paragjykimi i çështjes se hetimi dhe gjykimi nuk kanë zbardhur të vërtetën ka krijuar një situatë procedurale rënduese për rekursuesin, i cili nisur nga veprimet e të tretëve duhet të rigjykohet, por kësaj here nën dritën e dyshimeve të Gjykatës së Apelit për një fakt më të rëndë dhe duke ju nënshtruar rregullave të zakonshme të gjykimit.</w:t>
      </w:r>
    </w:p>
    <w:p w:rsidR="00076E72" w:rsidRPr="00ED5552" w:rsidRDefault="00076E72" w:rsidP="00076E72">
      <w:pPr>
        <w:pStyle w:val="NormalWeb"/>
        <w:numPr>
          <w:ilvl w:val="0"/>
          <w:numId w:val="26"/>
        </w:numPr>
        <w:tabs>
          <w:tab w:val="left" w:pos="180"/>
          <w:tab w:val="left" w:pos="540"/>
          <w:tab w:val="left" w:pos="900"/>
        </w:tabs>
        <w:spacing w:before="0" w:beforeAutospacing="0" w:after="0" w:afterAutospacing="0"/>
        <w:ind w:left="0" w:firstLine="180"/>
        <w:jc w:val="both"/>
        <w:rPr>
          <w:lang w:val="sq-AL"/>
        </w:rPr>
      </w:pPr>
      <w:r w:rsidRPr="00ED5552">
        <w:rPr>
          <w:lang w:val="sq-AL"/>
        </w:rPr>
        <w:t>Së dyti, vlerësohet se Gjykata e Apelit nuk ka mbajtur në konsideratë qëndrimin e Gjykatës së Lartë se mungesa formale e aktit të njoftimit të akuzës nuk përbën shkak për pavlefshmëri. Në rastin konkret është evidentuar se akuza nuk është pranuar ti komunikohet të paraburgosurit prej vetë tij, dhe për rrjedhojë nuk është konstatuar nga gjyqtari i seancës paraprake si shkak për të mos pranuar dërgimin e çështjes për gjykim apo për të mos pranuar kërkesën për gjykim të shkurtuar.</w:t>
      </w:r>
    </w:p>
    <w:p w:rsidR="00076E72" w:rsidRPr="00ED5552" w:rsidRDefault="00076E72" w:rsidP="00076E72">
      <w:pPr>
        <w:pStyle w:val="NormalWeb"/>
        <w:numPr>
          <w:ilvl w:val="0"/>
          <w:numId w:val="26"/>
        </w:numPr>
        <w:tabs>
          <w:tab w:val="left" w:pos="180"/>
          <w:tab w:val="left" w:pos="540"/>
          <w:tab w:val="left" w:pos="900"/>
        </w:tabs>
        <w:spacing w:before="0" w:beforeAutospacing="0" w:after="0" w:afterAutospacing="0"/>
        <w:ind w:left="0" w:firstLine="180"/>
        <w:jc w:val="both"/>
        <w:rPr>
          <w:lang w:val="sq-AL"/>
        </w:rPr>
      </w:pPr>
      <w:r w:rsidRPr="00ED5552">
        <w:rPr>
          <w:lang w:val="sq-AL"/>
        </w:rPr>
        <w:t>Së treti, ashtu si dhe më sipër cituar, nëpërmjet vendimit nr. 00-2021-945, datë 18.11.2021 të Gjykatës së Lartë është theksuar, gjykata që qëndron më lart në hierarkinë e sistemit gjyqësor mund të korrigjojë çështjet e konstatuara në shkelje nga gjykata më e ulët, pa i kthyer aktet për rishqyrtim në gjykatën e shkallës së parë, por duke mbajtur në çdo rast në vëmendje mosrëndimin e pozitës së të pandehurit.</w:t>
      </w:r>
    </w:p>
    <w:p w:rsidR="00076E72" w:rsidRPr="00ED5552" w:rsidRDefault="00076E72" w:rsidP="00076E72">
      <w:pPr>
        <w:pStyle w:val="NormalWeb"/>
        <w:numPr>
          <w:ilvl w:val="0"/>
          <w:numId w:val="26"/>
        </w:numPr>
        <w:tabs>
          <w:tab w:val="left" w:pos="180"/>
          <w:tab w:val="left" w:pos="540"/>
          <w:tab w:val="left" w:pos="900"/>
        </w:tabs>
        <w:spacing w:before="0" w:beforeAutospacing="0" w:after="0" w:afterAutospacing="0"/>
        <w:ind w:left="0" w:firstLine="180"/>
        <w:jc w:val="both"/>
        <w:rPr>
          <w:lang w:val="sq-AL"/>
        </w:rPr>
      </w:pPr>
      <w:r w:rsidRPr="00ED5552">
        <w:rPr>
          <w:lang w:val="sq-AL"/>
        </w:rPr>
        <w:t>Përfundimi i ndryshëm i gjykatës jo domosdoshmërisht nënkupton se vendimi i gjykatës së shkallës së parë shfaq mangësi të atilla në interpretim që nuk lënë zgjidhje tjetër përveçse prishjen e tij dhe kthimin për rigjykim. Nga ana tjetër, Gjykata ka sugjeruar që gjykimi të mos zhvillohet nëpërmjet gjykimit të shkurtuar. Të gjitha këto anomali të procesit mbi vënien në dispozicion të akteve Gjykata e Apelit mund ti korrigjonte si shkallë e dytë gjykimi pa e kthyer çështjen për rigjykim.</w:t>
      </w:r>
    </w:p>
    <w:p w:rsidR="00076E72" w:rsidRPr="00ED5552" w:rsidRDefault="00076E72" w:rsidP="00076E72">
      <w:pPr>
        <w:pStyle w:val="NormalWeb"/>
        <w:numPr>
          <w:ilvl w:val="0"/>
          <w:numId w:val="26"/>
        </w:numPr>
        <w:tabs>
          <w:tab w:val="left" w:pos="180"/>
          <w:tab w:val="left" w:pos="540"/>
          <w:tab w:val="left" w:pos="900"/>
        </w:tabs>
        <w:spacing w:before="0" w:beforeAutospacing="0" w:after="0" w:afterAutospacing="0"/>
        <w:ind w:left="0" w:firstLine="180"/>
        <w:jc w:val="both"/>
        <w:rPr>
          <w:lang w:val="sq-AL"/>
        </w:rPr>
      </w:pPr>
      <w:r w:rsidRPr="00ED5552">
        <w:rPr>
          <w:lang w:val="sq-AL"/>
        </w:rPr>
        <w:t>Theksohet se pavarësisht se gjatë rigjykimit për të pandehurin Durim Halka nuk ndryshon kualifikimi juridik i faktit penal apo madje edhe mund të zbutet masa e dënimit, kohëzgjatja që ky shtetas duhet të kalojë nën cilësinë e personit të pandehur, ndërkohë që tashmë duhet edhe të kishte përfunduar ekzekutimin e dënimit dhe të vijonte i qetë jetesën e tij, ai duhet të vijojë të jetë i pandehur në një proces, që është përfshirë në mënyrë të padrejtë nga subjekte të tjerë për shkak të veprimeve të tyre të paligjshme dhe nën kërcënimin e tyre. Në këto kushte, pozita procedurale e tij është rënduar, duke e rivendosur sërish në pozitën e personit të pandehur për vepra penale në bashkëpunim me subjekte të posaçme, ndryshe nga subjektet e tjerë për të cilët prokurori nuk kishte paraqitur ankim nuk mund të zhvillohet një proces i barabartë.</w:t>
      </w:r>
    </w:p>
    <w:p w:rsidR="00076E72" w:rsidRPr="00ED5552" w:rsidRDefault="00076E72" w:rsidP="00076E72">
      <w:pPr>
        <w:pStyle w:val="NormalWeb"/>
        <w:numPr>
          <w:ilvl w:val="0"/>
          <w:numId w:val="33"/>
        </w:numPr>
        <w:tabs>
          <w:tab w:val="left" w:pos="180"/>
          <w:tab w:val="left" w:pos="540"/>
          <w:tab w:val="left" w:pos="990"/>
        </w:tabs>
        <w:spacing w:before="0" w:beforeAutospacing="0" w:after="0" w:afterAutospacing="0"/>
        <w:ind w:left="0" w:firstLine="540"/>
        <w:jc w:val="both"/>
        <w:rPr>
          <w:lang w:val="sq-AL"/>
        </w:rPr>
      </w:pPr>
      <w:r w:rsidRPr="00ED5552">
        <w:rPr>
          <w:rFonts w:eastAsia="MS Mincho"/>
          <w:lang w:val="sq-AL"/>
        </w:rPr>
        <w:t xml:space="preserve">Kundër vendimit </w:t>
      </w:r>
      <w:r w:rsidRPr="00ED5552">
        <w:rPr>
          <w:lang w:val="sq-AL"/>
        </w:rPr>
        <w:t xml:space="preserve">nr. 1426 (30-2025-4911), datë 09.06.2025 </w:t>
      </w:r>
      <w:r w:rsidRPr="00ED5552">
        <w:rPr>
          <w:rFonts w:eastAsia="MS Mincho"/>
          <w:lang w:val="sq-AL"/>
        </w:rPr>
        <w:t>të Gjykatës së Apelit të Juridiksionit të Përgjithshëm, ka paraqitur rekurs i pandehuri Hysen Zeqiri -</w:t>
      </w:r>
      <w:r w:rsidRPr="00ED5552">
        <w:rPr>
          <w:rFonts w:eastAsia="MS Mincho"/>
          <w:bCs/>
          <w:lang w:val="sq-AL"/>
        </w:rPr>
        <w:t>(</w:t>
      </w:r>
      <w:r w:rsidRPr="00ED5552">
        <w:rPr>
          <w:rFonts w:eastAsia="MS Mincho"/>
          <w:bCs/>
          <w:i/>
          <w:iCs/>
          <w:lang w:val="sq-AL"/>
        </w:rPr>
        <w:t>i përfaqësuar nga mbrojtësi i zgjedhur),</w:t>
      </w:r>
      <w:r w:rsidRPr="00ED5552">
        <w:rPr>
          <w:rFonts w:eastAsia="MS Mincho"/>
          <w:bCs/>
          <w:lang w:val="sq-AL"/>
        </w:rPr>
        <w:t xml:space="preserve"> </w:t>
      </w:r>
      <w:r w:rsidRPr="00ED5552">
        <w:rPr>
          <w:bCs/>
          <w:lang w:val="sq-AL"/>
        </w:rPr>
        <w:t>duke kërkuar</w:t>
      </w:r>
      <w:r w:rsidRPr="00ED5552">
        <w:rPr>
          <w:bCs/>
          <w:i/>
          <w:iCs/>
          <w:lang w:val="sq-AL"/>
        </w:rPr>
        <w:t>: “</w:t>
      </w:r>
      <w:r w:rsidRPr="00ED5552">
        <w:rPr>
          <w:i/>
          <w:iCs/>
          <w:lang w:val="sq-AL"/>
        </w:rPr>
        <w:t>Prishjen e vendimit nr.1426 (30-2025-4911), datë 09.06.2025 të Gjykatës së Apelit të Juridiksionit të Përgjithshëm, Tiranë dhe lënien në fuqi të vendimit nr.(11-2024-6892) 1033, datë 04.12.2024 të Gjykatës së Shkallës së Parë të Juridiksionit të Përgjithshëm, Durrës</w:t>
      </w:r>
      <w:r w:rsidRPr="00ED5552">
        <w:rPr>
          <w:rFonts w:eastAsia="MS Mincho"/>
          <w:bCs/>
          <w:i/>
          <w:iCs/>
          <w:lang w:val="sq-AL"/>
        </w:rPr>
        <w:t>”.</w:t>
      </w:r>
      <w:r w:rsidRPr="00ED5552">
        <w:rPr>
          <w:rFonts w:eastAsia="MS Mincho"/>
          <w:b/>
          <w:i/>
          <w:iCs/>
          <w:lang w:val="sq-AL"/>
        </w:rPr>
        <w:t xml:space="preserve"> </w:t>
      </w:r>
      <w:r w:rsidRPr="00ED5552">
        <w:rPr>
          <w:rFonts w:eastAsia="MS Mincho"/>
          <w:bCs/>
          <w:lang w:val="sq-AL"/>
        </w:rPr>
        <w:t>Në rekurs në mënyrë të përmbledhur janë paraqitur shkaqet si vijon:</w:t>
      </w:r>
      <w:r w:rsidRPr="00ED5552">
        <w:rPr>
          <w:rFonts w:eastAsia="MS Mincho"/>
          <w:b/>
          <w:i/>
          <w:iCs/>
          <w:lang w:val="sq-AL"/>
        </w:rPr>
        <w:t xml:space="preserve"> </w:t>
      </w:r>
    </w:p>
    <w:p w:rsidR="00076E72" w:rsidRPr="00ED5552" w:rsidRDefault="00076E72" w:rsidP="00076E72">
      <w:pPr>
        <w:pStyle w:val="NormalWeb"/>
        <w:numPr>
          <w:ilvl w:val="0"/>
          <w:numId w:val="32"/>
        </w:numPr>
        <w:tabs>
          <w:tab w:val="left" w:pos="180"/>
          <w:tab w:val="left" w:pos="540"/>
        </w:tabs>
        <w:spacing w:before="0" w:beforeAutospacing="0" w:after="0" w:afterAutospacing="0"/>
        <w:ind w:left="0" w:firstLine="180"/>
        <w:jc w:val="both"/>
        <w:rPr>
          <w:lang w:val="sq-AL"/>
        </w:rPr>
      </w:pPr>
      <w:r w:rsidRPr="00ED5552">
        <w:rPr>
          <w:lang w:val="sq-AL"/>
        </w:rPr>
        <w:t>Gjykata e Apelit nëpërmjet vendimmarrjes së saj ka cenuar parimin e ligjshmërisë. Lidhur me të pandehurin Hysen Zeqiri, Gjykata e Apelit arsyeton si më poshtë: "</w:t>
      </w:r>
      <w:r w:rsidRPr="00ED5552">
        <w:rPr>
          <w:i/>
          <w:iCs/>
          <w:lang w:val="sq-AL"/>
        </w:rPr>
        <w:t xml:space="preserve">a. Lidhur me dërgimin në gjykim të çështjes penale për të pandehurin Hysen Zeqiri, gjykata e shkallës së parë duhej të kishte verifikuar nëse veprimet hetimore të kryera nga prokuroria për këte të pandehur kanë qenë të plota apo jo, mision kryesor ky i Gjyqtarit të Seancës Paraprake. Nga aktet e dosjes rezulton se ky i pandehur ka pasur dijeni të plotë dhe ka qenë një ndër personat që ka pritur daljen e kamionit me kontenierin nga teritori doganor, e ka shoqëruar me automjetin e tij ku një pjesë të rrugës e kanë përshkruar së bashku me të pandehurin Adelion Vila, ka qenë I pranishëm dhe dukej se ishte personi që interesohej kontrolli i kontenierit dhe po prej tij janë marrë produktet në dy arka me banane, pas disa orë kërkimi. Pasi u gjetën arkat e duhura me banane, brenda të cilave gjendej produkti që pritej të ndodhej në këtë arka, ato u vendosën në automjetin e të pandehurit Hyzen Zeqiri i cili i trasportoi më pas në </w:t>
      </w:r>
      <w:r w:rsidRPr="00ED5552">
        <w:rPr>
          <w:i/>
          <w:iCs/>
          <w:lang w:val="sq-AL"/>
        </w:rPr>
        <w:lastRenderedPageBreak/>
        <w:t>një destinacion tjetër. Gjyqtari i Seancës Paraprake, nuk ka kryer detyrën kryesore të kontrollit të plotësisë së hetimeve, në një kohë që prokuroria nuk ka hetuar për natyrën dhe llojin e produktit që ndodhej në dy arkat me banane të cilat u hoqën nga kontenieri, destinacioni i tyre dhe personat e tjerë të përfshirë në të. Hetimet e thelluara në këtë drejtim do të orientonin drejt dhe ngritjen e akuzave të duhura..........."</w:t>
      </w:r>
      <w:r w:rsidRPr="00ED5552">
        <w:rPr>
          <w:lang w:val="sq-AL"/>
        </w:rPr>
        <w:t>. Në kuadër të këtij pretendimi, Prokurori ka kërkuar riçeljen e shqyrtimit gjyqësor, kërkesë të cilën Gjykata e Apelit e ka gjetur të pambështetur për sa kohë nuk bëhej fjalë për shqyrtim të provave por për çështje ligji dhe nuk kërkon ri-shqyrtim të provave. Gjykata e Apelit nuk vendosi ri-çeljen e shqyrtimit gjyqësor as bazuar në kërkesën e organit të Prokurorisë dhe as kryesisht, në zbatim të nenit 427 të Kodit të Procedurës Penale. Megjithatë, arriti në përfundimin se provat nuk janë interpretuar siç duhet dhe se vendimi shfaq mangësi në arsyetimin e tij.</w:t>
      </w:r>
    </w:p>
    <w:p w:rsidR="00076E72" w:rsidRPr="00ED5552" w:rsidRDefault="00076E72" w:rsidP="00076E72">
      <w:pPr>
        <w:pStyle w:val="NormalWeb"/>
        <w:numPr>
          <w:ilvl w:val="0"/>
          <w:numId w:val="32"/>
        </w:numPr>
        <w:tabs>
          <w:tab w:val="left" w:pos="180"/>
          <w:tab w:val="left" w:pos="540"/>
        </w:tabs>
        <w:spacing w:before="0" w:beforeAutospacing="0" w:after="0" w:afterAutospacing="0"/>
        <w:ind w:left="0" w:firstLine="180"/>
        <w:jc w:val="both"/>
        <w:rPr>
          <w:lang w:val="sq-AL"/>
        </w:rPr>
      </w:pPr>
      <w:r w:rsidRPr="00ED5552">
        <w:rPr>
          <w:lang w:val="sq-AL"/>
        </w:rPr>
        <w:t>Gjykata e Apelit ka theksuar në vendimin e saj se vendimi i shkallës së parë është i paarsyetuar, ndërkohë që vetë vendimi i Gjykatës së Apelit është akoma më konfuz lidhur me sugjerimet dhe përfundimet e arritura.</w:t>
      </w:r>
    </w:p>
    <w:p w:rsidR="00076E72" w:rsidRPr="00ED5552" w:rsidRDefault="00076E72" w:rsidP="00076E72">
      <w:pPr>
        <w:pStyle w:val="NormalWeb"/>
        <w:numPr>
          <w:ilvl w:val="0"/>
          <w:numId w:val="32"/>
        </w:numPr>
        <w:tabs>
          <w:tab w:val="left" w:pos="180"/>
          <w:tab w:val="left" w:pos="540"/>
        </w:tabs>
        <w:spacing w:before="0" w:beforeAutospacing="0" w:after="0" w:afterAutospacing="0"/>
        <w:ind w:left="0" w:firstLine="180"/>
        <w:jc w:val="both"/>
        <w:rPr>
          <w:lang w:val="sq-AL"/>
        </w:rPr>
      </w:pPr>
      <w:r w:rsidRPr="00ED5552">
        <w:rPr>
          <w:lang w:val="sq-AL"/>
        </w:rPr>
        <w:t xml:space="preserve">Gjykata e Apelit ka theksuar se vendimi është i paarsyetuar ndërkohë që vetë nuk ka dhënë asnjë lloj arsyetimi se përse çështja duhet të rishqyrtohet me një tjetër trup gjykues. </w:t>
      </w:r>
    </w:p>
    <w:p w:rsidR="00076E72" w:rsidRPr="00ED5552" w:rsidRDefault="00076E72" w:rsidP="00076E72">
      <w:pPr>
        <w:pStyle w:val="NormalWeb"/>
        <w:numPr>
          <w:ilvl w:val="0"/>
          <w:numId w:val="32"/>
        </w:numPr>
        <w:tabs>
          <w:tab w:val="left" w:pos="180"/>
          <w:tab w:val="left" w:pos="540"/>
        </w:tabs>
        <w:spacing w:before="0" w:beforeAutospacing="0" w:after="0" w:afterAutospacing="0"/>
        <w:ind w:left="0" w:firstLine="180"/>
        <w:jc w:val="both"/>
        <w:rPr>
          <w:lang w:val="sq-AL"/>
        </w:rPr>
      </w:pPr>
      <w:r w:rsidRPr="00ED5552">
        <w:rPr>
          <w:lang w:val="sq-AL"/>
        </w:rPr>
        <w:t xml:space="preserve">Me vendimin përfundimtar është vendosur prishja e vendimit të shkallës së parë dhe kthimi i çështjes për rigjykim duke sugjeruar gjykimin e çështjes penale me gjykim të zakonshëm dhe rishikimin e kualifikimit juridik të veprës penale për një vepër penale më rënduese. Ndërkohë që për të pandehurit e tjerë prokurori nuk kishte ushtruar fare ankim. Lidhur me këtë situatë procedurale të krijuar nga Gjykata e Apelit nëpërmjet vendimmarrjes së saj, sillet në vëmendje të Kolegjit Penal qëndrimi i mbajtur nëpërmjet vendimit nr. 00-2021-945, datë 18.11.2021 të Gjykatës së Lartë... </w:t>
      </w:r>
    </w:p>
    <w:p w:rsidR="00076E72" w:rsidRPr="00ED5552" w:rsidRDefault="00076E72" w:rsidP="00076E72">
      <w:pPr>
        <w:pStyle w:val="NormalWeb"/>
        <w:numPr>
          <w:ilvl w:val="0"/>
          <w:numId w:val="32"/>
        </w:numPr>
        <w:tabs>
          <w:tab w:val="left" w:pos="180"/>
          <w:tab w:val="left" w:pos="540"/>
        </w:tabs>
        <w:spacing w:before="0" w:beforeAutospacing="0" w:after="0" w:afterAutospacing="0"/>
        <w:ind w:left="0" w:firstLine="180"/>
        <w:jc w:val="both"/>
        <w:rPr>
          <w:lang w:val="sq-AL"/>
        </w:rPr>
      </w:pPr>
      <w:r w:rsidRPr="00ED5552">
        <w:rPr>
          <w:lang w:val="sq-AL"/>
        </w:rPr>
        <w:t xml:space="preserve">Në kushtet kur vetë Gjykata e Apelit nuk ka arsyetuar mbi kualifikimin juridik të faktit penal, është tërësisht në shkelje të ligjit të sugjerojë zbatimin e ligjit me analogji për të shqyrtuar mundësinë e zbatimit të një norme penale rënduese. Kjo, për faktin se Gjykata e Apelit gjithashtu, ka arsyetuar në vendimin e saj në shkelje me nenin 1/e të Kodit Penal, se </w:t>
      </w:r>
      <w:r w:rsidRPr="00ED5552">
        <w:rPr>
          <w:i/>
          <w:iCs/>
          <w:lang w:val="sq-AL"/>
        </w:rPr>
        <w:t>"...gjatë rigjykimit Gjykata do duhet të arsyetojë nëse mund të zbatohet me analogji vendimi unifikues nr. 3, datë 02.11.2015..."</w:t>
      </w:r>
    </w:p>
    <w:p w:rsidR="00076E72" w:rsidRPr="00ED5552" w:rsidRDefault="00076E72" w:rsidP="00076E72">
      <w:pPr>
        <w:pStyle w:val="NormalWeb"/>
        <w:numPr>
          <w:ilvl w:val="0"/>
          <w:numId w:val="32"/>
        </w:numPr>
        <w:tabs>
          <w:tab w:val="left" w:pos="180"/>
          <w:tab w:val="left" w:pos="540"/>
        </w:tabs>
        <w:spacing w:before="0" w:beforeAutospacing="0" w:after="0" w:afterAutospacing="0"/>
        <w:ind w:left="0" w:firstLine="180"/>
        <w:jc w:val="both"/>
        <w:rPr>
          <w:lang w:val="sq-AL"/>
        </w:rPr>
      </w:pPr>
      <w:r w:rsidRPr="00ED5552">
        <w:rPr>
          <w:lang w:val="sq-AL"/>
        </w:rPr>
        <w:t xml:space="preserve">Në lidhje me kthimin e çështjes për rigjykim për të gjithë të pandehurit, për çështje të zbatimit të ligjit, theksohet se Gjykata e Apelit ka cituar se për 2 të pandehur nuk janë respektuar rregullat mbi njoftimin e akuzës dhe për papërdorshmëri provash. Gjykata e Apelit ka theksuar se gjykata e shkallës së parë duhet të kishte konstatuar mangësi në njoftimin e akuzës dhe praninë e mbrojtësit, ndërkohë që prej mbrojtësit ka pasur pretendime mbi pavlefshmërinë e akteve dhe për rrjedhojë gjykata nuk duhet të kishte pranuar kërkesën për gjykim të shkurtuar. Në lidhje me këtë moment procedurial sqarohet nëse : </w:t>
      </w:r>
      <w:r w:rsidRPr="00ED5552">
        <w:rPr>
          <w:i/>
          <w:iCs/>
          <w:lang w:val="sq-AL"/>
        </w:rPr>
        <w:t>1-Këto shkelje proceduriale passjellin pavlefshmëri absolute apo relative të akteve të hetimeve paraprake dhe 2-Gjykata, mund të investohet kryesisht në lidhje me pavlefshmëritë e akteve të hetimeve paraprake apo papërdorshmëritë e provave të të njëjtës fazë proceduriale, në kushtet kur i pandehuri dhe mbrojtësi i tij kanë kërkuar që të procedohet me gjykim të shkurtuar, duke nënkuptuar në këtë rast se kanë hequr dore nga pretendimet për pavlefshmëri të akteve të hetimit paraprak dhe papërdorshmëri të provave të marra në këtë fazë të procedimit penal</w:t>
      </w:r>
      <w:r w:rsidRPr="00ED5552">
        <w:rPr>
          <w:lang w:val="sq-AL"/>
        </w:rPr>
        <w:t>?</w:t>
      </w:r>
    </w:p>
    <w:p w:rsidR="00076E72" w:rsidRPr="00ED5552" w:rsidRDefault="00076E72" w:rsidP="00076E72">
      <w:pPr>
        <w:pStyle w:val="NormalWeb"/>
        <w:numPr>
          <w:ilvl w:val="0"/>
          <w:numId w:val="32"/>
        </w:numPr>
        <w:tabs>
          <w:tab w:val="left" w:pos="180"/>
          <w:tab w:val="left" w:pos="540"/>
        </w:tabs>
        <w:spacing w:before="0" w:beforeAutospacing="0" w:after="0" w:afterAutospacing="0"/>
        <w:ind w:left="0" w:firstLine="180"/>
        <w:jc w:val="both"/>
        <w:rPr>
          <w:lang w:val="sq-AL"/>
        </w:rPr>
      </w:pPr>
      <w:r w:rsidRPr="00ED5552">
        <w:rPr>
          <w:lang w:val="sq-AL"/>
        </w:rPr>
        <w:t xml:space="preserve">Gjykata e Apelit e ka paragjykuar çështjen në momentin që shprehet në vendimin e saj se gjykata e shkallës së parë duhet të kishte "hetuar" në drejtim të faktit penal nëse autorët ishin identifikuar plotësisht dhe nëse fakti penal konsistonte realisht në marrjen e arkave me banane, duke qenë se autorët e dinin vendin se ku duhet të kërkonin. </w:t>
      </w:r>
    </w:p>
    <w:p w:rsidR="00076E72" w:rsidRPr="00ED5552" w:rsidRDefault="00076E72" w:rsidP="00076E72">
      <w:pPr>
        <w:pStyle w:val="NormalWeb"/>
        <w:numPr>
          <w:ilvl w:val="0"/>
          <w:numId w:val="32"/>
        </w:numPr>
        <w:tabs>
          <w:tab w:val="left" w:pos="180"/>
          <w:tab w:val="left" w:pos="540"/>
        </w:tabs>
        <w:spacing w:before="0" w:beforeAutospacing="0" w:after="0" w:afterAutospacing="0"/>
        <w:ind w:left="0" w:firstLine="180"/>
        <w:jc w:val="both"/>
        <w:rPr>
          <w:lang w:val="sq-AL"/>
        </w:rPr>
      </w:pPr>
      <w:r w:rsidRPr="00ED5552">
        <w:rPr>
          <w:lang w:val="sq-AL"/>
        </w:rPr>
        <w:t xml:space="preserve">Së pari, Gjykata e shkallës së parë ka gjykuar mbi provat e administruara nga organi i Prokurorisë mbi faktin e nxjerrjes së kontenierit nga Porti i Durrësit ku ka kryer hetime për 2 vite, dhe në përfundim nuk ka arritur të dalë në konkluzione të ndryshme lidhur me faktin penal. Ndërsa sa i përket personave të paidentifikuar që janë larguar me arkat me banane vijon hetimi pa autor pasi procedimi është ndarë. Nisur nga paragjykimi i çështjes se hetimi dhe gjykimi nuk kanë zbardhur të vërtetën ka krijuar një situatë procedurale rënduese për </w:t>
      </w:r>
      <w:r w:rsidRPr="00ED5552">
        <w:rPr>
          <w:lang w:val="sq-AL"/>
        </w:rPr>
        <w:lastRenderedPageBreak/>
        <w:t>rekursuesin, i cili nisur nga veprimet e të tretëve duhet të rigjykohet, por kësaj here nën dritën e dyshimeve të Gjykatës së Apelit për një fakt më të rëndë dhe duke ju nënshtruar rregullave të zakonshme të gjykimit.</w:t>
      </w:r>
    </w:p>
    <w:p w:rsidR="00076E72" w:rsidRPr="00ED5552" w:rsidRDefault="00076E72" w:rsidP="00076E72">
      <w:pPr>
        <w:pStyle w:val="NormalWeb"/>
        <w:numPr>
          <w:ilvl w:val="0"/>
          <w:numId w:val="32"/>
        </w:numPr>
        <w:tabs>
          <w:tab w:val="left" w:pos="180"/>
          <w:tab w:val="left" w:pos="540"/>
        </w:tabs>
        <w:spacing w:before="0" w:beforeAutospacing="0" w:after="0" w:afterAutospacing="0"/>
        <w:ind w:left="0" w:firstLine="180"/>
        <w:jc w:val="both"/>
        <w:rPr>
          <w:lang w:val="sq-AL"/>
        </w:rPr>
      </w:pPr>
      <w:r w:rsidRPr="00ED5552">
        <w:rPr>
          <w:lang w:val="sq-AL"/>
        </w:rPr>
        <w:t>Së dyti, vlerësohet se Gjykata e Apelit nuk ka mbajtur në konsideratë qëndrimin e Gjykatës së Lartë se mungesa formale e aktit të njoftimit të akuzës nuk përbën shkak për pavlefshmëri.</w:t>
      </w:r>
    </w:p>
    <w:p w:rsidR="00076E72" w:rsidRPr="00ED5552" w:rsidRDefault="00076E72" w:rsidP="00076E72">
      <w:pPr>
        <w:pStyle w:val="NormalWeb"/>
        <w:numPr>
          <w:ilvl w:val="0"/>
          <w:numId w:val="32"/>
        </w:numPr>
        <w:tabs>
          <w:tab w:val="left" w:pos="180"/>
          <w:tab w:val="left" w:pos="540"/>
        </w:tabs>
        <w:spacing w:before="0" w:beforeAutospacing="0" w:after="0" w:afterAutospacing="0"/>
        <w:ind w:left="0" w:firstLine="180"/>
        <w:jc w:val="both"/>
        <w:rPr>
          <w:lang w:val="sq-AL"/>
        </w:rPr>
      </w:pPr>
      <w:r w:rsidRPr="00ED5552">
        <w:rPr>
          <w:lang w:val="sq-AL"/>
        </w:rPr>
        <w:t>Së treti, nëpërmjet vendimit nr. 00-2021-945, datë 18.11.2021 të Gjykatës së Lartë është theksuar, gjykata që qëndron më lart në hierarkinë e sistemit gjyqësor mund të korrigjojë çështjet e konstatuara në shkelje nga gjykata më e ulët, pa i kthyer aktet për rishqyrtim në gjykatën e shkallës së parë, por duke mbajtur në çdo rast në vëmendje mosrëndimin e pozitës së të pandehurit. Ndërkohë, nëpërmjet vendimit të saj Gjykata e Apelit i ka hyrë shqyrtimit të provave dhe ka dalë pjesërisht në konkluzione të ndryshme nga gjykata e shkallës së parë. Nga ana tjetër, ajo gjykata ka sugjeruar që gjykimi të mos zhvillohet nëpërmjet gjykimit të shkurtuar. Të gjitha këto anomali të procesit mbi vënien në dispozicion të akteve Gjykata e Apelit mund ti korrigjonte si shkallë e dytë gjykimi pa e kthyer çështjen për rigjykim.</w:t>
      </w:r>
    </w:p>
    <w:p w:rsidR="00076E72" w:rsidRPr="00ED5552" w:rsidRDefault="00076E72" w:rsidP="00076E72">
      <w:pPr>
        <w:pStyle w:val="NormalWeb"/>
        <w:numPr>
          <w:ilvl w:val="0"/>
          <w:numId w:val="32"/>
        </w:numPr>
        <w:tabs>
          <w:tab w:val="left" w:pos="180"/>
          <w:tab w:val="left" w:pos="540"/>
        </w:tabs>
        <w:spacing w:before="0" w:beforeAutospacing="0" w:after="0" w:afterAutospacing="0"/>
        <w:ind w:left="0" w:firstLine="180"/>
        <w:jc w:val="both"/>
        <w:rPr>
          <w:lang w:val="sq-AL"/>
        </w:rPr>
      </w:pPr>
      <w:r w:rsidRPr="00ED5552">
        <w:rPr>
          <w:lang w:val="sq-AL"/>
        </w:rPr>
        <w:t xml:space="preserve">Gjykata e Apelit është shprehur në mënyrë të përgjithshme mbi mangësitë në hetim dhe nevojën që çështja të shqyrtohet me procedurë të zakonshme gjykimi për të nxjerrë në pah të dhëna shtesë hetimore. </w:t>
      </w:r>
    </w:p>
    <w:p w:rsidR="00076E72" w:rsidRPr="00ED5552" w:rsidRDefault="00076E72" w:rsidP="00076E72">
      <w:pPr>
        <w:pStyle w:val="NormalWeb"/>
        <w:numPr>
          <w:ilvl w:val="0"/>
          <w:numId w:val="32"/>
        </w:numPr>
        <w:tabs>
          <w:tab w:val="left" w:pos="180"/>
          <w:tab w:val="left" w:pos="540"/>
        </w:tabs>
        <w:spacing w:before="0" w:beforeAutospacing="0" w:after="0" w:afterAutospacing="0"/>
        <w:ind w:left="0" w:firstLine="180"/>
        <w:jc w:val="both"/>
        <w:rPr>
          <w:lang w:val="sq-AL"/>
        </w:rPr>
      </w:pPr>
      <w:r w:rsidRPr="00ED5552">
        <w:rPr>
          <w:lang w:val="sq-AL"/>
        </w:rPr>
        <w:t xml:space="preserve">Ndryshe nga arsyetimi i vendimit të Gjykatës së Apelit i cili nuk bazohet në të dhënat e dosjes hetimore por është </w:t>
      </w:r>
      <w:r w:rsidRPr="00ED5552">
        <w:rPr>
          <w:i/>
          <w:iCs/>
          <w:lang w:val="sq-AL"/>
        </w:rPr>
        <w:t>copy paste</w:t>
      </w:r>
      <w:r w:rsidRPr="00ED5552">
        <w:rPr>
          <w:lang w:val="sq-AL"/>
        </w:rPr>
        <w:t xml:space="preserve"> e pretendimeve të organit të akuzës që gjithashtu bazohet në fakte të shtrembëruara pasi nga gjithë sa arsyetohet nga kjo gjykatë, lidhur me veprimet e të pandehurit Hysen Zeqiri, fakt i vërtetë është që i pandehuri vetëm ka shoqëruar të pandehurin tjetër Adelion Vila nga karburant "Krasniqi" që ndodhet po në Shkozet, Rruga "Bajram Tusha" deri në vendparkimin ku ishte parkuar kamioni me konteinerin e ngarkuar me banane, në një distancë fizike prej rreth 200 m. Sapo i pandehuri tjetër Adelion Vila ka zbritur nga automjeti i Hysenit, ky i fundit është kthyer përsëri me automjetin e tij "Jeep" aty ku ishte, pra tek karburant "Krasniqi". Përkundër arsyetimit të Gjykatës së Apelit lidhur me faktin e shoqërimit të kamionit me targa AA760HL" me konteinerin e ngarkuar nga automjeti "Jeep" me targa 'prove' ngjyrë të kuqe i drejtuar nga i pandehuri Hysen Zeqiri, nga pamjet filmike rezulton se i njëjti kamion është shoqëruar nga autovetura e markës VË Golf 7, ngjyrë e bardhë e drejtuar nga i pandehuri Adelion Vila dhe një mjet tjetër i markës Mercedes Benz,model B-Class ngjyrë gri. Kjo gjykatë arsyeton gjithashtu se i pandehuri Hysen Zeqiri ka qëndruar deri në fund të pocesit të shkarkimit nga konteineri dhe të ngarkimit të arkave me banane në automjetin e tij. Nga të dhënat e dosjes rezulton se arkat e bananeve janë ngarkuar tek mjeti Mercedes Benz i llojit 'B Class' dhe jo tek mjeti 'Jeep" në pronësi dhe në posedim të të pandehurit Hysen Zeqiri.</w:t>
      </w:r>
    </w:p>
    <w:p w:rsidR="00076E72" w:rsidRPr="00ED5552" w:rsidRDefault="00076E72" w:rsidP="00076E72">
      <w:pPr>
        <w:pStyle w:val="NormalWeb"/>
        <w:numPr>
          <w:ilvl w:val="0"/>
          <w:numId w:val="32"/>
        </w:numPr>
        <w:tabs>
          <w:tab w:val="left" w:pos="180"/>
          <w:tab w:val="left" w:pos="540"/>
        </w:tabs>
        <w:spacing w:before="0" w:beforeAutospacing="0" w:after="0" w:afterAutospacing="0"/>
        <w:ind w:left="0" w:firstLine="180"/>
        <w:jc w:val="both"/>
        <w:rPr>
          <w:u w:val="single"/>
          <w:lang w:val="sq-AL"/>
        </w:rPr>
      </w:pPr>
      <w:r w:rsidRPr="00ED5552">
        <w:rPr>
          <w:lang w:val="sq-AL"/>
        </w:rPr>
        <w:t>Bazuar në cilat të dhëna Gjykata e Apelit arsyeton se ishte pikërisht i pandehuri Hysen Zeqiri personi i interesuar për gjetjen, ngarkimin dhe marrjen e mallit kur ai nuk ka qëndruar për asnjë moment në ambientet e këtij vendparkimi ?! Ky arsyetim vjen në kundërshtim me pamjet filmike të cilat ia kemi paraqitur gjykatës së faktit</w:t>
      </w:r>
      <w:r w:rsidRPr="00ED5552">
        <w:rPr>
          <w:u w:val="single"/>
          <w:lang w:val="sq-AL"/>
        </w:rPr>
        <w:t>.</w:t>
      </w:r>
    </w:p>
    <w:p w:rsidR="00076E72" w:rsidRPr="00ED5552" w:rsidRDefault="00076E72" w:rsidP="00076E72">
      <w:pPr>
        <w:pStyle w:val="NormalWeb"/>
        <w:numPr>
          <w:ilvl w:val="0"/>
          <w:numId w:val="32"/>
        </w:numPr>
        <w:tabs>
          <w:tab w:val="left" w:pos="180"/>
          <w:tab w:val="left" w:pos="540"/>
        </w:tabs>
        <w:spacing w:before="0" w:beforeAutospacing="0" w:after="0" w:afterAutospacing="0"/>
        <w:ind w:left="0" w:firstLine="180"/>
        <w:jc w:val="both"/>
        <w:rPr>
          <w:u w:val="single"/>
          <w:lang w:val="sq-AL"/>
        </w:rPr>
      </w:pPr>
      <w:r w:rsidRPr="00ED5552">
        <w:rPr>
          <w:lang w:val="sq-AL"/>
        </w:rPr>
        <w:t>Gjykata e Apelit nëpërmjet vendimmarrjes së saj ka cenuar parimin e ligjshmërisë dhe ka shkelur rregullat e një procesi të rregullt ligjor duke i atribuar dhe ngarkuar të pandehurit fakte të paqëna. Gjykata e Apelit sipas përshkrim-arsyetimit të mësipërm duke shkelur dispozitat e mësipërme proceduriale penale, duke mos analizuar faktet dhe provat siç rezultojnë nga këto akte procedurale dhe prova, por duke i përshkruar dhe arsyetuar sipas pretendimeve të organit të akuzës ka passjellë një vendim</w:t>
      </w:r>
      <w:r w:rsidR="00ED5552" w:rsidRPr="00ED5552">
        <w:rPr>
          <w:lang w:val="sq-AL"/>
        </w:rPr>
        <w:t>m</w:t>
      </w:r>
      <w:r w:rsidRPr="00ED5552">
        <w:rPr>
          <w:lang w:val="sq-AL"/>
        </w:rPr>
        <w:t>arrje të gabuar me pasojë pavlefshmërunë e këtij vendimi.</w:t>
      </w:r>
    </w:p>
    <w:p w:rsidR="00076E72" w:rsidRPr="00ED5552" w:rsidRDefault="00076E72" w:rsidP="00076E72">
      <w:pPr>
        <w:pStyle w:val="NormalWeb"/>
        <w:numPr>
          <w:ilvl w:val="0"/>
          <w:numId w:val="32"/>
        </w:numPr>
        <w:tabs>
          <w:tab w:val="left" w:pos="180"/>
          <w:tab w:val="left" w:pos="540"/>
        </w:tabs>
        <w:spacing w:before="0" w:beforeAutospacing="0" w:after="0" w:afterAutospacing="0"/>
        <w:ind w:left="0" w:firstLine="180"/>
        <w:jc w:val="both"/>
        <w:rPr>
          <w:u w:val="single"/>
          <w:lang w:val="sq-AL"/>
        </w:rPr>
      </w:pPr>
      <w:r w:rsidRPr="00ED5552">
        <w:rPr>
          <w:lang w:val="sq-AL"/>
        </w:rPr>
        <w:t xml:space="preserve">Pra, vetë Gjykata e Apelit nuk ka arritur të shqyrtojë në mënyrë të qartë se si qëndrojnë faktet në raport me ligjin, por megjithatë vendimin e shkallës së parë e ka gjetur të paarsyetuar. </w:t>
      </w:r>
    </w:p>
    <w:p w:rsidR="00076E72" w:rsidRPr="00ED5552" w:rsidRDefault="00076E72" w:rsidP="00076E72">
      <w:pPr>
        <w:pStyle w:val="NormalWeb"/>
        <w:numPr>
          <w:ilvl w:val="0"/>
          <w:numId w:val="32"/>
        </w:numPr>
        <w:tabs>
          <w:tab w:val="left" w:pos="180"/>
          <w:tab w:val="left" w:pos="540"/>
        </w:tabs>
        <w:spacing w:before="0" w:beforeAutospacing="0" w:after="0" w:afterAutospacing="0"/>
        <w:ind w:left="0" w:firstLine="180"/>
        <w:jc w:val="both"/>
        <w:rPr>
          <w:u w:val="single"/>
          <w:lang w:val="sq-AL"/>
        </w:rPr>
      </w:pPr>
      <w:r w:rsidRPr="00ED5552">
        <w:rPr>
          <w:lang w:val="sq-AL"/>
        </w:rPr>
        <w:t xml:space="preserve">Organi i Prokurorisë ka ndryshuar kualifikimin juridik të veprës penale për shkak se personat që kanë nxjerrë kontenierin nuk kanë qenë personat përgjegjës për shlyerjen e </w:t>
      </w:r>
      <w:r w:rsidRPr="00ED5552">
        <w:rPr>
          <w:lang w:val="sq-AL"/>
        </w:rPr>
        <w:lastRenderedPageBreak/>
        <w:t>detyrimeve doganore e për rrjedhojë duke mos pasur përpjekje për shmangie të detyrimeve doganore nuk mund të këtë vepër kontrabande.</w:t>
      </w:r>
    </w:p>
    <w:p w:rsidR="00076E72" w:rsidRPr="00ED5552" w:rsidRDefault="00076E72" w:rsidP="00076E72">
      <w:pPr>
        <w:pStyle w:val="NormalWeb"/>
        <w:numPr>
          <w:ilvl w:val="0"/>
          <w:numId w:val="32"/>
        </w:numPr>
        <w:tabs>
          <w:tab w:val="left" w:pos="180"/>
          <w:tab w:val="left" w:pos="540"/>
        </w:tabs>
        <w:spacing w:before="0" w:beforeAutospacing="0" w:after="0" w:afterAutospacing="0"/>
        <w:ind w:left="0" w:firstLine="180"/>
        <w:jc w:val="both"/>
        <w:rPr>
          <w:u w:val="single"/>
          <w:lang w:val="sq-AL"/>
        </w:rPr>
      </w:pPr>
      <w:r w:rsidRPr="00ED5552">
        <w:rPr>
          <w:lang w:val="sq-AL"/>
        </w:rPr>
        <w:t>Gjykata ka shkelur normat ligjore procedurale mbi kufinjtë e shqyrtimit të çështjes prej saj, neni 425 i Kodit të Procedurës Penale.</w:t>
      </w:r>
    </w:p>
    <w:p w:rsidR="00076E72" w:rsidRPr="00ED5552" w:rsidRDefault="00076E72" w:rsidP="00076E72">
      <w:pPr>
        <w:pStyle w:val="NormalWeb"/>
        <w:numPr>
          <w:ilvl w:val="0"/>
          <w:numId w:val="32"/>
        </w:numPr>
        <w:tabs>
          <w:tab w:val="left" w:pos="180"/>
          <w:tab w:val="left" w:pos="540"/>
        </w:tabs>
        <w:spacing w:before="0" w:beforeAutospacing="0" w:after="0" w:afterAutospacing="0"/>
        <w:ind w:left="0" w:firstLine="180"/>
        <w:jc w:val="both"/>
        <w:rPr>
          <w:u w:val="single"/>
          <w:lang w:val="sq-AL"/>
        </w:rPr>
      </w:pPr>
      <w:r w:rsidRPr="00ED5552">
        <w:rPr>
          <w:lang w:val="sq-AL"/>
        </w:rPr>
        <w:t>Në lidhje me kthimin e çështjes për rigjykim për të gjithë të pandehurit, për çështje të zbatimit të ligjit, theksohet se Gjykata e Apelit ka cituar se për dy të pandehur nuk janë respektuar rregullat mbi njoftimin e akuzës dhe për papërdorshmëri provash. Gjykata e Apelit ka theksuar se Gjykata e shkallës së parë duhet të kishte konstatuar mangësi në njoftimin e akuzës dhe praninë e mbrojtësit, ndërkohë që prej mbrojtësit ka pasur pretendime mbi pavlefshmërinë e akteve dhe për rrjedhojë gjykata nuk duhet të kishte pranuar kërkesën për gjykim të shkurtuar.</w:t>
      </w:r>
    </w:p>
    <w:p w:rsidR="00076E72" w:rsidRPr="00ED5552" w:rsidRDefault="00076E72" w:rsidP="00076E72">
      <w:pPr>
        <w:pStyle w:val="NormalWeb"/>
        <w:numPr>
          <w:ilvl w:val="0"/>
          <w:numId w:val="32"/>
        </w:numPr>
        <w:tabs>
          <w:tab w:val="left" w:pos="180"/>
          <w:tab w:val="left" w:pos="540"/>
        </w:tabs>
        <w:spacing w:before="0" w:beforeAutospacing="0" w:after="0" w:afterAutospacing="0"/>
        <w:ind w:left="0" w:firstLine="180"/>
        <w:jc w:val="both"/>
        <w:rPr>
          <w:u w:val="single"/>
          <w:lang w:val="sq-AL"/>
        </w:rPr>
      </w:pPr>
      <w:r w:rsidRPr="00ED5552">
        <w:rPr>
          <w:lang w:val="sq-AL"/>
        </w:rPr>
        <w:t>Gjykata e Apelit është shprehur në mënyrë të përgjithshme mbi mangësitë në hetim dhe nevojën që çështja të shqyrtohet me procedurë të zakonshme gjykimi për të nxjerrë në pah të dhëna shtesë hetimore. Ndërkohë që, procedimi penal përpara dërgimit të tij për gjykim është ndarë dhe Prokuroria vijon hetimet për personat e tjerë të përfshirë.</w:t>
      </w:r>
    </w:p>
    <w:p w:rsidR="00076E72" w:rsidRPr="00ED5552" w:rsidRDefault="00076E72" w:rsidP="00076E72">
      <w:pPr>
        <w:pStyle w:val="NormalWeb"/>
        <w:numPr>
          <w:ilvl w:val="0"/>
          <w:numId w:val="32"/>
        </w:numPr>
        <w:tabs>
          <w:tab w:val="left" w:pos="180"/>
          <w:tab w:val="left" w:pos="540"/>
        </w:tabs>
        <w:spacing w:before="0" w:beforeAutospacing="0" w:after="0" w:afterAutospacing="0"/>
        <w:ind w:left="0" w:firstLine="180"/>
        <w:jc w:val="both"/>
        <w:rPr>
          <w:u w:val="single"/>
          <w:lang w:val="sq-AL"/>
        </w:rPr>
      </w:pPr>
      <w:r w:rsidRPr="00ED5552">
        <w:rPr>
          <w:lang w:val="sq-AL"/>
        </w:rPr>
        <w:t>Nga tërësia e akteve proceduriale penale dhe provave të administruara në fazën e hetimeve paraprake në funksion të këtij procedimi penal, qoftë nëpërmjet deklarimeve të marra të bashkëpandehurve apo subjekteve të tjerë të përfshirë në mënyrë të vullnetshme në këtë vepër, pamjeve filmike të kamerave të sigurisë së objekteve të ndyshme shtetërore, publike apo private, si mjete për kërkimin e provave, nuk rezulton asnjëlloj implikimi i të pandehurit Hysen Zeqiri në faktin penal për të cilin akuzohet ndërkohë që vendimi i gjykatës së faktit që e ka derklaruar të pafajshëm është i drejtë, i bazuar në ligj dhe në prova</w:t>
      </w:r>
      <w:r w:rsidRPr="00ED5552">
        <w:rPr>
          <w:u w:val="single"/>
          <w:lang w:val="sq-AL"/>
        </w:rPr>
        <w:t>.</w:t>
      </w:r>
    </w:p>
    <w:p w:rsidR="00076E72" w:rsidRPr="00ED5552" w:rsidRDefault="00076E72" w:rsidP="00076E72">
      <w:pPr>
        <w:pStyle w:val="NormalWeb"/>
        <w:numPr>
          <w:ilvl w:val="0"/>
          <w:numId w:val="32"/>
        </w:numPr>
        <w:tabs>
          <w:tab w:val="left" w:pos="180"/>
          <w:tab w:val="left" w:pos="540"/>
        </w:tabs>
        <w:spacing w:before="0" w:beforeAutospacing="0" w:after="0" w:afterAutospacing="0"/>
        <w:ind w:left="0" w:firstLine="180"/>
        <w:jc w:val="both"/>
        <w:rPr>
          <w:u w:val="single"/>
          <w:lang w:val="sq-AL"/>
        </w:rPr>
      </w:pPr>
      <w:r w:rsidRPr="00ED5552">
        <w:rPr>
          <w:lang w:val="sq-AL"/>
        </w:rPr>
        <w:t>I vetmi fakt ku prokuroria e mbështet kërkesën e saj për deklarimin fajtor për veprën penale të shpërdorimit të detyrës e kryer në bashkëpunim është shoqërimi i të pandehurit tjetër Adelion Vila nga i mbrojturi prej meje Hysen Zeqiri me makinën e tij nga karburant 'Krasniqi' deri tek parkingu ku ndodhej kamioni me konteinerin e ngarkuar me banane, për një distancë fizike prej rreth 200 m dhe segment kohor vajtje- ardhje rreth 3 minuta, fakt i pamjaftueshëm për të ngritur akuzë dhe deklaruar fajtor për çfarë akuzohet, duke mos u bazuar në njoftime konkrete mbi fajësinë të sjella nga prova direkte apo dhe indicie të shumta dhe në harmoni me njëra-tjetrën, por i kanë bazuar në tërësi vendimet e tyre vetëm në hamendësime dhe hipoteza</w:t>
      </w:r>
      <w:r w:rsidRPr="00ED5552">
        <w:rPr>
          <w:u w:val="single"/>
          <w:lang w:val="sq-AL"/>
        </w:rPr>
        <w:t>.</w:t>
      </w:r>
      <w:r w:rsidRPr="00ED5552">
        <w:rPr>
          <w:lang w:val="sq-AL"/>
        </w:rPr>
        <w:t xml:space="preserve"> Konsiderojmë se vendimi i Gjykatës së Apelit vjen në kundërshtim me praktikën e konsoliduar të Gjykatës së Lartë.</w:t>
      </w:r>
    </w:p>
    <w:p w:rsidR="00076E72" w:rsidRPr="00ED5552" w:rsidRDefault="00076E72" w:rsidP="00076E72">
      <w:pPr>
        <w:pStyle w:val="NormalWeb"/>
        <w:numPr>
          <w:ilvl w:val="0"/>
          <w:numId w:val="32"/>
        </w:numPr>
        <w:tabs>
          <w:tab w:val="left" w:pos="180"/>
          <w:tab w:val="left" w:pos="540"/>
        </w:tabs>
        <w:spacing w:before="0" w:beforeAutospacing="0" w:after="0" w:afterAutospacing="0"/>
        <w:ind w:left="0" w:firstLine="180"/>
        <w:jc w:val="both"/>
        <w:rPr>
          <w:u w:val="single"/>
          <w:lang w:val="sq-AL"/>
        </w:rPr>
      </w:pPr>
      <w:r w:rsidRPr="00ED5552">
        <w:rPr>
          <w:lang w:val="sq-AL"/>
        </w:rPr>
        <w:t>Gjykata e Apelit duhej të linte në fuqi vendimin e gjykatës së faktit që e deklaronte të pafajshëm subjektin Hysen Zeqiri për veprën penale të Shpërdorimit të detyrës e kryer në bashkëpunim - nenet 248 e 25 të Kodit Penal.</w:t>
      </w:r>
    </w:p>
    <w:p w:rsidR="00076E72" w:rsidRPr="00ED5552" w:rsidRDefault="00076E72" w:rsidP="00076E72">
      <w:pPr>
        <w:pStyle w:val="NormalWeb"/>
        <w:tabs>
          <w:tab w:val="left" w:pos="540"/>
          <w:tab w:val="left" w:pos="900"/>
        </w:tabs>
        <w:spacing w:before="0" w:beforeAutospacing="0" w:after="0" w:afterAutospacing="0"/>
        <w:jc w:val="both"/>
        <w:rPr>
          <w:lang w:val="sq-AL"/>
        </w:rPr>
      </w:pPr>
    </w:p>
    <w:p w:rsidR="00076E72" w:rsidRPr="00ED5552" w:rsidRDefault="00076E72" w:rsidP="00076E72">
      <w:pPr>
        <w:pStyle w:val="ListParagraph"/>
        <w:numPr>
          <w:ilvl w:val="0"/>
          <w:numId w:val="40"/>
        </w:numPr>
        <w:ind w:right="40"/>
        <w:jc w:val="both"/>
        <w:rPr>
          <w:b/>
          <w:noProof/>
          <w:sz w:val="24"/>
          <w:szCs w:val="24"/>
          <w:lang w:bidi="en-US"/>
        </w:rPr>
      </w:pPr>
      <w:r w:rsidRPr="00ED5552">
        <w:rPr>
          <w:b/>
          <w:noProof/>
          <w:sz w:val="24"/>
          <w:szCs w:val="24"/>
        </w:rPr>
        <w:t>Vlerësimi i Kolegjit Penal të Gjykatës së Lartë</w:t>
      </w:r>
      <w:bookmarkEnd w:id="0"/>
    </w:p>
    <w:p w:rsidR="00076E72" w:rsidRPr="00ED5552" w:rsidRDefault="00076E72" w:rsidP="00076E72">
      <w:pPr>
        <w:tabs>
          <w:tab w:val="left" w:pos="990"/>
        </w:tabs>
        <w:jc w:val="both"/>
        <w:rPr>
          <w:sz w:val="24"/>
          <w:szCs w:val="24"/>
        </w:rPr>
      </w:pPr>
    </w:p>
    <w:p w:rsidR="00076E72" w:rsidRPr="00ED5552" w:rsidRDefault="00076E72" w:rsidP="00076E72">
      <w:pPr>
        <w:pStyle w:val="ListParagraph"/>
        <w:numPr>
          <w:ilvl w:val="0"/>
          <w:numId w:val="33"/>
        </w:numPr>
        <w:tabs>
          <w:tab w:val="left" w:pos="990"/>
        </w:tabs>
        <w:ind w:left="0" w:firstLine="540"/>
        <w:jc w:val="both"/>
        <w:rPr>
          <w:bCs/>
          <w:sz w:val="24"/>
          <w:szCs w:val="24"/>
        </w:rPr>
      </w:pPr>
      <w:r w:rsidRPr="00ED5552">
        <w:rPr>
          <w:sz w:val="24"/>
          <w:szCs w:val="24"/>
        </w:rPr>
        <w:t>Gjykata e Lartë është një gjykatë ligji, të cilës palët mund t’i drejtohen vetëm për shkaqet e përcaktuara në nenin 432 të Kodit të Procedurës Penale (në vijim KPP). Paraqitja e shkaqeve/motiveve të rekursit, pa argumentuar integrimin e tyre në cilësinë e shkakut ligjor në një nga përcaktimet e paragrafit të parë, të kësaj dispozite përbën shkak që Kolegji të vendosë mospranimin e rekursit. Nga ana tjetër theksohet pretendimet në lidhje me vlerësimin e gabuar të fakteve dhe provave dalin jashtë juridiksionit ekskluzivisht ligjor të Gjykatës së Lartë.</w:t>
      </w:r>
    </w:p>
    <w:p w:rsidR="00076E72" w:rsidRPr="00ED5552" w:rsidRDefault="00076E72" w:rsidP="00076E72">
      <w:pPr>
        <w:pStyle w:val="ListParagraph"/>
        <w:numPr>
          <w:ilvl w:val="0"/>
          <w:numId w:val="33"/>
        </w:numPr>
        <w:tabs>
          <w:tab w:val="left" w:pos="990"/>
        </w:tabs>
        <w:ind w:left="0" w:firstLine="540"/>
        <w:jc w:val="both"/>
        <w:rPr>
          <w:bCs/>
          <w:sz w:val="24"/>
          <w:szCs w:val="24"/>
        </w:rPr>
      </w:pPr>
      <w:r w:rsidRPr="00ED5552">
        <w:rPr>
          <w:sz w:val="24"/>
          <w:szCs w:val="24"/>
        </w:rPr>
        <w:t xml:space="preserve">Shkaqet e rekursit në Gjykatën e Lartë parashikohen nga neni 432 i KPP. Kjo dispozitë, në pikën 1 të saj, parashikon se: </w:t>
      </w:r>
      <w:r w:rsidRPr="00ED5552">
        <w:rPr>
          <w:i/>
          <w:iCs/>
          <w:sz w:val="24"/>
          <w:szCs w:val="24"/>
        </w:rPr>
        <w:t xml:space="preserve">“1. Rekursi në Gjykatën e Lartë kundër vendimeve të Gjykatës së Apelit mund të bëhet për këto shkaqe: a) për mosrespektimin ose zbatimin e gabuar të ligjit material ose procedural, me rëndësi për njësimin ose zhvillimin e praktikës gjyqësore; b) për mosrespektimin ose zbatimin e gabuar të ligjit procedural me pasojë pavlefshmërinë e vendimit, pavlefshmërinë absolute të akteve ose papërdorshmërinë e provave; c) kur vendimi i ankimuar vjen në kundërshtim me praktikën e Kolegjit Penal ose të </w:t>
      </w:r>
      <w:r w:rsidRPr="00ED5552">
        <w:rPr>
          <w:i/>
          <w:iCs/>
          <w:sz w:val="24"/>
          <w:szCs w:val="24"/>
        </w:rPr>
        <w:lastRenderedPageBreak/>
        <w:t>Kolegjeve të Bashkuara të Gjykatës së Lartë”.</w:t>
      </w:r>
      <w:r w:rsidRPr="00ED5552">
        <w:rPr>
          <w:rFonts w:eastAsia="Calibri"/>
          <w:kern w:val="2"/>
          <w:sz w:val="24"/>
          <w:szCs w:val="24"/>
        </w:rPr>
        <w:t xml:space="preserve"> Janë këto shkaqet që vënë në lëvizje funksionin kontrollues të karakterit ligjor dhe nomofilatik të kësaj Gjykate në drejtim të ligjshmërisë së vendimmarrjes së Gjykatës së Apelit, të respektimit dhe zbatimit prej kësaj të fundit të ligjit penal.</w:t>
      </w:r>
    </w:p>
    <w:p w:rsidR="00076E72" w:rsidRPr="00ED5552" w:rsidRDefault="00076E72" w:rsidP="00076E72">
      <w:pPr>
        <w:pStyle w:val="ListParagraph"/>
        <w:numPr>
          <w:ilvl w:val="0"/>
          <w:numId w:val="33"/>
        </w:numPr>
        <w:tabs>
          <w:tab w:val="left" w:pos="990"/>
        </w:tabs>
        <w:ind w:left="0" w:firstLine="540"/>
        <w:jc w:val="both"/>
        <w:rPr>
          <w:bCs/>
          <w:sz w:val="24"/>
          <w:szCs w:val="24"/>
        </w:rPr>
      </w:pPr>
      <w:r w:rsidRPr="00ED5552">
        <w:rPr>
          <w:noProof/>
          <w:sz w:val="24"/>
          <w:szCs w:val="24"/>
        </w:rPr>
        <w:t xml:space="preserve">Kolegji Penal, (në vijim Kolegji) konstaton se </w:t>
      </w:r>
      <w:r w:rsidRPr="00ED5552">
        <w:rPr>
          <w:i/>
          <w:iCs/>
          <w:noProof/>
          <w:sz w:val="24"/>
          <w:szCs w:val="24"/>
        </w:rPr>
        <w:t xml:space="preserve">përsa i përket kushteve formale të pranueshmërisë, </w:t>
      </w:r>
      <w:r w:rsidRPr="00ED5552">
        <w:rPr>
          <w:noProof/>
          <w:sz w:val="24"/>
          <w:szCs w:val="24"/>
        </w:rPr>
        <w:t xml:space="preserve"> rekurset nga të pandehurit </w:t>
      </w:r>
      <w:r w:rsidRPr="00ED5552">
        <w:rPr>
          <w:rFonts w:eastAsia="MS Mincho"/>
          <w:sz w:val="24"/>
          <w:szCs w:val="24"/>
        </w:rPr>
        <w:t>Hysen Zeqiri dhe Durim Halka</w:t>
      </w:r>
      <w:r w:rsidRPr="00ED5552">
        <w:rPr>
          <w:noProof/>
          <w:sz w:val="24"/>
          <w:szCs w:val="24"/>
        </w:rPr>
        <w:t xml:space="preserve"> janë paraqitur brenda afatit ligjor të parashikuar në nenin 435/1 të KPP, si dhe rezultojnë të nënshkruar nga mbrojtësi i zgjedhur prej tyre, në konformitet me përcaktimet e nenit 435/2 të këtij Kodi. Gjithashtu, konstatohet se palët e tjera në këtë proces janë njoftuar për rekurset e paraqitura.</w:t>
      </w:r>
    </w:p>
    <w:p w:rsidR="00076E72" w:rsidRPr="00ED5552" w:rsidRDefault="00076E72" w:rsidP="00076E72">
      <w:pPr>
        <w:pStyle w:val="ListParagraph"/>
        <w:numPr>
          <w:ilvl w:val="0"/>
          <w:numId w:val="33"/>
        </w:numPr>
        <w:tabs>
          <w:tab w:val="left" w:pos="990"/>
        </w:tabs>
        <w:ind w:left="0" w:firstLine="540"/>
        <w:jc w:val="both"/>
        <w:rPr>
          <w:bCs/>
          <w:sz w:val="24"/>
          <w:szCs w:val="24"/>
        </w:rPr>
      </w:pPr>
      <w:r w:rsidRPr="00ED5552">
        <w:rPr>
          <w:sz w:val="24"/>
          <w:szCs w:val="24"/>
        </w:rPr>
        <w:t>Referuar shkaqeve të rekursit-ve të paraqitur</w:t>
      </w:r>
      <w:r w:rsidR="00ED5552" w:rsidRPr="00ED5552">
        <w:rPr>
          <w:sz w:val="24"/>
          <w:szCs w:val="24"/>
        </w:rPr>
        <w:t>a</w:t>
      </w:r>
      <w:r w:rsidRPr="00ED5552">
        <w:rPr>
          <w:sz w:val="24"/>
          <w:szCs w:val="24"/>
        </w:rPr>
        <w:t>, të pandehurit në thelb parashtrojnë se Gjykata e Apelit, me disponimin përfundimtar për kthimin e çështjes për rigjykim, ka cenuar parimin e ligjshmërisë dhe ka shkelur rregullat e procesit të rregullt gjyqësor, duke rënduar pozitën ligjore dhe procedurale të të pandehurve rekursues, pa dhënë arsyetim të mbështetur në ligj, por vetëm duke sugjeruar zbatimin e ligjit me analogji. Gjithashtu, ajo gjykatë ka tejkaluar kufijtë e shqyrtimit të çështjes në shkallë të dytë dhe në thelb me disponimin e saj i ka dhënë faktit penal të autribuuar të pandehurve një kualifikim ligjor më të rëndë - në kundërshtim me parimin e mosrëndimit të pozitës së të pandehurit</w:t>
      </w:r>
      <w:r w:rsidRPr="00ED5552">
        <w:rPr>
          <w:i/>
          <w:iCs/>
          <w:sz w:val="24"/>
          <w:szCs w:val="24"/>
        </w:rPr>
        <w:t xml:space="preserve"> (non reformatio in pejus)</w:t>
      </w:r>
      <w:r w:rsidRPr="00ED5552">
        <w:rPr>
          <w:sz w:val="24"/>
          <w:szCs w:val="24"/>
        </w:rPr>
        <w:t>.</w:t>
      </w:r>
    </w:p>
    <w:p w:rsidR="00076E72" w:rsidRPr="00ED5552" w:rsidRDefault="00076E72" w:rsidP="00076E72">
      <w:pPr>
        <w:pStyle w:val="ListParagraph"/>
        <w:numPr>
          <w:ilvl w:val="0"/>
          <w:numId w:val="33"/>
        </w:numPr>
        <w:tabs>
          <w:tab w:val="left" w:pos="990"/>
        </w:tabs>
        <w:ind w:left="0" w:firstLine="540"/>
        <w:jc w:val="both"/>
        <w:rPr>
          <w:bCs/>
          <w:sz w:val="24"/>
          <w:szCs w:val="24"/>
        </w:rPr>
      </w:pPr>
      <w:r w:rsidRPr="00ED5552">
        <w:rPr>
          <w:sz w:val="24"/>
          <w:szCs w:val="24"/>
        </w:rPr>
        <w:t xml:space="preserve">Për </w:t>
      </w:r>
      <w:proofErr w:type="gramStart"/>
      <w:r w:rsidRPr="00ED5552">
        <w:rPr>
          <w:sz w:val="24"/>
          <w:szCs w:val="24"/>
        </w:rPr>
        <w:t>sa</w:t>
      </w:r>
      <w:proofErr w:type="gramEnd"/>
      <w:r w:rsidRPr="00ED5552">
        <w:rPr>
          <w:sz w:val="24"/>
          <w:szCs w:val="24"/>
        </w:rPr>
        <w:t xml:space="preserve"> i përket verifikimit të kushteve substanciale të pranueshmërisë së rekurseve të paraqitura si shkaqe mbështetëse të tyre, në kontestimin e vendimmarrjes së Gjykatës së Apelit të Juridiksionit të Përgjithshëm që ka disponuar për </w:t>
      </w:r>
      <w:r w:rsidRPr="00ED5552">
        <w:rPr>
          <w:i/>
          <w:iCs/>
          <w:sz w:val="24"/>
          <w:szCs w:val="24"/>
        </w:rPr>
        <w:t>“Prishjen e vendimit nr. (11-2024-6892) 1033, datë 04.12.2024 të Gjykatës së Shkallës së Parë të Juridiksionit të Përgjithshëm Durrës dhe kthimin e çështjes për rigjykim pranë të njëjtës gjykatë, me tjetër trup gjykues”</w:t>
      </w:r>
      <w:r w:rsidRPr="00ED5552">
        <w:rPr>
          <w:sz w:val="24"/>
          <w:szCs w:val="24"/>
        </w:rPr>
        <w:t xml:space="preserve">, Kolegji i konsideron ato - shkaqet e rekursit të bazuara, në referim të parashikimeve të nenit 432 të KPP, të cilat përbëjnë shkak për cënimin e vendimit objekt rekursi të Gjykatës së Apelit të Juridiksionit të Përgjithshëm – </w:t>
      </w:r>
      <w:r w:rsidRPr="00ED5552">
        <w:rPr>
          <w:i/>
          <w:iCs/>
          <w:sz w:val="24"/>
          <w:szCs w:val="24"/>
        </w:rPr>
        <w:t>(në vijim Gjykata e Apelit).</w:t>
      </w:r>
    </w:p>
    <w:p w:rsidR="00076E72" w:rsidRPr="00ED5552" w:rsidRDefault="00076E72" w:rsidP="00076E72">
      <w:pPr>
        <w:pStyle w:val="ListParagraph"/>
        <w:numPr>
          <w:ilvl w:val="0"/>
          <w:numId w:val="33"/>
        </w:numPr>
        <w:tabs>
          <w:tab w:val="left" w:pos="990"/>
        </w:tabs>
        <w:ind w:left="0" w:firstLine="540"/>
        <w:jc w:val="both"/>
        <w:rPr>
          <w:bCs/>
          <w:sz w:val="24"/>
          <w:szCs w:val="24"/>
        </w:rPr>
      </w:pPr>
      <w:r w:rsidRPr="00ED5552">
        <w:rPr>
          <w:sz w:val="24"/>
          <w:szCs w:val="24"/>
        </w:rPr>
        <w:t xml:space="preserve">Duke ju referuar konkretisht vendimmarrjes së Gjykatës së Apelit evidentohet se disponimi i saj si mësipërcituar, është motivuar substancialisht mbi arsyetimin se vendimi i gjykatës së shkallës së parë, është konkluzion i një procesi jo të rregullt ligjor, dhe i shkeljeve procedurale që janë kryer që në fazën e seancës paraprake, të cilat bëjnë që gjykimi i çështjes të mos jetë ushtruar në përputhje me ligjin, dhe në harmoni me nenin 428/1 pika “ç”, bëjnë të pavlefshëm vendimin e Gjyqtarit të Seancës Paraprake si dhe vendimin e ankimuar. Konkretisht, Gjykata e Apelit, ka arritur në përfundimet e paraqitura përmbledhtazi si vijon: </w:t>
      </w:r>
    </w:p>
    <w:p w:rsidR="00076E72" w:rsidRPr="00ED5552" w:rsidRDefault="00076E72" w:rsidP="00076E72">
      <w:pPr>
        <w:pStyle w:val="ListParagraph"/>
        <w:numPr>
          <w:ilvl w:val="1"/>
          <w:numId w:val="33"/>
        </w:numPr>
        <w:tabs>
          <w:tab w:val="left" w:pos="990"/>
          <w:tab w:val="left" w:pos="1170"/>
        </w:tabs>
        <w:ind w:left="0" w:firstLine="540"/>
        <w:jc w:val="both"/>
        <w:rPr>
          <w:bCs/>
          <w:i/>
          <w:iCs/>
          <w:sz w:val="24"/>
          <w:szCs w:val="24"/>
        </w:rPr>
      </w:pPr>
      <w:r w:rsidRPr="00ED5552">
        <w:rPr>
          <w:i/>
          <w:iCs/>
          <w:sz w:val="24"/>
          <w:szCs w:val="24"/>
        </w:rPr>
        <w:t>Gjykata e shkallës së parë nuk është përgjigjur pretendimeve të paraqitura nga i pandehuri Egnis Gojani për mosnjoftimin e tij dhe të mbrojtësit për vendimet e zgjatjes së hetimeve dhe nëse përbën (ekziston) ndonjë shkak për pavlefshmëri të akteve apo sjell si pasojë papërdorshmërinë e ndonjë akti, me pasoja dhe në ritin e gjykimit, pasi Prokurori nuk i ka komunikuar vendimin për përfundimin e hetimeve, mbrojtësit të zgjedhur të të pandehurit. Gjykata e shkallës së parë ka pasur detyrimin të marrë në shqyrtim kryesisht pavlefshmërinë absolute, ose të rivlerësonte vendimmarrjen e saj pas kërkesave të të pandehurit Egnis Gojani në diskutimin përfundimtar, me pasojë revokimin e vendimit për gjykim të shkurtuar të çështjes penale, që shtrihet edhe tek të pandehurit e tjerë…,  Edhe për të pandehurën Alketa Kallçaku nuk është respektuar përcaktimi i paragrafit 3 të nenit 327 të KPP, bazuar në nenin 331 pika 2 të KPP, sipas të cilit “Kërkesa për dërgimin e çështjes në gjyq është e pavlefshme kur nuk respektohen përcaktimet e paragrafëve 2, 3 dhe 4, të nenit 327, të këtij Kodi”, me pasojë pavlefshmërinë absolute të aktit - kërkesës për dërgim në gjyq.</w:t>
      </w:r>
    </w:p>
    <w:p w:rsidR="00076E72" w:rsidRPr="00ED5552" w:rsidRDefault="00076E72" w:rsidP="00076E72">
      <w:pPr>
        <w:pStyle w:val="ListParagraph"/>
        <w:numPr>
          <w:ilvl w:val="1"/>
          <w:numId w:val="33"/>
        </w:numPr>
        <w:tabs>
          <w:tab w:val="left" w:pos="990"/>
          <w:tab w:val="left" w:pos="1170"/>
        </w:tabs>
        <w:spacing w:before="240"/>
        <w:ind w:left="0" w:firstLine="540"/>
        <w:jc w:val="both"/>
        <w:rPr>
          <w:bCs/>
          <w:i/>
          <w:iCs/>
          <w:sz w:val="24"/>
          <w:szCs w:val="24"/>
        </w:rPr>
      </w:pPr>
      <w:r w:rsidRPr="00ED5552">
        <w:rPr>
          <w:i/>
          <w:iCs/>
          <w:sz w:val="24"/>
          <w:szCs w:val="24"/>
        </w:rPr>
        <w:t xml:space="preserve">Gjyqtari i Seancës Paraprake, i cili në rastin konkret rezulton të jetë edhe gjyqtari i themelit, nuk ka kryer detyrën e vet funksionale në verifikimin e plotësisë së hetimeve, e lidhur kjo me detyrimin e prokurorit për ushtrimin e ndjekjes penale. </w:t>
      </w:r>
      <w:proofErr w:type="gramStart"/>
      <w:r w:rsidRPr="00ED5552">
        <w:rPr>
          <w:i/>
          <w:iCs/>
          <w:sz w:val="24"/>
          <w:szCs w:val="24"/>
        </w:rPr>
        <w:t>a</w:t>
      </w:r>
      <w:proofErr w:type="gramEnd"/>
      <w:r w:rsidRPr="00ED5552">
        <w:rPr>
          <w:i/>
          <w:iCs/>
          <w:sz w:val="24"/>
          <w:szCs w:val="24"/>
        </w:rPr>
        <w:t xml:space="preserve">). Lidhur me dërgimin në gjykim të çështjes penale për të pandehurin Hysen Zeqiri, gjykata e shkallës së parë duhej të kishte verifikuar nëse veprimet hetimore të kryera nga prokuroria për këtë të pandehur kanë qenë të plota apo jo. b). Gjyqtari i Seancës Paraprake nuk ka verifikuar </w:t>
      </w:r>
      <w:r w:rsidRPr="00ED5552">
        <w:rPr>
          <w:i/>
          <w:iCs/>
          <w:sz w:val="24"/>
          <w:szCs w:val="24"/>
        </w:rPr>
        <w:lastRenderedPageBreak/>
        <w:t>plotësinë e hetimeve nëse në këtë aktivitet të kundërligjshëm kanë qenë të përfshirë edhe subjekte të tjerë që ushtrojnë funksione publike, dhe nëse ky aktivitet i kundërligjshëm lidhet vetëm me vepra penale në fushën e doganave, apo veprimtari tjetër kriminale e kryer që shkon përtej dy arkave me banane të hequra nga kontenieri.</w:t>
      </w:r>
    </w:p>
    <w:p w:rsidR="00076E72" w:rsidRPr="00ED5552" w:rsidRDefault="00076E72" w:rsidP="00076E72">
      <w:pPr>
        <w:pStyle w:val="ListParagraph"/>
        <w:numPr>
          <w:ilvl w:val="1"/>
          <w:numId w:val="33"/>
        </w:numPr>
        <w:tabs>
          <w:tab w:val="left" w:pos="990"/>
          <w:tab w:val="left" w:pos="1170"/>
        </w:tabs>
        <w:spacing w:before="240"/>
        <w:ind w:left="0" w:firstLine="540"/>
        <w:jc w:val="both"/>
        <w:rPr>
          <w:bCs/>
          <w:i/>
          <w:iCs/>
          <w:sz w:val="24"/>
          <w:szCs w:val="24"/>
        </w:rPr>
      </w:pPr>
      <w:r w:rsidRPr="00ED5552">
        <w:rPr>
          <w:i/>
          <w:iCs/>
          <w:sz w:val="24"/>
          <w:szCs w:val="24"/>
        </w:rPr>
        <w:t>Gjykata e shkallës së parë nuk ka arsyetuar nëse gjatë ushtrimit të detyrës së tyre, lidhur me faktin penal për të cilin gjykohen të pandehurit –</w:t>
      </w:r>
      <w:r w:rsidR="00ED5552" w:rsidRPr="00ED5552">
        <w:rPr>
          <w:i/>
          <w:iCs/>
          <w:sz w:val="24"/>
          <w:szCs w:val="24"/>
        </w:rPr>
        <w:t xml:space="preserve"> </w:t>
      </w:r>
      <w:r w:rsidRPr="00ED5552">
        <w:rPr>
          <w:i/>
          <w:iCs/>
          <w:sz w:val="24"/>
          <w:szCs w:val="24"/>
        </w:rPr>
        <w:t xml:space="preserve">(të punësuar pranë Shoqërisë private “Marina Adriatic” shpk), kanë ushtruar apo </w:t>
      </w:r>
      <w:proofErr w:type="gramStart"/>
      <w:r w:rsidRPr="00ED5552">
        <w:rPr>
          <w:i/>
          <w:iCs/>
          <w:sz w:val="24"/>
          <w:szCs w:val="24"/>
        </w:rPr>
        <w:t>jo</w:t>
      </w:r>
      <w:proofErr w:type="gramEnd"/>
      <w:r w:rsidRPr="00ED5552">
        <w:rPr>
          <w:i/>
          <w:iCs/>
          <w:sz w:val="24"/>
          <w:szCs w:val="24"/>
        </w:rPr>
        <w:t xml:space="preserve"> funksion publik dhe, në këtë kontekst, janë apo jo subjekte të veprës penale të parashikuar nga neni 248 i KP.</w:t>
      </w:r>
    </w:p>
    <w:p w:rsidR="00076E72" w:rsidRPr="00ED5552" w:rsidRDefault="00076E72" w:rsidP="00076E72">
      <w:pPr>
        <w:pStyle w:val="ListParagraph"/>
        <w:numPr>
          <w:ilvl w:val="0"/>
          <w:numId w:val="33"/>
        </w:numPr>
        <w:tabs>
          <w:tab w:val="left" w:pos="990"/>
          <w:tab w:val="left" w:pos="1170"/>
        </w:tabs>
        <w:spacing w:before="240"/>
        <w:ind w:left="0" w:firstLine="540"/>
        <w:jc w:val="both"/>
        <w:rPr>
          <w:bCs/>
          <w:i/>
          <w:iCs/>
          <w:sz w:val="24"/>
          <w:szCs w:val="24"/>
        </w:rPr>
      </w:pPr>
      <w:proofErr w:type="gramStart"/>
      <w:r w:rsidRPr="00ED5552">
        <w:rPr>
          <w:sz w:val="24"/>
          <w:szCs w:val="24"/>
        </w:rPr>
        <w:t>Sa</w:t>
      </w:r>
      <w:proofErr w:type="gramEnd"/>
      <w:r w:rsidRPr="00ED5552">
        <w:rPr>
          <w:sz w:val="24"/>
          <w:szCs w:val="24"/>
        </w:rPr>
        <w:t xml:space="preserve"> më sipër, Kolegji vlerëson se disponimi i Gjykatës së Apelit për: </w:t>
      </w:r>
      <w:r w:rsidRPr="00ED5552">
        <w:rPr>
          <w:i/>
          <w:iCs/>
          <w:sz w:val="24"/>
          <w:szCs w:val="24"/>
        </w:rPr>
        <w:t>“Prishjen e vendimit nr. (11-2024-6892) 1033, datë 04.12.2024 të Gjykatës së Shkallës së Parë të Juridiksionit të Përgjithshëm Durrës dhe kthimin e çështjes për rigjykim pranë të njëjtës gjykatë, me tjetër trup gjykues”</w:t>
      </w:r>
      <w:r w:rsidRPr="00ED5552">
        <w:rPr>
          <w:sz w:val="24"/>
          <w:szCs w:val="24"/>
        </w:rPr>
        <w:t xml:space="preserve"> nuk është marrë në zbatim të drejtë të ligjit penal (procedural / material), dhe si i tillë ky vendim duhet të prishet dhe çështja të kthehet për rishqyrtim në atë gjykatë, për arsyet si vijon:</w:t>
      </w:r>
    </w:p>
    <w:p w:rsidR="00076E72" w:rsidRPr="00ED5552" w:rsidRDefault="00076E72" w:rsidP="00076E72">
      <w:pPr>
        <w:pStyle w:val="ListParagraph"/>
        <w:numPr>
          <w:ilvl w:val="0"/>
          <w:numId w:val="33"/>
        </w:numPr>
        <w:tabs>
          <w:tab w:val="left" w:pos="990"/>
          <w:tab w:val="left" w:pos="1170"/>
        </w:tabs>
        <w:spacing w:before="240"/>
        <w:ind w:left="0" w:firstLine="540"/>
        <w:jc w:val="both"/>
        <w:rPr>
          <w:bCs/>
          <w:i/>
          <w:iCs/>
          <w:sz w:val="24"/>
          <w:szCs w:val="24"/>
        </w:rPr>
      </w:pPr>
      <w:r w:rsidRPr="00ED5552">
        <w:rPr>
          <w:sz w:val="24"/>
          <w:szCs w:val="24"/>
        </w:rPr>
        <w:t xml:space="preserve">Lidhur me argumentin e Gjykatës së Apelit, se mosnjoftimi nga prokurori i të pandehurve apo mbrojtësve të tyre, të vendimit për zgjatjen e afateve hetimore apo për përfundimin e hetimit sipas përcaktimeve të nenit 327 të KPP, përbën pavlefshmëri absolute të aktit, e cila transferohet - passjell pavlefshmërinë absolute edhe të akteve të mëpasshme, siç është </w:t>
      </w:r>
      <w:r w:rsidRPr="00ED5552">
        <w:rPr>
          <w:i/>
          <w:iCs/>
          <w:sz w:val="24"/>
          <w:szCs w:val="24"/>
        </w:rPr>
        <w:t>“Kërkesa për dërgimin e çështjes në gjyq</w:t>
      </w:r>
      <w:r w:rsidRPr="00ED5552">
        <w:rPr>
          <w:sz w:val="24"/>
          <w:szCs w:val="24"/>
        </w:rPr>
        <w:t>” –</w:t>
      </w:r>
      <w:r w:rsidR="00ED5552" w:rsidRPr="00ED5552">
        <w:rPr>
          <w:sz w:val="24"/>
          <w:szCs w:val="24"/>
        </w:rPr>
        <w:t xml:space="preserve"> </w:t>
      </w:r>
      <w:r w:rsidRPr="00ED5552">
        <w:rPr>
          <w:sz w:val="24"/>
          <w:szCs w:val="24"/>
        </w:rPr>
        <w:t>(neni 331 i KPP), Kolegji e çmon të pa bazuar.</w:t>
      </w:r>
    </w:p>
    <w:p w:rsidR="00076E72" w:rsidRPr="00ED5552" w:rsidRDefault="00076E72" w:rsidP="00076E72">
      <w:pPr>
        <w:pStyle w:val="ListParagraph"/>
        <w:numPr>
          <w:ilvl w:val="1"/>
          <w:numId w:val="33"/>
        </w:numPr>
        <w:tabs>
          <w:tab w:val="left" w:pos="990"/>
          <w:tab w:val="left" w:pos="1170"/>
        </w:tabs>
        <w:spacing w:before="240"/>
        <w:ind w:left="0" w:firstLine="540"/>
        <w:jc w:val="both"/>
        <w:rPr>
          <w:bCs/>
          <w:i/>
          <w:iCs/>
          <w:sz w:val="24"/>
          <w:szCs w:val="24"/>
        </w:rPr>
      </w:pPr>
      <w:r w:rsidRPr="00ED5552">
        <w:rPr>
          <w:noProof/>
          <w:sz w:val="24"/>
          <w:szCs w:val="24"/>
        </w:rPr>
        <w:t>Kolegji fillimisht thekson se në temën e pavlefshmërive vepron parimi i “taksativitetit”. Ky parim parashikohet shprehimisht në nenin 128 të KPP, i cili përcakton se</w:t>
      </w:r>
      <w:r w:rsidRPr="00ED5552">
        <w:rPr>
          <w:i/>
          <w:iCs/>
          <w:noProof/>
          <w:sz w:val="24"/>
          <w:szCs w:val="24"/>
        </w:rPr>
        <w:t>,“</w:t>
      </w:r>
      <w:r w:rsidRPr="00ED5552">
        <w:rPr>
          <w:i/>
          <w:iCs/>
          <w:sz w:val="24"/>
          <w:szCs w:val="24"/>
        </w:rPr>
        <w:t xml:space="preserve">Aktet procedurale janë të pavlefshme vetëm në rastet e parashikuara shprehimisht nga </w:t>
      </w:r>
      <w:proofErr w:type="gramStart"/>
      <w:r w:rsidRPr="00ED5552">
        <w:rPr>
          <w:i/>
          <w:iCs/>
          <w:sz w:val="24"/>
          <w:szCs w:val="24"/>
        </w:rPr>
        <w:t>ky</w:t>
      </w:r>
      <w:proofErr w:type="gramEnd"/>
      <w:r w:rsidRPr="00ED5552">
        <w:rPr>
          <w:i/>
          <w:iCs/>
          <w:sz w:val="24"/>
          <w:szCs w:val="24"/>
        </w:rPr>
        <w:t xml:space="preserve"> Kod”.</w:t>
      </w:r>
      <w:r w:rsidRPr="00ED5552">
        <w:rPr>
          <w:sz w:val="24"/>
          <w:szCs w:val="24"/>
        </w:rPr>
        <w:t xml:space="preserve"> Norma në fjalë shpreh një zgjedhje të tipit “formalist” - të adoptuar prej legjislatorit, nga e cila rrjedhin disa pasoja. Së pari nuk mund të zbatohet pavlefshmëria me analogji; edhe nëse rasti, i paparashikuar shprehimisht, duket i “ngjashëm” me një nga rastet e sanksionuara me pavlefshmëri, kjo e fundit nuk mund të afektojë rastin e paparashikuar. Së dyti, pasi të jetë konstatuar pavlefshmëria nuk është e mundur të vlerësohet nëse është cenuar ndonjë interes i mbrojtur apo nëse akti e ka arritur efektin e tij </w:t>
      </w:r>
      <w:r w:rsidRPr="00ED5552">
        <w:rPr>
          <w:i/>
          <w:iCs/>
          <w:sz w:val="24"/>
          <w:szCs w:val="24"/>
        </w:rPr>
        <w:t>(përveç rasteve të parashikuara në nenin 130 të KPP)</w:t>
      </w:r>
      <w:r w:rsidRPr="00ED5552">
        <w:rPr>
          <w:sz w:val="24"/>
          <w:szCs w:val="24"/>
        </w:rPr>
        <w:t xml:space="preserve">. </w:t>
      </w:r>
    </w:p>
    <w:p w:rsidR="00076E72" w:rsidRPr="00ED5552" w:rsidRDefault="00076E72" w:rsidP="00076E72">
      <w:pPr>
        <w:pStyle w:val="ListParagraph"/>
        <w:numPr>
          <w:ilvl w:val="1"/>
          <w:numId w:val="33"/>
        </w:numPr>
        <w:tabs>
          <w:tab w:val="left" w:pos="990"/>
          <w:tab w:val="left" w:pos="1170"/>
        </w:tabs>
        <w:spacing w:before="240"/>
        <w:ind w:left="0" w:firstLine="540"/>
        <w:jc w:val="both"/>
        <w:rPr>
          <w:bCs/>
          <w:i/>
          <w:iCs/>
          <w:sz w:val="24"/>
          <w:szCs w:val="24"/>
        </w:rPr>
      </w:pPr>
      <w:proofErr w:type="gramStart"/>
      <w:r w:rsidRPr="00ED5552">
        <w:rPr>
          <w:sz w:val="24"/>
          <w:szCs w:val="24"/>
        </w:rPr>
        <w:t>Sa</w:t>
      </w:r>
      <w:proofErr w:type="gramEnd"/>
      <w:r w:rsidRPr="00ED5552">
        <w:rPr>
          <w:sz w:val="24"/>
          <w:szCs w:val="24"/>
        </w:rPr>
        <w:t xml:space="preserve"> i përket regjimit juridik, sipas KPP, pavlefshmëritë ndahen në dy lloje: pavlefshmëri absolute dhe relative. Goditen/sanksionohen me pavlefshmëri absolute shkeljet më të rënda që parashikohen në nenin 128/a të KPP dhe që lidhen me subjektet e procedimit penal: me gjyqtarin (shkronja ‘a’), me prokurorin (shkronja ‘b’), si dhe me të pandehurin, viktimën ose mbrojtësin kur prania e tij është e detyrueshme (shkronja ‘c’). Pavlefshmëritë e karakterit absolut – të konstatueshme dhe të deklarueshme (nga Gjykata) në çdo gjendje dhe fazë të procedimit penal (edhe kryesisht pa stimulimin e palëve) - nuk mund të korrigjohen, sipas rregullave që normon neni 130 i KPP</w:t>
      </w:r>
      <w:r w:rsidRPr="00ED5552">
        <w:rPr>
          <w:rStyle w:val="FootnoteReference"/>
          <w:sz w:val="24"/>
          <w:szCs w:val="24"/>
        </w:rPr>
        <w:footnoteReference w:id="1"/>
      </w:r>
      <w:r w:rsidRPr="00ED5552">
        <w:rPr>
          <w:sz w:val="24"/>
          <w:szCs w:val="24"/>
        </w:rPr>
        <w:t xml:space="preserve">. E vetmja mundësi është që akti të ribëhet nga e para, pasi procedimi të kthehet pas, pikërisht në fazën ku është shkaktuar pavlefshmëria absolute. Sanksioni i pavlefshmërisë absolute mbron interesa thelbësore të të pandehurit dhe viktimës që lidhen me parime themelore të procesit penal. Për këtë arsye, paragrafi i dytë i nenit 128/a të KPP shprehimisht përcakton se, </w:t>
      </w:r>
      <w:r w:rsidRPr="00ED5552">
        <w:rPr>
          <w:i/>
          <w:iCs/>
          <w:sz w:val="24"/>
          <w:szCs w:val="24"/>
        </w:rPr>
        <w:t>“2. Një akt i cilësuar me ligj si absolutisht i pavlefshëm nuk mund të bëhet i vlefshëm.”</w:t>
      </w:r>
      <w:r w:rsidRPr="00ED5552">
        <w:rPr>
          <w:sz w:val="24"/>
          <w:szCs w:val="24"/>
        </w:rPr>
        <w:t xml:space="preserve"> Pavlefshmëria absolute duhet të konstatohet kryesisht nga Gjykata edhe në rastin kur pala/palët e interesuara nuk kanë qenë në gjendje ta konstatojnë dhe për pasojë të stimulojnë gjykatën për të deklaruar atë. </w:t>
      </w:r>
    </w:p>
    <w:p w:rsidR="00076E72" w:rsidRPr="00ED5552" w:rsidRDefault="00076E72" w:rsidP="00076E72">
      <w:pPr>
        <w:pStyle w:val="ListParagraph"/>
        <w:numPr>
          <w:ilvl w:val="1"/>
          <w:numId w:val="33"/>
        </w:numPr>
        <w:tabs>
          <w:tab w:val="left" w:pos="990"/>
          <w:tab w:val="left" w:pos="1170"/>
        </w:tabs>
        <w:spacing w:before="240"/>
        <w:ind w:left="0" w:firstLine="540"/>
        <w:jc w:val="both"/>
        <w:rPr>
          <w:bCs/>
          <w:i/>
          <w:iCs/>
          <w:sz w:val="24"/>
          <w:szCs w:val="24"/>
        </w:rPr>
      </w:pPr>
      <w:r w:rsidRPr="00ED5552">
        <w:rPr>
          <w:sz w:val="24"/>
          <w:szCs w:val="24"/>
        </w:rPr>
        <w:lastRenderedPageBreak/>
        <w:t xml:space="preserve">Pavlefshmëritë absolute i binden parimit të taksativitetit që do të thotë se nuk mund të pretendohet pavlefshmëri e kësaj natyre jashtë rasteve të përgjithshme të parashikuara në mënyrë të shprehur nga neni 128/a, paragrafi 1, shkronjat “a”, “b”, “c”. Ndërsa në kuptim të nenit 129 të KPP në kategorinë e pavlefshmërive relative përfshihen pavlefshmëritë e ndryshme nga ato absolute. Pavlefshmëritë relative janë të natyrës së posaçme, të parashikuara në mënyrë të shprehur në dispozita të veçanta të Kodit. Pavlefshmëritë relative janë të ndryshme nga pavlefshmëritë absolute dhe në dallim nga këto të fundit ngrihen nga pala e interesuar, </w:t>
      </w:r>
      <w:proofErr w:type="gramStart"/>
      <w:r w:rsidRPr="00ED5552">
        <w:rPr>
          <w:sz w:val="24"/>
          <w:szCs w:val="24"/>
        </w:rPr>
        <w:t>brenda</w:t>
      </w:r>
      <w:proofErr w:type="gramEnd"/>
      <w:r w:rsidRPr="00ED5552">
        <w:rPr>
          <w:sz w:val="24"/>
          <w:szCs w:val="24"/>
        </w:rPr>
        <w:t xml:space="preserve"> afateve kohore të paracaktuara nga ligji, me pasojë humbjen e së drejtës për t’i ngritur në një kohë të mëvonshme (afate të prera</w:t>
      </w:r>
      <w:r w:rsidRPr="00ED5552">
        <w:rPr>
          <w:rStyle w:val="FootnoteReference"/>
          <w:sz w:val="24"/>
          <w:szCs w:val="24"/>
        </w:rPr>
        <w:footnoteReference w:id="2"/>
      </w:r>
      <w:r w:rsidRPr="00ED5552">
        <w:rPr>
          <w:sz w:val="24"/>
          <w:szCs w:val="24"/>
        </w:rPr>
        <w:t xml:space="preserve">), si dhe mund të korrigjohen. </w:t>
      </w:r>
      <w:r w:rsidRPr="00ED5552">
        <w:rPr>
          <w:rFonts w:eastAsia="Calibri"/>
          <w:noProof/>
          <w:sz w:val="24"/>
          <w:szCs w:val="24"/>
        </w:rPr>
        <w:t xml:space="preserve">Lidhur me kualifikimin e pavlefshmërive, duhet thënë se në çdo rast që Kodi parashikon një pavlefshmëri të posaçme, nuk përcakton regjimin juridik të vesit </w:t>
      </w:r>
      <w:r w:rsidRPr="00ED5552">
        <w:rPr>
          <w:rFonts w:eastAsia="Calibri"/>
          <w:i/>
          <w:iCs/>
          <w:noProof/>
          <w:sz w:val="24"/>
          <w:szCs w:val="24"/>
        </w:rPr>
        <w:t>(pavlefshmëri relative)</w:t>
      </w:r>
      <w:r w:rsidRPr="00ED5552">
        <w:rPr>
          <w:rFonts w:eastAsia="Calibri"/>
          <w:noProof/>
          <w:sz w:val="24"/>
          <w:szCs w:val="24"/>
        </w:rPr>
        <w:t xml:space="preserve">. Në fakt, mund të ndodhë që një rast i pavlefshmërisë së posaçme përfshihet edhe në një nga rastet e pavlefshmërive të përgjithshme, të parashikuara nga neni 128/a të KPP. Në këtë pikë, Kolegji thekson se në ato raste kur pavlefshmëria e posaçme nuk përfshihet në pavlefshmëritë e natyrës së përgjithshme </w:t>
      </w:r>
      <w:r w:rsidRPr="00ED5552">
        <w:rPr>
          <w:rFonts w:eastAsia="Calibri"/>
          <w:i/>
          <w:iCs/>
          <w:noProof/>
          <w:sz w:val="24"/>
          <w:szCs w:val="24"/>
        </w:rPr>
        <w:t>(pavlefshmëritë absolute)</w:t>
      </w:r>
      <w:r w:rsidRPr="00ED5552">
        <w:rPr>
          <w:rFonts w:eastAsia="Calibri"/>
          <w:noProof/>
          <w:sz w:val="24"/>
          <w:szCs w:val="24"/>
        </w:rPr>
        <w:t>, do të thotë që bëhet fjalë për pavlefshmëri relative.</w:t>
      </w:r>
    </w:p>
    <w:p w:rsidR="00076E72" w:rsidRPr="00ED5552" w:rsidRDefault="00076E72" w:rsidP="00076E72">
      <w:pPr>
        <w:pStyle w:val="ListParagraph"/>
        <w:numPr>
          <w:ilvl w:val="0"/>
          <w:numId w:val="33"/>
        </w:numPr>
        <w:tabs>
          <w:tab w:val="left" w:pos="990"/>
          <w:tab w:val="left" w:pos="1170"/>
        </w:tabs>
        <w:spacing w:before="240"/>
        <w:ind w:left="0" w:firstLine="540"/>
        <w:jc w:val="both"/>
        <w:rPr>
          <w:bCs/>
          <w:i/>
          <w:iCs/>
          <w:sz w:val="24"/>
          <w:szCs w:val="24"/>
        </w:rPr>
      </w:pPr>
      <w:r w:rsidRPr="00ED5552">
        <w:rPr>
          <w:rFonts w:eastAsia="Calibri"/>
          <w:noProof/>
          <w:sz w:val="24"/>
          <w:szCs w:val="24"/>
        </w:rPr>
        <w:t xml:space="preserve">Duke iu rikthyer rastit konkret, Kolegji konsideron se vlerësimi i Gjykatës së Apelit se aktet e hetimeve paraprake </w:t>
      </w:r>
      <w:r w:rsidRPr="00ED5552">
        <w:rPr>
          <w:rFonts w:eastAsia="Calibri"/>
          <w:i/>
          <w:iCs/>
          <w:noProof/>
          <w:sz w:val="24"/>
          <w:szCs w:val="24"/>
        </w:rPr>
        <w:t>(vendimi për zgjatjen e hetimeve, për përfundimin e hetimeve paraprake...)</w:t>
      </w:r>
      <w:r w:rsidRPr="00ED5552">
        <w:rPr>
          <w:rFonts w:eastAsia="Calibri"/>
          <w:noProof/>
          <w:sz w:val="24"/>
          <w:szCs w:val="24"/>
        </w:rPr>
        <w:t xml:space="preserve">,  janë akte të vesuara prej pavlefshmërisë të karakterit absolut - për shkak të ometimit të prokurorit për ti’a njoftuar ato të pandehurit apo mbrojtësi të tij dhe për rrjedhojë edhe të aktet procedurale që i ka pasuar ato si, </w:t>
      </w:r>
      <w:r w:rsidRPr="00ED5552">
        <w:rPr>
          <w:sz w:val="24"/>
          <w:szCs w:val="24"/>
        </w:rPr>
        <w:t xml:space="preserve">“kërkesa për gjykim/dërgim në gjyq” apo edhe vendimi përfundimtar </w:t>
      </w:r>
      <w:r w:rsidRPr="00ED5552">
        <w:rPr>
          <w:rFonts w:eastAsia="Calibri"/>
          <w:noProof/>
          <w:sz w:val="24"/>
          <w:szCs w:val="24"/>
        </w:rPr>
        <w:t xml:space="preserve">- është një pretendim/interpretim jo i drejtë i dispozitave procedurale penale. </w:t>
      </w:r>
      <w:r w:rsidRPr="00ED5552">
        <w:rPr>
          <w:sz w:val="24"/>
          <w:szCs w:val="24"/>
        </w:rPr>
        <w:t xml:space="preserve">Ndryshe nga sa është vlerësuar nga Gjykata e Apelit, veset e mësipërme </w:t>
      </w:r>
      <w:r w:rsidRPr="00ED5552">
        <w:rPr>
          <w:i/>
          <w:iCs/>
          <w:sz w:val="24"/>
          <w:szCs w:val="24"/>
        </w:rPr>
        <w:t>(siç janë konstatuar në çështjen konkrete prej asaj gjykate apeli),</w:t>
      </w:r>
      <w:r w:rsidRPr="00ED5552">
        <w:rPr>
          <w:sz w:val="24"/>
          <w:szCs w:val="24"/>
        </w:rPr>
        <w:t xml:space="preserve"> të aktit procedural “kërkesë për dërgim në gjyq”, përcaktuese  të pavlefshmërisë së tij, janë të natyrës relative dhe si të tilla të deklarueshme sipas përcaktimit të paragrafit të parë të nenit 129 të KPP, mbi kërkesën e palëve</w:t>
      </w:r>
      <w:r w:rsidRPr="00ED5552">
        <w:rPr>
          <w:rStyle w:val="FootnoteReference"/>
          <w:sz w:val="24"/>
          <w:szCs w:val="24"/>
        </w:rPr>
        <w:footnoteReference w:id="3"/>
      </w:r>
      <w:r w:rsidRPr="00ED5552">
        <w:rPr>
          <w:sz w:val="24"/>
          <w:szCs w:val="24"/>
        </w:rPr>
        <w:t xml:space="preserve">. Në rastin konkret, nga ana e të pandehurve Gojani dhe Kollçaku apo mbrojtësve të tyre në seancë paraprake, nuk është ngritur asnjë pretendim i kësaj natyre. Rezulton se në çështjen në shqyrtim të pandehurit në fjalë nuk kanë paraqitur përpara gjykatës, gjyqtarit të seancës paraprake apo gjatë shqyrtimit të provave në gjykimin e themelit pretendime për pavlefshmëri apo papërdorshmëri të akteve të hetimit paraprak apo provave.   </w:t>
      </w:r>
    </w:p>
    <w:p w:rsidR="00076E72" w:rsidRPr="00ED5552" w:rsidRDefault="00076E72" w:rsidP="00076E72">
      <w:pPr>
        <w:pStyle w:val="ListParagraph"/>
        <w:numPr>
          <w:ilvl w:val="1"/>
          <w:numId w:val="33"/>
        </w:numPr>
        <w:tabs>
          <w:tab w:val="left" w:pos="990"/>
          <w:tab w:val="left" w:pos="1170"/>
        </w:tabs>
        <w:spacing w:before="240"/>
        <w:ind w:left="0" w:firstLine="540"/>
        <w:jc w:val="both"/>
        <w:rPr>
          <w:bCs/>
          <w:i/>
          <w:iCs/>
          <w:sz w:val="24"/>
          <w:szCs w:val="24"/>
        </w:rPr>
      </w:pPr>
      <w:r w:rsidRPr="00ED5552">
        <w:rPr>
          <w:rFonts w:eastAsia="Calibri"/>
          <w:noProof/>
          <w:sz w:val="24"/>
          <w:szCs w:val="24"/>
        </w:rPr>
        <w:t xml:space="preserve">Ndryshe nga sa është vlerësuar nga Gjykata e Apelit, </w:t>
      </w:r>
      <w:r w:rsidRPr="00ED5552">
        <w:rPr>
          <w:sz w:val="24"/>
          <w:szCs w:val="24"/>
        </w:rPr>
        <w:t>Kolegji konsideron se ometimi i prokurorit për të njoftuar të pandehurin apo mbrojtësin e tij lidhur me përfundimin e hetimeve, për t’i komunikuar “përshkrimin e përmbledhur të faktit penal për të cilin procedohet i hetuari, kohën vendin e kryerjes, cilësimin juridik të këtij fakti (pra në thelb lidhur me hipotezën e akuzës), depozitimin e akteve në sekretarinë e prokurorit, të drejtën për tu njohur me to dhe për të marrë kopje të tyre”,  për t’i komunikuar të drejtën e paraqitjes së memorieve, të dokumenteve, të kërkimit të hetimeve shtesë, të dhënies së deklarimeve spontane të pastimuluara apo të të drejtës “për tu marrë në pyetje”, pra në thelb ometimi i tij për të zbatuar përcaktimet e paragrafëve të dytë, të tretë dhe të katërt të nenit 327 KPP, sipas përcaktimit të paragrafit të dytë, të nenit 331 të këtij Kodi  me pavlefshmëri të kërkesës, nuk përbën pavlefshmëri e karakterit absolut pasi nuk përfshihet në hipotezat e parashikuara nga neni 128/a, pika 1, shkronja “c”, i KPP. Kjo për arsye se rastet e mësipërme nuk kanë të bëjnë me parashikimin e mungesës së mbrojtësit në rastet kur prania e tij është e detyrueshme</w:t>
      </w:r>
      <w:r w:rsidRPr="00ED5552">
        <w:rPr>
          <w:rStyle w:val="FootnoteReference"/>
          <w:sz w:val="24"/>
          <w:szCs w:val="24"/>
        </w:rPr>
        <w:footnoteReference w:id="4"/>
      </w:r>
      <w:r w:rsidRPr="00ED5552">
        <w:rPr>
          <w:sz w:val="24"/>
          <w:szCs w:val="24"/>
        </w:rPr>
        <w:t xml:space="preserve">, hipotezë e cila i referohet kryerjes së veprimeve procedurale apo procesuale, në të cilat KPP kërkon që kryerja e tyre të bëhet detyrimisht në formë të asistuar ose me pjesëmarrje të mbrojtësit. </w:t>
      </w:r>
    </w:p>
    <w:p w:rsidR="00076E72" w:rsidRPr="00ED5552" w:rsidRDefault="00076E72" w:rsidP="00076E72">
      <w:pPr>
        <w:pStyle w:val="ListParagraph"/>
        <w:numPr>
          <w:ilvl w:val="1"/>
          <w:numId w:val="33"/>
        </w:numPr>
        <w:tabs>
          <w:tab w:val="left" w:pos="990"/>
          <w:tab w:val="left" w:pos="1170"/>
        </w:tabs>
        <w:spacing w:before="240"/>
        <w:ind w:left="0" w:firstLine="540"/>
        <w:jc w:val="both"/>
        <w:rPr>
          <w:bCs/>
          <w:i/>
          <w:iCs/>
          <w:sz w:val="24"/>
          <w:szCs w:val="24"/>
        </w:rPr>
      </w:pPr>
      <w:r w:rsidRPr="00ED5552">
        <w:rPr>
          <w:sz w:val="24"/>
          <w:szCs w:val="24"/>
        </w:rPr>
        <w:lastRenderedPageBreak/>
        <w:t>Neni 129, pika 3, e KPP parashikon se, “</w:t>
      </w:r>
      <w:r w:rsidRPr="00ED5552">
        <w:rPr>
          <w:i/>
          <w:iCs/>
          <w:sz w:val="24"/>
          <w:szCs w:val="24"/>
        </w:rPr>
        <w:t xml:space="preserve">3. Pavlefshmëria lidhur me aktet e hetimeve paraprake dhe me ato të kryera për sigurimin e provës duhet të kundërshtohet në seancën paraprake ose në seancë gjyqësore përpara se të fillojë shqyrtimi gjyqësor, sipas nenit 355 të këtij Kodi.” </w:t>
      </w:r>
      <w:r w:rsidRPr="00ED5552">
        <w:rPr>
          <w:sz w:val="24"/>
          <w:szCs w:val="24"/>
        </w:rPr>
        <w:t>Nga përmbajtja e kësaj dispozite rezulton se pavlefshmëria lidhur me aktet e hetimeve paraprake dhe me ato të kryera për sigurimin e provës duhet të kundërshtohen në seancë paraprake; ndërsa kur çështja nuk kalon nëpërmjet seancës paraprake kundërshtimi duhet të bëhet para se të deklarohet i hapur shqyrtimi gjyqësor, sipas nenit 355 të KPP. Afatet për të ngritur ose për të kundërshtuar pavlefshmëritë e natyrës relative ligjvënësi i cilëson si afate që nuk mund të zgjaten/afate të prera (neni 129/5 i KPP), me pasojë humbjen e së drejtës për t’i ngritur në një kohë të mëvonshme. Në këtë rast pavlefshmëritë relative të aktit janë korrigjuar dhe akti i pavlefshëm, për efekt të procedimit konsiderohet i vlefshëm, duke mos sjellë asnjë pasojë (sikurse Gjykata e Apelit, në referim të neni 131 i KPP) në aktet e mëpasme (kërkesën për dërgimin e çështjes në gjyq).</w:t>
      </w:r>
    </w:p>
    <w:p w:rsidR="00076E72" w:rsidRPr="00ED5552" w:rsidRDefault="00076E72" w:rsidP="00076E72">
      <w:pPr>
        <w:pStyle w:val="ListParagraph"/>
        <w:numPr>
          <w:ilvl w:val="1"/>
          <w:numId w:val="33"/>
        </w:numPr>
        <w:tabs>
          <w:tab w:val="left" w:pos="990"/>
          <w:tab w:val="left" w:pos="1170"/>
        </w:tabs>
        <w:spacing w:before="240"/>
        <w:ind w:left="0" w:firstLine="540"/>
        <w:jc w:val="both"/>
        <w:rPr>
          <w:bCs/>
          <w:i/>
          <w:iCs/>
          <w:sz w:val="24"/>
          <w:szCs w:val="24"/>
        </w:rPr>
      </w:pPr>
      <w:r w:rsidRPr="00ED5552">
        <w:rPr>
          <w:sz w:val="24"/>
          <w:szCs w:val="24"/>
        </w:rPr>
        <w:t xml:space="preserve">Në rastin konkret, referuar akteve në dosjen gjyqësore, rezulton se në seancën gjyqësore, të zhvilluar para Gjyqtarit të Seancës Paraprake, prokurori ka parashtruar kërkesën për dërgimin në gjyq, mbrojtësit e të pandehurve për gjykimin e çështjes kanë kërkuar aplikimin ritit të gjykimit të shkurtuar, ku i pandehuri Adelion Vila ka pranuar akuzën, ndërsa të gjithë të pandehurit e tjerë nuk kanë pranuar akuzat e ngritura ndaj tyre. Gjyqtari i Seancës Paraprake pasi ka vlerësuar se nuk ka akte të pavlefshme apo të papërdorshme sipas nenit 128 të KPP, ka pranuar kërkesën për të proceduar me ritin e gjykimit të shkurtuar, aktet e procedimit penal janë bërë pjesë të fashikullit të gjykimit dhe palët janë ftuar për diskutimet përfundimtare. Në diskutimet përfundimtare të paraqitura në shkallë të parë, i pandehuri Gojani, - </w:t>
      </w:r>
      <w:r w:rsidRPr="00ED5552">
        <w:rPr>
          <w:i/>
          <w:iCs/>
          <w:sz w:val="24"/>
          <w:szCs w:val="24"/>
        </w:rPr>
        <w:t>(për shkeljen procedurale të pretenduar në ankim/apelin e paraqitur, siç evidentohen në arsyetimin e Gjykatës së Apelit),</w:t>
      </w:r>
      <w:r w:rsidRPr="00ED5552">
        <w:rPr>
          <w:sz w:val="24"/>
          <w:szCs w:val="24"/>
        </w:rPr>
        <w:t xml:space="preserve"> nuk ka paraqitur asnjë formulim apo kërkesë tipike për pavlefshmëri apo papërdorshmëri të akteve procedurale të hetimeve paraprake. Siç evidentohet edhe nga Gjykata e Apelit, për herë të parë i pandehuri Gojani pretendimet për pavlefshmëri të akteve të hetimit paraprak i ka ngritur në apelin e paraqitur kundër vendimit të gjykatës së shkallës së parë, duke i kërkuar asaj gjykate që në vlerësim të shkeljeve procedurale dhe fakteve të çështjes, ta deklaronte të pafajshëm atë.</w:t>
      </w:r>
    </w:p>
    <w:p w:rsidR="00076E72" w:rsidRPr="00ED5552" w:rsidRDefault="00076E72" w:rsidP="00076E72">
      <w:pPr>
        <w:pStyle w:val="ListParagraph"/>
        <w:numPr>
          <w:ilvl w:val="1"/>
          <w:numId w:val="33"/>
        </w:numPr>
        <w:tabs>
          <w:tab w:val="left" w:pos="990"/>
          <w:tab w:val="left" w:pos="1170"/>
        </w:tabs>
        <w:spacing w:before="240"/>
        <w:ind w:left="0" w:firstLine="540"/>
        <w:jc w:val="both"/>
        <w:rPr>
          <w:bCs/>
          <w:i/>
          <w:iCs/>
          <w:sz w:val="24"/>
          <w:szCs w:val="24"/>
        </w:rPr>
      </w:pPr>
      <w:r w:rsidRPr="00ED5552">
        <w:rPr>
          <w:sz w:val="24"/>
          <w:szCs w:val="24"/>
        </w:rPr>
        <w:t xml:space="preserve">Kolegji vlerëson se, në kushtet dhe rrethanat procedurale si mësipër përshkruar, Gjykata e Apelit, si gjykatë fakti dhe ligji, kishte të gjithë mundësinë/detyrimin ligjor që pa e kthyer çështjen për rigjykim të vlerësonte bazueshmërinë e këtyre pretendimeve të ngritura në ankim nga i pandehuri Gojani dhe, në varësi të konkluzioneve të saj, të dispononte edhe lidhur me vendimin e gjyqtarit të seancës paraprake që ka përcaktuar ritin e gjykimit </w:t>
      </w:r>
      <w:r w:rsidRPr="00ED5552">
        <w:rPr>
          <w:i/>
          <w:iCs/>
          <w:sz w:val="24"/>
          <w:szCs w:val="24"/>
        </w:rPr>
        <w:t>(gjykimin e shkurtuar në rastin konkret),</w:t>
      </w:r>
      <w:r w:rsidRPr="00ED5552">
        <w:rPr>
          <w:sz w:val="24"/>
          <w:szCs w:val="24"/>
        </w:rPr>
        <w:t xml:space="preserve"> aq më tepër që në rastin konkret kundër vendimit të gjykatës së shkallës së parë kishin paraqitur ankim të pandehurit dhe organi i akuzës, ku ky i fundit kishte kërkuar rihapjen e shqyrtimit gjyqësor dhe marrjen e provave </w:t>
      </w:r>
      <w:r w:rsidRPr="00ED5552">
        <w:rPr>
          <w:i/>
          <w:iCs/>
          <w:sz w:val="24"/>
          <w:szCs w:val="24"/>
        </w:rPr>
        <w:t xml:space="preserve">(të reja apo rimarrjen e provave ekzistuese). </w:t>
      </w:r>
      <w:r w:rsidRPr="00ED5552">
        <w:rPr>
          <w:sz w:val="24"/>
          <w:szCs w:val="24"/>
          <w:lang w:val="it-IT"/>
        </w:rPr>
        <w:t>Përve</w:t>
      </w:r>
      <w:r w:rsidRPr="00ED5552">
        <w:rPr>
          <w:sz w:val="24"/>
          <w:szCs w:val="24"/>
        </w:rPr>
        <w:t>ç</w:t>
      </w:r>
      <w:r w:rsidRPr="00ED5552">
        <w:rPr>
          <w:sz w:val="24"/>
          <w:szCs w:val="24"/>
          <w:lang w:val="it-IT"/>
        </w:rPr>
        <w:t xml:space="preserve"> sa më sipër, Kolegji vlerëson të evidentojë </w:t>
      </w:r>
      <w:r w:rsidRPr="00ED5552">
        <w:rPr>
          <w:sz w:val="24"/>
          <w:szCs w:val="24"/>
        </w:rPr>
        <w:t>se pretendimet e të pandehurit Gojani për pavlefshmërinë e akteve të hetimit paraprak, me argumentin se nuk i janë njoftuar aktet hetimore atij, në të vërtetë nuk kanë ardhur për shkak të mosnjoftimit nga organi i akuzës, por ato janë refuzuar nga vetë i pandehuri me argumentin se nuk i është njoftuar për zgjatjen e hetimeve.</w:t>
      </w:r>
    </w:p>
    <w:p w:rsidR="00076E72" w:rsidRPr="00ED5552" w:rsidRDefault="00076E72" w:rsidP="00076E72">
      <w:pPr>
        <w:pStyle w:val="ListParagraph"/>
        <w:numPr>
          <w:ilvl w:val="0"/>
          <w:numId w:val="33"/>
        </w:numPr>
        <w:tabs>
          <w:tab w:val="left" w:pos="990"/>
          <w:tab w:val="left" w:pos="1170"/>
        </w:tabs>
        <w:spacing w:before="240"/>
        <w:ind w:left="0" w:firstLine="540"/>
        <w:jc w:val="both"/>
        <w:rPr>
          <w:i/>
          <w:iCs/>
          <w:sz w:val="24"/>
          <w:szCs w:val="24"/>
        </w:rPr>
      </w:pPr>
      <w:r w:rsidRPr="00ED5552">
        <w:rPr>
          <w:sz w:val="24"/>
          <w:szCs w:val="24"/>
        </w:rPr>
        <w:t>Edhe argumentin tjetër të përdoruar nga Gjykata e Apelit, mbi të cilin është motivuar vendimmarrja për kthimin e çështjes për rigjykim në gjykatën e shkallës së parë, konkretisht sa i përket “pa”plotësisë së hetimeve të kryera nga prokuroria lidhur me, “</w:t>
      </w:r>
      <w:r w:rsidRPr="00ED5552">
        <w:rPr>
          <w:i/>
          <w:iCs/>
          <w:sz w:val="24"/>
          <w:szCs w:val="24"/>
        </w:rPr>
        <w:t>përfshirjen e të  pandehurit Hysen Zeqiri, apo të  subjekteve të tjerë që ushtrojnë funksione publike në këtë aktivitet të kundërligjshëm dhe nëse ky aktivitet i kundërligjshëm lidhet vetëm me vepra penale në fushën e doganave, apo veprimtari tjetër kriminale të kryer, që shkon përtej dy arkave me banane të hequra nga kontenieri”</w:t>
      </w:r>
      <w:r w:rsidRPr="00ED5552">
        <w:rPr>
          <w:sz w:val="24"/>
          <w:szCs w:val="24"/>
        </w:rPr>
        <w:t>,</w:t>
      </w:r>
      <w:r w:rsidRPr="00ED5552">
        <w:rPr>
          <w:i/>
          <w:iCs/>
          <w:sz w:val="24"/>
          <w:szCs w:val="24"/>
        </w:rPr>
        <w:t xml:space="preserve"> </w:t>
      </w:r>
      <w:r w:rsidRPr="00ED5552">
        <w:rPr>
          <w:sz w:val="24"/>
          <w:szCs w:val="24"/>
        </w:rPr>
        <w:t xml:space="preserve">Kolegji e vlerëson të pa bazuar. Në rastin konkret rezulton se është regjistruar procedimi penal dhe organi i akuzës gjatë fazës së hetimeve paraprake, ka ndryshuar disa herë akuzën e atribuuar ndaj të pandehurve në këtë gjykim, për të cilën ka kryer hetimet në drejtim të zbardhjes së plotë të personave të përfshirë </w:t>
      </w:r>
      <w:r w:rsidRPr="00ED5552">
        <w:rPr>
          <w:sz w:val="24"/>
          <w:szCs w:val="24"/>
        </w:rPr>
        <w:lastRenderedPageBreak/>
        <w:t xml:space="preserve">dhe përcaktimit të llojit të sendit në dy arkat me banane të marra nga kontenieri përkatës. Duke </w:t>
      </w:r>
      <w:proofErr w:type="gramStart"/>
      <w:r w:rsidRPr="00ED5552">
        <w:rPr>
          <w:sz w:val="24"/>
          <w:szCs w:val="24"/>
        </w:rPr>
        <w:t>qenë</w:t>
      </w:r>
      <w:proofErr w:type="gramEnd"/>
      <w:r w:rsidRPr="00ED5552">
        <w:rPr>
          <w:sz w:val="24"/>
          <w:szCs w:val="24"/>
        </w:rPr>
        <w:t xml:space="preserve"> i paplotë hetimi në këtë drejtim (siç dhe ka arsyetuar Gjykata e Apelit), organi i akuzës ka bërë ndarjen e çështjes për vijimin e hetimeve për këtë pjesë dhe ka dërguar për gjykim vetëm të pandehurit, akuzat ndaj të cilëve, sipas organit të prokurorisë, mbështeten nga provat e mbledhura gjatë hetimeve (neni 93 i KPP). Pra, pavarësisht vlerësimit të Gjykatës së Apelit për “pa”plotësinë e hetimeve në tërësi dhe nevojën e vijimit të tyre, çështja në fjalë është ndarë paraprakisht nga organi i akuzës pikërisht për këtë shkak – për të vijuar hetimet për atë pjesë/në atë drejtim si është evidentuar edhe nga Gjykata e Apelit.</w:t>
      </w:r>
    </w:p>
    <w:p w:rsidR="00076E72" w:rsidRPr="00ED5552" w:rsidRDefault="00076E72" w:rsidP="00076E72">
      <w:pPr>
        <w:pStyle w:val="ListParagraph"/>
        <w:numPr>
          <w:ilvl w:val="0"/>
          <w:numId w:val="33"/>
        </w:numPr>
        <w:tabs>
          <w:tab w:val="left" w:pos="990"/>
          <w:tab w:val="left" w:pos="1170"/>
        </w:tabs>
        <w:spacing w:before="240"/>
        <w:ind w:left="0" w:firstLine="540"/>
        <w:jc w:val="both"/>
        <w:rPr>
          <w:i/>
          <w:iCs/>
          <w:sz w:val="24"/>
          <w:szCs w:val="24"/>
        </w:rPr>
      </w:pPr>
      <w:r w:rsidRPr="00ED5552">
        <w:rPr>
          <w:sz w:val="24"/>
          <w:szCs w:val="24"/>
        </w:rPr>
        <w:t>Sa i përket argumentit tjetër, që Gjykata Apelit ka motivuar vendimmarrjen për kthimin e çështjes për rigjykim në gjykatën e shkallës së parë, konkretisht sa i përket mosarsyetimit të vendimit nga gjykata e shkallës së parë, duke arsyetuar se:</w:t>
      </w:r>
      <w:r w:rsidRPr="00ED5552">
        <w:rPr>
          <w:sz w:val="24"/>
          <w:szCs w:val="24"/>
          <w:lang w:val="it-IT"/>
        </w:rPr>
        <w:t xml:space="preserve"> </w:t>
      </w:r>
      <w:r w:rsidRPr="00ED5552">
        <w:rPr>
          <w:i/>
          <w:iCs/>
          <w:sz w:val="24"/>
          <w:szCs w:val="24"/>
          <w:lang w:val="it-IT"/>
        </w:rPr>
        <w:t>“...,</w:t>
      </w:r>
      <w:r w:rsidRPr="00ED5552">
        <w:rPr>
          <w:i/>
          <w:iCs/>
          <w:sz w:val="24"/>
          <w:szCs w:val="24"/>
          <w:shd w:val="clear" w:color="auto" w:fill="FFFFFF"/>
        </w:rPr>
        <w:t>Gjykata e apelit e gjen vendimin e gjykatës së shkallës së parë tërësisht të paarsyetuar në drejtim të faktit nëse të pandehurit Alketa Kall</w:t>
      </w:r>
      <w:r w:rsidRPr="00ED5552">
        <w:rPr>
          <w:sz w:val="24"/>
          <w:szCs w:val="24"/>
        </w:rPr>
        <w:t>ç</w:t>
      </w:r>
      <w:r w:rsidRPr="00ED5552">
        <w:rPr>
          <w:i/>
          <w:iCs/>
          <w:sz w:val="24"/>
          <w:szCs w:val="24"/>
          <w:shd w:val="clear" w:color="auto" w:fill="FFFFFF"/>
        </w:rPr>
        <w:t xml:space="preserve">aku, Denis Musaj dhe Egnis Gojani punonjës të shoqërisë private “Mariner Adriatic” shpk, janë apo jo subjekt të veprës penale “shpërdorim detyre” parashikuar nga neni 248 KP”, </w:t>
      </w:r>
      <w:r w:rsidRPr="00ED5552">
        <w:rPr>
          <w:sz w:val="24"/>
          <w:szCs w:val="24"/>
          <w:shd w:val="clear" w:color="auto" w:fill="FFFFFF"/>
        </w:rPr>
        <w:t xml:space="preserve">Kolegji vlerëson se ky shkak në referim të përcaktimeve të nenit </w:t>
      </w:r>
      <w:r w:rsidRPr="00ED5552">
        <w:rPr>
          <w:sz w:val="24"/>
          <w:szCs w:val="24"/>
        </w:rPr>
        <w:t>428, pika 1, shkronja “ç” të KPP</w:t>
      </w:r>
      <w:r w:rsidRPr="00ED5552">
        <w:rPr>
          <w:rStyle w:val="FootnoteReference"/>
          <w:sz w:val="24"/>
          <w:szCs w:val="24"/>
        </w:rPr>
        <w:footnoteReference w:id="5"/>
      </w:r>
      <w:r w:rsidRPr="00ED5552">
        <w:rPr>
          <w:sz w:val="24"/>
          <w:szCs w:val="24"/>
          <w:shd w:val="clear" w:color="auto" w:fill="FFFFFF"/>
        </w:rPr>
        <w:t xml:space="preserve">,  nuk është i tillë që të motivojë kthimin e </w:t>
      </w:r>
      <w:r w:rsidRPr="00ED5552">
        <w:rPr>
          <w:sz w:val="24"/>
          <w:szCs w:val="24"/>
        </w:rPr>
        <w:t>ç</w:t>
      </w:r>
      <w:r w:rsidRPr="00ED5552">
        <w:rPr>
          <w:sz w:val="24"/>
          <w:szCs w:val="24"/>
          <w:shd w:val="clear" w:color="auto" w:fill="FFFFFF"/>
        </w:rPr>
        <w:t xml:space="preserve">ështjes për rishqyrtim në gjykatën e shkallës së parë. </w:t>
      </w:r>
    </w:p>
    <w:p w:rsidR="00076E72" w:rsidRPr="00ED5552" w:rsidRDefault="00076E72" w:rsidP="00076E72">
      <w:pPr>
        <w:pStyle w:val="ListParagraph"/>
        <w:numPr>
          <w:ilvl w:val="1"/>
          <w:numId w:val="33"/>
        </w:numPr>
        <w:tabs>
          <w:tab w:val="left" w:pos="990"/>
          <w:tab w:val="left" w:pos="1170"/>
        </w:tabs>
        <w:spacing w:before="240"/>
        <w:ind w:left="0" w:firstLine="540"/>
        <w:jc w:val="both"/>
        <w:rPr>
          <w:i/>
          <w:iCs/>
          <w:sz w:val="24"/>
          <w:szCs w:val="24"/>
        </w:rPr>
      </w:pPr>
      <w:r w:rsidRPr="00ED5552">
        <w:rPr>
          <w:sz w:val="24"/>
          <w:szCs w:val="24"/>
          <w:shd w:val="clear" w:color="auto" w:fill="FFFFFF"/>
        </w:rPr>
        <w:t>Kolegji vlerëson se Gjykata e Apelit, në rastin konkret duhet të kishte shqyrtuar ligjshmërinë/bazueshmërinë e vendimit të gjykatës së shkallës së parë,</w:t>
      </w:r>
      <w:r w:rsidRPr="00ED5552">
        <w:rPr>
          <w:i/>
          <w:iCs/>
          <w:sz w:val="24"/>
          <w:szCs w:val="24"/>
        </w:rPr>
        <w:t xml:space="preserve"> </w:t>
      </w:r>
      <w:r w:rsidRPr="00ED5552">
        <w:rPr>
          <w:sz w:val="24"/>
          <w:szCs w:val="24"/>
        </w:rPr>
        <w:t>e cila ka vlerësuar se të pandehurit Alketa Kallçaku, Denis Musaj dhe Egnis Gojani përfshihen në perimetrin e subjekteve të veprës penale të parashikuar nga neni 248 i Kodit Penal.</w:t>
      </w:r>
      <w:r w:rsidRPr="00ED5552">
        <w:rPr>
          <w:i/>
          <w:iCs/>
          <w:sz w:val="24"/>
          <w:szCs w:val="24"/>
        </w:rPr>
        <w:t xml:space="preserve"> </w:t>
      </w:r>
      <w:r w:rsidRPr="00ED5552">
        <w:rPr>
          <w:sz w:val="24"/>
          <w:szCs w:val="24"/>
        </w:rPr>
        <w:t>Është detyrimi i gjykatës së apelit, si gjykatë fakti dhe ligji, në rendin e shkallës së dytë të gjykimit, me funksion verifikues/korrektues të vendimit të gjykatës së shkallës së parë, që të verifikojë dhe të ndreqë vendimmarrjen e shkallës së parë në të gjitha rastet/situatat kur nuk verifikohen shkaqet ligjore të përcaktuara në nenin 428, pika 1, shkronja “ç” të KPP.</w:t>
      </w:r>
    </w:p>
    <w:p w:rsidR="00076E72" w:rsidRPr="00ED5552" w:rsidRDefault="00076E72" w:rsidP="00076E72">
      <w:pPr>
        <w:pStyle w:val="ListParagraph"/>
        <w:numPr>
          <w:ilvl w:val="0"/>
          <w:numId w:val="33"/>
        </w:numPr>
        <w:tabs>
          <w:tab w:val="left" w:pos="990"/>
          <w:tab w:val="left" w:pos="1170"/>
        </w:tabs>
        <w:spacing w:before="240"/>
        <w:ind w:left="0" w:firstLine="540"/>
        <w:jc w:val="both"/>
        <w:rPr>
          <w:i/>
          <w:iCs/>
          <w:sz w:val="24"/>
          <w:szCs w:val="24"/>
        </w:rPr>
      </w:pPr>
      <w:r w:rsidRPr="00ED5552">
        <w:rPr>
          <w:sz w:val="24"/>
          <w:szCs w:val="24"/>
        </w:rPr>
        <w:t xml:space="preserve">Për sa më sipër paraqitet, Kolegji çmon se, ndryshe nga sa ka vlerësuar Gjykata e Apelit, “veset/të metat” e mësipërme të vlerësuara prej saj, si shkaqe motivuese për prishjen e vendimit dhe kthimin e çështjes për rishqyrtim në gjykatën e shkallës së parë me tjetër trup gjykues, ndonëse ndonjëra prej tyre mund të jetë e tillë që pasjell pavlefshmëri, janë të natyrës relative dhe si të tilla të korrigjueshme nga gjykata e apelit si gjykatë fakti dhe ligji. Në këto kushte, Kolegji vlerëson se Gjykata e Apelit, pa e kthyer </w:t>
      </w:r>
      <w:r w:rsidRPr="00ED5552">
        <w:rPr>
          <w:sz w:val="24"/>
          <w:szCs w:val="24"/>
          <w:shd w:val="clear" w:color="auto" w:fill="FFFFFF"/>
        </w:rPr>
        <w:t>ç</w:t>
      </w:r>
      <w:r w:rsidRPr="00ED5552">
        <w:rPr>
          <w:sz w:val="24"/>
          <w:szCs w:val="24"/>
        </w:rPr>
        <w:t xml:space="preserve">ështjen për rigjykim në gjykatën e shkallës së parë, kishte mundësinë ligjore që të korrigjonte këto të meta të procesit, në thelb duke mos cënuar aspak shkallën e gjykimit, procesin e rregullt ligjor dhe dhënien e drejtësisë. Është detyrimi i gjykatës së apelit si shkallë e dytë të gjykimit, me funksion verifikues e korrektues të vendimit të gjykatës së shkallës së parë, që të verifikojë dhe të ndreqë vendimmarrjen e shkallës së parë në të gjitha rastet kur nuk verifikohen shkaqet ligjore të përcaktuara në nenin 428, pika 1, shkronja “ç” e KPP, që motivojnë kthimin e çështjes për rigjykim në gjykatën e shkallës së parë. </w:t>
      </w:r>
    </w:p>
    <w:p w:rsidR="00076E72" w:rsidRPr="00ED5552" w:rsidRDefault="00076E72" w:rsidP="00076E72">
      <w:pPr>
        <w:pStyle w:val="ListParagraph"/>
        <w:numPr>
          <w:ilvl w:val="0"/>
          <w:numId w:val="33"/>
        </w:numPr>
        <w:tabs>
          <w:tab w:val="left" w:pos="990"/>
          <w:tab w:val="left" w:pos="1170"/>
        </w:tabs>
        <w:spacing w:before="240"/>
        <w:ind w:left="0" w:firstLine="540"/>
        <w:jc w:val="both"/>
        <w:rPr>
          <w:i/>
          <w:iCs/>
          <w:sz w:val="24"/>
          <w:szCs w:val="24"/>
        </w:rPr>
      </w:pPr>
      <w:r w:rsidRPr="00ED5552">
        <w:rPr>
          <w:rFonts w:eastAsia="MS Mincho"/>
          <w:sz w:val="24"/>
          <w:szCs w:val="24"/>
        </w:rPr>
        <w:t xml:space="preserve">Në përfundim, Kolegji konsideron se rekurset e paraqitur </w:t>
      </w:r>
      <w:r w:rsidRPr="00ED5552">
        <w:rPr>
          <w:noProof/>
          <w:sz w:val="24"/>
          <w:szCs w:val="24"/>
        </w:rPr>
        <w:t xml:space="preserve">nga rekursuesit, pandehurit </w:t>
      </w:r>
      <w:r w:rsidRPr="00ED5552">
        <w:rPr>
          <w:rFonts w:eastAsia="MS Mincho"/>
          <w:sz w:val="24"/>
          <w:szCs w:val="24"/>
        </w:rPr>
        <w:t>Hysen Zeqiri dhe Durim Halka</w:t>
      </w:r>
      <w:r w:rsidRPr="00ED5552">
        <w:rPr>
          <w:noProof/>
          <w:sz w:val="24"/>
          <w:szCs w:val="24"/>
        </w:rPr>
        <w:t xml:space="preserve">, </w:t>
      </w:r>
      <w:r w:rsidRPr="00ED5552">
        <w:rPr>
          <w:rFonts w:eastAsia="MS Mincho"/>
          <w:sz w:val="24"/>
          <w:szCs w:val="24"/>
        </w:rPr>
        <w:t>përmbajnë “</w:t>
      </w:r>
      <w:r w:rsidRPr="00ED5552">
        <w:rPr>
          <w:rFonts w:eastAsia="MS Mincho"/>
          <w:i/>
          <w:iCs/>
          <w:sz w:val="24"/>
          <w:szCs w:val="24"/>
        </w:rPr>
        <w:t>pjesërisht</w:t>
      </w:r>
      <w:r w:rsidRPr="00ED5552">
        <w:rPr>
          <w:rFonts w:eastAsia="MS Mincho"/>
          <w:sz w:val="24"/>
          <w:szCs w:val="24"/>
        </w:rPr>
        <w:t>” shkaqe nga ato të parashikuara nga neni 432 i KPP, pasi, sikurse u sipërcitua, prej</w:t>
      </w:r>
      <w:r w:rsidRPr="00ED5552">
        <w:rPr>
          <w:sz w:val="24"/>
          <w:szCs w:val="24"/>
        </w:rPr>
        <w:t xml:space="preserve"> Gjykatës së Apelit nuk është zbatuar drejt ligji procedural penal, nenet 128, 128/a, 129, 425, 428 të KPP. </w:t>
      </w:r>
    </w:p>
    <w:p w:rsidR="00076E72" w:rsidRPr="00ED5552" w:rsidRDefault="00076E72" w:rsidP="00076E72">
      <w:pPr>
        <w:pStyle w:val="ListParagraph"/>
        <w:numPr>
          <w:ilvl w:val="0"/>
          <w:numId w:val="33"/>
        </w:numPr>
        <w:tabs>
          <w:tab w:val="left" w:pos="990"/>
          <w:tab w:val="left" w:pos="1170"/>
        </w:tabs>
        <w:spacing w:before="240"/>
        <w:ind w:left="0" w:firstLine="540"/>
        <w:jc w:val="both"/>
        <w:rPr>
          <w:i/>
          <w:iCs/>
          <w:sz w:val="24"/>
          <w:szCs w:val="24"/>
        </w:rPr>
      </w:pPr>
      <w:r w:rsidRPr="00ED5552">
        <w:rPr>
          <w:sz w:val="24"/>
          <w:szCs w:val="24"/>
        </w:rPr>
        <w:t xml:space="preserve">Për këtë arsye, Kolegji Penal, bazuar në nenin 441, pika 1, shkronja “c”, vlerëson se vendimi </w:t>
      </w:r>
      <w:r w:rsidRPr="00ED5552">
        <w:rPr>
          <w:bCs/>
          <w:sz w:val="24"/>
          <w:szCs w:val="24"/>
        </w:rPr>
        <w:t>nr.1426 (30-2025-4911)</w:t>
      </w:r>
      <w:r w:rsidRPr="00ED5552">
        <w:rPr>
          <w:sz w:val="24"/>
          <w:szCs w:val="24"/>
        </w:rPr>
        <w:t xml:space="preserve"> datë 09.06.2025</w:t>
      </w:r>
      <w:r w:rsidRPr="00ED5552">
        <w:rPr>
          <w:bCs/>
          <w:sz w:val="24"/>
          <w:szCs w:val="24"/>
        </w:rPr>
        <w:t>,</w:t>
      </w:r>
      <w:r w:rsidRPr="00ED5552">
        <w:rPr>
          <w:rFonts w:eastAsia="MS Mincho"/>
          <w:sz w:val="24"/>
          <w:szCs w:val="24"/>
        </w:rPr>
        <w:t xml:space="preserve"> të Gjykatës së</w:t>
      </w:r>
      <w:r w:rsidRPr="00ED5552">
        <w:rPr>
          <w:sz w:val="24"/>
          <w:szCs w:val="24"/>
        </w:rPr>
        <w:t xml:space="preserve"> Apelit për Juridiksionin e Përgjithshëm, duhet të prishet dhe çështja </w:t>
      </w:r>
      <w:bookmarkStart w:id="4" w:name="_GoBack"/>
      <w:bookmarkEnd w:id="4"/>
      <w:r w:rsidRPr="00ED5552">
        <w:rPr>
          <w:sz w:val="24"/>
          <w:szCs w:val="24"/>
        </w:rPr>
        <w:t xml:space="preserve">të kthehet, për rishqyrtim, në po atë gjykatë, por </w:t>
      </w:r>
      <w:r w:rsidRPr="00ED5552">
        <w:rPr>
          <w:sz w:val="24"/>
          <w:szCs w:val="24"/>
        </w:rPr>
        <w:lastRenderedPageBreak/>
        <w:t>me tjetër</w:t>
      </w:r>
      <w:r w:rsidRPr="00ED5552">
        <w:rPr>
          <w:bCs/>
          <w:sz w:val="24"/>
          <w:szCs w:val="24"/>
        </w:rPr>
        <w:t xml:space="preserve"> trup gjykues, për të vijuar me shqyrtimin shkaqeve të ankimit të paraqitur dhe gjykimin e </w:t>
      </w:r>
      <w:r w:rsidRPr="00ED5552">
        <w:rPr>
          <w:sz w:val="24"/>
          <w:szCs w:val="24"/>
        </w:rPr>
        <w:t>ç</w:t>
      </w:r>
      <w:r w:rsidRPr="00ED5552">
        <w:rPr>
          <w:bCs/>
          <w:sz w:val="24"/>
          <w:szCs w:val="24"/>
        </w:rPr>
        <w:t>ështjes në themel, duke mbajtur në vëmëndje sa më sipër arsyetohet.</w:t>
      </w:r>
    </w:p>
    <w:p w:rsidR="00076E72" w:rsidRPr="00ED5552" w:rsidRDefault="00076E72" w:rsidP="00076E72">
      <w:pPr>
        <w:pStyle w:val="ListParagraph"/>
        <w:tabs>
          <w:tab w:val="left" w:pos="990"/>
          <w:tab w:val="left" w:pos="1170"/>
        </w:tabs>
        <w:spacing w:before="240"/>
        <w:ind w:left="540"/>
        <w:jc w:val="both"/>
        <w:rPr>
          <w:i/>
          <w:iCs/>
          <w:sz w:val="24"/>
          <w:szCs w:val="24"/>
        </w:rPr>
      </w:pPr>
    </w:p>
    <w:p w:rsidR="00076E72" w:rsidRPr="00ED5552" w:rsidRDefault="00076E72" w:rsidP="00076E72">
      <w:pPr>
        <w:jc w:val="center"/>
        <w:rPr>
          <w:b/>
          <w:bCs/>
          <w:sz w:val="24"/>
          <w:szCs w:val="24"/>
        </w:rPr>
      </w:pPr>
      <w:r w:rsidRPr="00ED5552">
        <w:rPr>
          <w:b/>
          <w:bCs/>
          <w:sz w:val="24"/>
          <w:szCs w:val="24"/>
        </w:rPr>
        <w:t>PËR KËTO ARSYE,</w:t>
      </w:r>
    </w:p>
    <w:p w:rsidR="00076E72" w:rsidRPr="00ED5552" w:rsidRDefault="00076E72" w:rsidP="00076E72">
      <w:pPr>
        <w:pStyle w:val="BodyText0"/>
        <w:spacing w:after="0"/>
        <w:rPr>
          <w:b/>
        </w:rPr>
      </w:pPr>
    </w:p>
    <w:p w:rsidR="00076E72" w:rsidRPr="00ED5552" w:rsidRDefault="00076E72" w:rsidP="00076E72">
      <w:pPr>
        <w:ind w:firstLine="540"/>
        <w:jc w:val="both"/>
        <w:rPr>
          <w:sz w:val="24"/>
          <w:szCs w:val="24"/>
        </w:rPr>
      </w:pPr>
      <w:r w:rsidRPr="00ED5552">
        <w:rPr>
          <w:sz w:val="24"/>
          <w:szCs w:val="24"/>
        </w:rPr>
        <w:t>Kolegji Penal i Gjykatës së Lartë, duke u bazuar në nenin 441, pika 1, shkronja “c” të Kodit Procedurës Penale,</w:t>
      </w:r>
    </w:p>
    <w:p w:rsidR="00076E72" w:rsidRPr="00ED5552" w:rsidRDefault="00076E72" w:rsidP="00076E7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b/>
          <w:spacing w:val="-3"/>
          <w:sz w:val="24"/>
          <w:szCs w:val="24"/>
        </w:rPr>
      </w:pPr>
    </w:p>
    <w:p w:rsidR="00076E72" w:rsidRPr="00ED5552" w:rsidRDefault="00076E72" w:rsidP="00076E7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b/>
          <w:spacing w:val="-3"/>
          <w:sz w:val="24"/>
          <w:szCs w:val="24"/>
        </w:rPr>
      </w:pPr>
      <w:r w:rsidRPr="00ED5552">
        <w:rPr>
          <w:b/>
          <w:spacing w:val="-3"/>
          <w:sz w:val="24"/>
          <w:szCs w:val="24"/>
        </w:rPr>
        <w:t>V E N D O S I:</w:t>
      </w:r>
    </w:p>
    <w:p w:rsidR="00076E72" w:rsidRPr="00ED5552" w:rsidRDefault="00076E72" w:rsidP="00076E7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spacing w:val="-3"/>
          <w:sz w:val="24"/>
          <w:szCs w:val="24"/>
        </w:rPr>
      </w:pPr>
    </w:p>
    <w:p w:rsidR="00076E72" w:rsidRPr="00ED5552" w:rsidRDefault="00076E72" w:rsidP="00076E72">
      <w:pPr>
        <w:pStyle w:val="BodyText0"/>
        <w:spacing w:after="0"/>
        <w:ind w:firstLine="630"/>
        <w:jc w:val="both"/>
      </w:pPr>
      <w:proofErr w:type="gramStart"/>
      <w:r w:rsidRPr="00ED5552">
        <w:rPr>
          <w:shd w:val="clear" w:color="auto" w:fill="FFFFFF"/>
        </w:rPr>
        <w:t>Prishjen e vendimit nr.</w:t>
      </w:r>
      <w:proofErr w:type="gramEnd"/>
      <w:r w:rsidRPr="00ED5552">
        <w:rPr>
          <w:shd w:val="clear" w:color="auto" w:fill="FFFFFF"/>
        </w:rPr>
        <w:t xml:space="preserve"> </w:t>
      </w:r>
      <w:proofErr w:type="gramStart"/>
      <w:r w:rsidRPr="00ED5552">
        <w:rPr>
          <w:shd w:val="clear" w:color="auto" w:fill="FFFFFF"/>
        </w:rPr>
        <w:t>1426 (30-2025-4911), datë 09.06.2025 të Gjykatës së Apelit të Juridiksionit të Përgjithshëm dhe kthimin e çështjes për rishqyrtim pranë asaj gjykate, me tjetër trup gjykues.</w:t>
      </w:r>
      <w:proofErr w:type="gramEnd"/>
    </w:p>
    <w:p w:rsidR="00CC52EE" w:rsidRPr="00ED5552" w:rsidRDefault="00CC52EE" w:rsidP="00076E72">
      <w:pPr>
        <w:ind w:left="6480"/>
        <w:jc w:val="both"/>
        <w:rPr>
          <w:b/>
          <w:noProof/>
          <w:sz w:val="24"/>
          <w:szCs w:val="24"/>
          <w:lang w:val="sq-AL"/>
        </w:rPr>
      </w:pPr>
    </w:p>
    <w:p w:rsidR="00D04BCD" w:rsidRPr="00ED5552" w:rsidRDefault="009217E6" w:rsidP="00076E72">
      <w:pPr>
        <w:ind w:left="6480"/>
        <w:jc w:val="both"/>
        <w:rPr>
          <w:b/>
          <w:noProof/>
          <w:sz w:val="24"/>
          <w:szCs w:val="24"/>
          <w:lang w:val="sq-AL"/>
        </w:rPr>
      </w:pPr>
      <w:r w:rsidRPr="00ED5552">
        <w:rPr>
          <w:b/>
          <w:noProof/>
          <w:sz w:val="24"/>
          <w:szCs w:val="24"/>
          <w:lang w:val="sq-AL"/>
        </w:rPr>
        <w:t>T</w:t>
      </w:r>
      <w:r w:rsidR="00D04BCD" w:rsidRPr="00ED5552">
        <w:rPr>
          <w:b/>
          <w:noProof/>
          <w:sz w:val="24"/>
          <w:szCs w:val="24"/>
          <w:lang w:val="sq-AL"/>
        </w:rPr>
        <w:t xml:space="preserve">iranë, më </w:t>
      </w:r>
      <w:r w:rsidR="00CC52EE" w:rsidRPr="00ED5552">
        <w:rPr>
          <w:b/>
          <w:noProof/>
          <w:sz w:val="24"/>
          <w:szCs w:val="24"/>
          <w:lang w:val="sq-AL"/>
        </w:rPr>
        <w:t>1</w:t>
      </w:r>
      <w:r w:rsidR="004173F9" w:rsidRPr="00ED5552">
        <w:rPr>
          <w:b/>
          <w:noProof/>
          <w:sz w:val="24"/>
          <w:szCs w:val="24"/>
          <w:lang w:val="sq-AL"/>
        </w:rPr>
        <w:t>7</w:t>
      </w:r>
      <w:r w:rsidR="00CC52EE" w:rsidRPr="00ED5552">
        <w:rPr>
          <w:b/>
          <w:noProof/>
          <w:sz w:val="24"/>
          <w:szCs w:val="24"/>
          <w:lang w:val="sq-AL"/>
        </w:rPr>
        <w:t>.02</w:t>
      </w:r>
      <w:r w:rsidR="005D7B26" w:rsidRPr="00ED5552">
        <w:rPr>
          <w:b/>
          <w:noProof/>
          <w:sz w:val="24"/>
          <w:szCs w:val="24"/>
          <w:lang w:val="sq-AL"/>
        </w:rPr>
        <w:t>.2026</w:t>
      </w:r>
    </w:p>
    <w:p w:rsidR="00DB073C" w:rsidRPr="00ED5552" w:rsidRDefault="00DB073C" w:rsidP="00076E72">
      <w:pPr>
        <w:jc w:val="both"/>
        <w:rPr>
          <w:noProof/>
          <w:sz w:val="24"/>
          <w:szCs w:val="24"/>
          <w:lang w:val="sq-AL"/>
        </w:rPr>
      </w:pPr>
    </w:p>
    <w:p w:rsidR="00FC7224" w:rsidRPr="00ED5552" w:rsidRDefault="00FC4EBB" w:rsidP="005E696A">
      <w:pPr>
        <w:pStyle w:val="BodyText0"/>
        <w:spacing w:after="0"/>
        <w:jc w:val="both"/>
        <w:rPr>
          <w:b/>
          <w:lang w:val="sq-AL"/>
        </w:rPr>
      </w:pPr>
      <w:r w:rsidRPr="00ED5552">
        <w:rPr>
          <w:b/>
          <w:lang w:val="sq-AL"/>
        </w:rPr>
        <w:t xml:space="preserve">         </w:t>
      </w:r>
      <w:r w:rsidR="00FC48F7" w:rsidRPr="00ED5552">
        <w:rPr>
          <w:b/>
          <w:lang w:val="sq-AL"/>
        </w:rPr>
        <w:t xml:space="preserve"> </w:t>
      </w:r>
    </w:p>
    <w:p w:rsidR="00FC7224" w:rsidRPr="00ED5552" w:rsidRDefault="00FC7224" w:rsidP="00076E72">
      <w:pPr>
        <w:jc w:val="both"/>
        <w:rPr>
          <w:sz w:val="24"/>
          <w:szCs w:val="24"/>
          <w:lang w:val="sq-AL"/>
        </w:rPr>
      </w:pPr>
    </w:p>
    <w:sectPr w:rsidR="00FC7224" w:rsidRPr="00ED5552" w:rsidSect="00076E72">
      <w:footerReference w:type="default" r:id="rId10"/>
      <w:pgSz w:w="11906" w:h="16838"/>
      <w:pgMar w:top="90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5124" w:rsidRDefault="00B15124" w:rsidP="00540ACF">
      <w:r>
        <w:separator/>
      </w:r>
    </w:p>
  </w:endnote>
  <w:endnote w:type="continuationSeparator" w:id="0">
    <w:p w:rsidR="00B15124" w:rsidRDefault="00B15124" w:rsidP="00540AC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imes-Bold">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utura Std">
    <w:altName w:val="Century Gothic"/>
    <w:panose1 w:val="00000000000000000000"/>
    <w:charset w:val="00"/>
    <w:family w:val="swiss"/>
    <w:notTrueType/>
    <w:pitch w:val="default"/>
    <w:sig w:usb0="00000003" w:usb1="00000000" w:usb2="00000000" w:usb3="00000000" w:csb0="00000001" w:csb1="00000000"/>
  </w:font>
  <w:font w:name="CG Times">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 w:name="Impact">
    <w:panose1 w:val="020B080603090205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FrankRuehl">
    <w:charset w:val="B1"/>
    <w:family w:val="swiss"/>
    <w:pitch w:val="variable"/>
    <w:sig w:usb0="00000801" w:usb1="00000000" w:usb2="00000000" w:usb3="00000000" w:csb0="00000020" w:csb1="00000000"/>
  </w:font>
  <w:font w:name="Microsoft Sans Serif">
    <w:panose1 w:val="020B0604020202020204"/>
    <w:charset w:val="00"/>
    <w:family w:val="swiss"/>
    <w:pitch w:val="variable"/>
    <w:sig w:usb0="E5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TimesNewRomanPS-ItalicMT">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64580"/>
      <w:docPartObj>
        <w:docPartGallery w:val="Page Numbers (Bottom of Page)"/>
        <w:docPartUnique/>
      </w:docPartObj>
    </w:sdtPr>
    <w:sdtContent>
      <w:p w:rsidR="00FC48F7" w:rsidRDefault="0096260A">
        <w:pPr>
          <w:pStyle w:val="Footer"/>
          <w:jc w:val="right"/>
        </w:pPr>
        <w:fldSimple w:instr=" PAGE   \* MERGEFORMAT ">
          <w:r w:rsidR="005E696A">
            <w:rPr>
              <w:noProof/>
            </w:rPr>
            <w:t>27</w:t>
          </w:r>
        </w:fldSimple>
      </w:p>
    </w:sdtContent>
  </w:sdt>
  <w:p w:rsidR="00B0136B" w:rsidRPr="00B2518C" w:rsidRDefault="00B0136B">
    <w:pPr>
      <w:pStyle w:val="Footer"/>
      <w:rPr>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5124" w:rsidRDefault="00B15124" w:rsidP="00540ACF">
      <w:r>
        <w:separator/>
      </w:r>
    </w:p>
  </w:footnote>
  <w:footnote w:type="continuationSeparator" w:id="0">
    <w:p w:rsidR="00B15124" w:rsidRDefault="00B15124" w:rsidP="00540ACF">
      <w:r>
        <w:continuationSeparator/>
      </w:r>
    </w:p>
  </w:footnote>
  <w:footnote w:id="1">
    <w:p w:rsidR="00076E72" w:rsidRPr="00AF4EC7" w:rsidRDefault="00076E72" w:rsidP="00076E72">
      <w:pPr>
        <w:pStyle w:val="FootnoteText"/>
        <w:jc w:val="both"/>
        <w:rPr>
          <w:i/>
          <w:lang w:val="sq-AL"/>
        </w:rPr>
      </w:pPr>
      <w:r w:rsidRPr="00794CE4">
        <w:rPr>
          <w:rStyle w:val="FootnoteReference"/>
          <w:rFonts w:ascii="Calibri Light" w:hAnsi="Calibri Light" w:cs="Calibri Light"/>
          <w:lang w:val="sq-AL"/>
        </w:rPr>
        <w:footnoteRef/>
      </w:r>
      <w:r w:rsidRPr="00794CE4">
        <w:rPr>
          <w:rFonts w:ascii="Calibri Light" w:hAnsi="Calibri Light" w:cs="Calibri Light"/>
          <w:lang w:val="sq-AL"/>
        </w:rPr>
        <w:t xml:space="preserve"> </w:t>
      </w:r>
      <w:r>
        <w:rPr>
          <w:rFonts w:ascii="Calibri Light" w:hAnsi="Calibri Light" w:cs="Calibri Light"/>
          <w:lang w:val="sq-AL"/>
        </w:rPr>
        <w:t xml:space="preserve"> </w:t>
      </w:r>
      <w:r w:rsidRPr="00AF4EC7">
        <w:rPr>
          <w:lang w:val="sq-AL"/>
        </w:rPr>
        <w:t xml:space="preserve">Neni 130/1/2 të KPP: </w:t>
      </w:r>
      <w:r w:rsidRPr="00AF4EC7">
        <w:rPr>
          <w:i/>
          <w:lang w:val="sq-AL"/>
        </w:rPr>
        <w:t>“1. Me përjashtim të rasteve të parashikuara ndryshe me ligj, pavlefshmëria nuk merret parasysh: a) kur pala e interesuar ka hequr dorë shprehimisht nga kundërshtimi i saj ose ka pranuar pasojat e aktit; b) kur pala ka përfituar nga e drejta, ushtrimin e së cilës akti i pavlefshëm synon të mbrojë; c) kur është shkaktuar nga vetë pala, ose kur ajo nuk ka asnjë interes në ngritjen e saj. 2. Pavlefshmëria e lajmërimeve, komunikimeve dhe njoftimeve nuk merret parasysh në qoftë se pala e interesuar është paraqitur ose ka refuzuar të paraqitet.”</w:t>
      </w:r>
    </w:p>
  </w:footnote>
  <w:footnote w:id="2">
    <w:p w:rsidR="00076E72" w:rsidRPr="00AF4EC7" w:rsidRDefault="00076E72" w:rsidP="00076E72">
      <w:pPr>
        <w:pStyle w:val="FootnoteText"/>
        <w:jc w:val="both"/>
        <w:rPr>
          <w:lang w:val="sq-AL"/>
        </w:rPr>
      </w:pPr>
      <w:r w:rsidRPr="00AF4EC7">
        <w:rPr>
          <w:rStyle w:val="FootnoteReference"/>
          <w:lang w:val="sq-AL"/>
        </w:rPr>
        <w:footnoteRef/>
      </w:r>
      <w:r w:rsidRPr="00AF4EC7">
        <w:rPr>
          <w:lang w:val="sq-AL"/>
        </w:rPr>
        <w:t xml:space="preserve">  Neni 129/5 i KPP: </w:t>
      </w:r>
      <w:r w:rsidRPr="00AF4EC7">
        <w:rPr>
          <w:i/>
          <w:lang w:val="sq-AL"/>
        </w:rPr>
        <w:t>“5. Afatet për të ngritur ose për të kundërshtuar pavlefshmërinë nuk mund të zgjaten.”</w:t>
      </w:r>
    </w:p>
  </w:footnote>
  <w:footnote w:id="3">
    <w:p w:rsidR="00076E72" w:rsidRPr="00AF4EC7" w:rsidRDefault="00076E72" w:rsidP="00076E72">
      <w:pPr>
        <w:jc w:val="both"/>
        <w:rPr>
          <w:rFonts w:eastAsia="Calibri"/>
          <w:b/>
          <w:bCs/>
          <w:noProof/>
        </w:rPr>
      </w:pPr>
      <w:r w:rsidRPr="00AF4EC7">
        <w:rPr>
          <w:rStyle w:val="FootnoteReference"/>
        </w:rPr>
        <w:footnoteRef/>
      </w:r>
      <w:r w:rsidRPr="00AF4EC7">
        <w:t xml:space="preserve">  </w:t>
      </w:r>
      <w:proofErr w:type="gramStart"/>
      <w:r w:rsidRPr="00AF4EC7">
        <w:t>Shih vendimin n</w:t>
      </w:r>
      <w:r w:rsidRPr="00AF4EC7">
        <w:rPr>
          <w:rFonts w:eastAsia="Calibri"/>
          <w:noProof/>
        </w:rPr>
        <w:t>r.</w:t>
      </w:r>
      <w:proofErr w:type="gramEnd"/>
      <w:r w:rsidRPr="00AF4EC7">
        <w:rPr>
          <w:rFonts w:eastAsia="Calibri"/>
          <w:noProof/>
        </w:rPr>
        <w:t xml:space="preserve"> </w:t>
      </w:r>
      <w:proofErr w:type="gramStart"/>
      <w:r w:rsidRPr="00AF4EC7">
        <w:rPr>
          <w:rFonts w:eastAsia="Calibri"/>
          <w:noProof/>
        </w:rPr>
        <w:t>00-2024-2160 (302), datë</w:t>
      </w:r>
      <w:r w:rsidRPr="00AF4EC7">
        <w:t>10.12.2024</w:t>
      </w:r>
      <w:r w:rsidRPr="00AF4EC7">
        <w:rPr>
          <w:rFonts w:eastAsia="Calibri"/>
          <w:noProof/>
        </w:rPr>
        <w:t xml:space="preserve"> të Kolegjit Penal të Gjykatës së Lartë.</w:t>
      </w:r>
      <w:proofErr w:type="gramEnd"/>
    </w:p>
  </w:footnote>
  <w:footnote w:id="4">
    <w:p w:rsidR="00076E72" w:rsidRPr="00AF4EC7" w:rsidRDefault="00076E72" w:rsidP="00076E72">
      <w:pPr>
        <w:pStyle w:val="FootnoteText"/>
        <w:jc w:val="both"/>
        <w:rPr>
          <w:lang w:val="sq-AL"/>
        </w:rPr>
      </w:pPr>
      <w:r w:rsidRPr="00794CE4">
        <w:rPr>
          <w:rStyle w:val="FootnoteReference"/>
          <w:rFonts w:ascii="Calibri Light" w:hAnsi="Calibri Light" w:cs="Calibri Light"/>
          <w:lang w:val="sq-AL"/>
        </w:rPr>
        <w:footnoteRef/>
      </w:r>
      <w:r w:rsidRPr="00794CE4">
        <w:rPr>
          <w:rFonts w:ascii="Calibri Light" w:hAnsi="Calibri Light" w:cs="Calibri Light"/>
          <w:sz w:val="16"/>
          <w:szCs w:val="16"/>
          <w:lang w:val="sq-AL"/>
        </w:rPr>
        <w:t xml:space="preserve"> </w:t>
      </w:r>
      <w:r>
        <w:rPr>
          <w:rFonts w:ascii="Calibri Light" w:hAnsi="Calibri Light" w:cs="Calibri Light"/>
          <w:sz w:val="16"/>
          <w:szCs w:val="16"/>
          <w:lang w:val="sq-AL"/>
        </w:rPr>
        <w:t xml:space="preserve"> </w:t>
      </w:r>
      <w:r w:rsidRPr="00AF4EC7">
        <w:rPr>
          <w:lang w:val="sq-AL"/>
        </w:rPr>
        <w:t xml:space="preserve">Neni 128/a/1, shkronja “c” i KPP: </w:t>
      </w:r>
      <w:r w:rsidRPr="00AF4EC7">
        <w:rPr>
          <w:i/>
          <w:lang w:val="sq-AL"/>
        </w:rPr>
        <w:t>“1. Aktet procedurale janë absolutisht të pavlefshme kur nuk respektohen dispozitat që lidhen me: … c) … ose praninë e mbrojtësit kur ajo është e detyrueshme.”</w:t>
      </w:r>
    </w:p>
  </w:footnote>
  <w:footnote w:id="5">
    <w:p w:rsidR="00076E72" w:rsidRPr="00AF4EC7" w:rsidRDefault="00076E72" w:rsidP="00076E72">
      <w:pPr>
        <w:pStyle w:val="FootnoteText"/>
        <w:jc w:val="both"/>
      </w:pPr>
      <w:r w:rsidRPr="00AF4EC7">
        <w:rPr>
          <w:rStyle w:val="FootnoteReference"/>
        </w:rPr>
        <w:footnoteRef/>
      </w:r>
      <w:r w:rsidRPr="00AF4EC7">
        <w:t xml:space="preserve"> Neni 428 I KPP, “</w:t>
      </w:r>
      <w:r w:rsidRPr="00AF4EC7">
        <w:rPr>
          <w:i/>
          <w:iCs/>
        </w:rPr>
        <w:t>1.</w:t>
      </w:r>
      <w:r w:rsidRPr="00AF4EC7">
        <w:rPr>
          <w:i/>
          <w:iCs/>
          <w:lang w:val="sq-AL"/>
        </w:rPr>
        <w:t>Gjykata e apelit, pasi shqyrton çështjen, vendos: ... ç) prishjen e vendimit dhe kthimin e akteve gjykatës së shkallës së parë kur nuk janë respektuar dispozitat që lidhen me kushtet për të qenë gjyqtar në çështjen konkrete, me numrin e gjyqtarëve që është i domosdoshëm për formimin e kolegjeve të caktuara në këtë Kod, me ushtrimin e ndjekjes penale nga prokurori dhe pjesëmarrjen e tij në procedim, me pjesëmarrjen e të pandehurit, të mbrojtësit të tij, ose përfaqësuesit të viktimës akuzuese, me shkeljen e dispozitave për paraqitjen e akuzave të reja, si dhe në çdo rast kur në dispozita të veçanta është parashikuar pavlefshmëria e vendimit.”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152C9B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5C059D"/>
    <w:multiLevelType w:val="hybridMultilevel"/>
    <w:tmpl w:val="1F0695B8"/>
    <w:lvl w:ilvl="0" w:tplc="0BB452E8">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D229D9"/>
    <w:multiLevelType w:val="multilevel"/>
    <w:tmpl w:val="67C694FE"/>
    <w:lvl w:ilvl="0">
      <w:start w:val="21"/>
      <w:numFmt w:val="decimal"/>
      <w:lvlText w:val="%1."/>
      <w:lvlJc w:val="left"/>
      <w:pPr>
        <w:ind w:left="480" w:hanging="480"/>
      </w:pPr>
      <w:rPr>
        <w:rFonts w:hint="default"/>
        <w:color w:val="000000"/>
        <w:u w:val="single"/>
      </w:rPr>
    </w:lvl>
    <w:lvl w:ilvl="1">
      <w:start w:val="1"/>
      <w:numFmt w:val="decimal"/>
      <w:lvlText w:val="%1.%2."/>
      <w:lvlJc w:val="left"/>
      <w:pPr>
        <w:ind w:left="1020" w:hanging="480"/>
      </w:pPr>
      <w:rPr>
        <w:rFonts w:hint="default"/>
        <w:color w:val="000000"/>
        <w:u w:val="single"/>
      </w:rPr>
    </w:lvl>
    <w:lvl w:ilvl="2">
      <w:start w:val="1"/>
      <w:numFmt w:val="decimal"/>
      <w:lvlText w:val="%1.%2.%3."/>
      <w:lvlJc w:val="left"/>
      <w:pPr>
        <w:ind w:left="1800" w:hanging="720"/>
      </w:pPr>
      <w:rPr>
        <w:rFonts w:hint="default"/>
        <w:color w:val="000000"/>
        <w:u w:val="single"/>
      </w:rPr>
    </w:lvl>
    <w:lvl w:ilvl="3">
      <w:start w:val="1"/>
      <w:numFmt w:val="decimal"/>
      <w:lvlText w:val="%1.%2.%3.%4."/>
      <w:lvlJc w:val="left"/>
      <w:pPr>
        <w:ind w:left="2340" w:hanging="720"/>
      </w:pPr>
      <w:rPr>
        <w:rFonts w:hint="default"/>
        <w:color w:val="000000"/>
        <w:u w:val="single"/>
      </w:rPr>
    </w:lvl>
    <w:lvl w:ilvl="4">
      <w:start w:val="1"/>
      <w:numFmt w:val="decimal"/>
      <w:lvlText w:val="%1.%2.%3.%4.%5."/>
      <w:lvlJc w:val="left"/>
      <w:pPr>
        <w:ind w:left="3240" w:hanging="1080"/>
      </w:pPr>
      <w:rPr>
        <w:rFonts w:hint="default"/>
        <w:color w:val="000000"/>
        <w:u w:val="single"/>
      </w:rPr>
    </w:lvl>
    <w:lvl w:ilvl="5">
      <w:start w:val="1"/>
      <w:numFmt w:val="decimal"/>
      <w:lvlText w:val="%1.%2.%3.%4.%5.%6."/>
      <w:lvlJc w:val="left"/>
      <w:pPr>
        <w:ind w:left="3780" w:hanging="1080"/>
      </w:pPr>
      <w:rPr>
        <w:rFonts w:hint="default"/>
        <w:color w:val="000000"/>
        <w:u w:val="single"/>
      </w:rPr>
    </w:lvl>
    <w:lvl w:ilvl="6">
      <w:start w:val="1"/>
      <w:numFmt w:val="decimal"/>
      <w:lvlText w:val="%1.%2.%3.%4.%5.%6.%7."/>
      <w:lvlJc w:val="left"/>
      <w:pPr>
        <w:ind w:left="4680" w:hanging="1440"/>
      </w:pPr>
      <w:rPr>
        <w:rFonts w:hint="default"/>
        <w:color w:val="000000"/>
        <w:u w:val="single"/>
      </w:rPr>
    </w:lvl>
    <w:lvl w:ilvl="7">
      <w:start w:val="1"/>
      <w:numFmt w:val="decimal"/>
      <w:lvlText w:val="%1.%2.%3.%4.%5.%6.%7.%8."/>
      <w:lvlJc w:val="left"/>
      <w:pPr>
        <w:ind w:left="5220" w:hanging="1440"/>
      </w:pPr>
      <w:rPr>
        <w:rFonts w:hint="default"/>
        <w:color w:val="000000"/>
        <w:u w:val="single"/>
      </w:rPr>
    </w:lvl>
    <w:lvl w:ilvl="8">
      <w:start w:val="1"/>
      <w:numFmt w:val="decimal"/>
      <w:lvlText w:val="%1.%2.%3.%4.%5.%6.%7.%8.%9."/>
      <w:lvlJc w:val="left"/>
      <w:pPr>
        <w:ind w:left="6120" w:hanging="1800"/>
      </w:pPr>
      <w:rPr>
        <w:rFonts w:hint="default"/>
        <w:color w:val="000000"/>
        <w:u w:val="single"/>
      </w:rPr>
    </w:lvl>
  </w:abstractNum>
  <w:abstractNum w:abstractNumId="3">
    <w:nsid w:val="01F84589"/>
    <w:multiLevelType w:val="hybridMultilevel"/>
    <w:tmpl w:val="C1DEEBDA"/>
    <w:lvl w:ilvl="0" w:tplc="E86E507A">
      <w:start w:val="2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5413914"/>
    <w:multiLevelType w:val="hybridMultilevel"/>
    <w:tmpl w:val="D03C15D6"/>
    <w:lvl w:ilvl="0" w:tplc="F55EA64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030CC2"/>
    <w:multiLevelType w:val="hybridMultilevel"/>
    <w:tmpl w:val="8FECD548"/>
    <w:lvl w:ilvl="0" w:tplc="0409000F">
      <w:start w:val="10"/>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AE5807"/>
    <w:multiLevelType w:val="hybridMultilevel"/>
    <w:tmpl w:val="4D169B82"/>
    <w:lvl w:ilvl="0" w:tplc="ED649D04">
      <w:start w:val="2"/>
      <w:numFmt w:val="lowerRoman"/>
      <w:lvlText w:val="%1."/>
      <w:lvlJc w:val="left"/>
      <w:pPr>
        <w:ind w:left="1080" w:hanging="720"/>
      </w:pPr>
      <w:rPr>
        <w:rFonts w:eastAsia="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BAE473A"/>
    <w:multiLevelType w:val="multilevel"/>
    <w:tmpl w:val="4EF470D0"/>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0B94A9B"/>
    <w:multiLevelType w:val="hybridMultilevel"/>
    <w:tmpl w:val="AD727FE2"/>
    <w:lvl w:ilvl="0" w:tplc="C7A0C816">
      <w:start w:val="2"/>
      <w:numFmt w:val="upperRoman"/>
      <w:lvlText w:val="%1."/>
      <w:lvlJc w:val="left"/>
      <w:pPr>
        <w:ind w:left="1080" w:hanging="720"/>
      </w:pPr>
      <w:rPr>
        <w:rFonts w:eastAsia="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E54C96"/>
    <w:multiLevelType w:val="hybridMultilevel"/>
    <w:tmpl w:val="0B982FD0"/>
    <w:lvl w:ilvl="0" w:tplc="6268A8A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EA6A74"/>
    <w:multiLevelType w:val="hybridMultilevel"/>
    <w:tmpl w:val="47F048F2"/>
    <w:lvl w:ilvl="0" w:tplc="0FD0EFEE">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A75842"/>
    <w:multiLevelType w:val="hybridMultilevel"/>
    <w:tmpl w:val="750CA774"/>
    <w:lvl w:ilvl="0" w:tplc="DDAEE7A2">
      <w:start w:val="1"/>
      <w:numFmt w:val="upperRoman"/>
      <w:lvlText w:val="%1."/>
      <w:lvlJc w:val="left"/>
      <w:pPr>
        <w:ind w:left="1080" w:hanging="720"/>
      </w:pPr>
      <w:rPr>
        <w:rFonts w:hint="default"/>
        <w:b/>
      </w:rPr>
    </w:lvl>
    <w:lvl w:ilvl="1" w:tplc="ACEA0C02">
      <w:start w:val="1"/>
      <w:numFmt w:val="decimal"/>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start w:val="1"/>
      <w:numFmt w:val="decimal"/>
      <w:lvlText w:val="%4."/>
      <w:lvlJc w:val="left"/>
      <w:pPr>
        <w:ind w:left="504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F036BA"/>
    <w:multiLevelType w:val="hybridMultilevel"/>
    <w:tmpl w:val="52AAC900"/>
    <w:lvl w:ilvl="0" w:tplc="1234C35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AB133B"/>
    <w:multiLevelType w:val="multilevel"/>
    <w:tmpl w:val="A5CC2566"/>
    <w:lvl w:ilvl="0">
      <w:start w:val="1"/>
      <w:numFmt w:val="decimal"/>
      <w:lvlText w:val="%1."/>
      <w:lvlJc w:val="left"/>
      <w:pPr>
        <w:ind w:left="720" w:hanging="360"/>
      </w:pPr>
      <w:rPr>
        <w:rFonts w:hint="default"/>
        <w:b/>
        <w:bCs/>
        <w:i w:val="0"/>
        <w:iCs/>
        <w:color w:val="auto"/>
      </w:rPr>
    </w:lvl>
    <w:lvl w:ilvl="1">
      <w:start w:val="1"/>
      <w:numFmt w:val="decimal"/>
      <w:isLgl/>
      <w:lvlText w:val="%1.%2."/>
      <w:lvlJc w:val="left"/>
      <w:pPr>
        <w:ind w:left="1350" w:hanging="360"/>
      </w:pPr>
      <w:rPr>
        <w:rFonts w:hint="default"/>
        <w:b/>
        <w:bCs/>
        <w:i w:val="0"/>
        <w:iCs w:val="0"/>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4">
    <w:nsid w:val="26183377"/>
    <w:multiLevelType w:val="multilevel"/>
    <w:tmpl w:val="D3E6D9A0"/>
    <w:lvl w:ilvl="0">
      <w:start w:val="12"/>
      <w:numFmt w:val="decimal"/>
      <w:lvlText w:val="%1"/>
      <w:lvlJc w:val="left"/>
      <w:pPr>
        <w:ind w:left="420" w:hanging="420"/>
      </w:pPr>
      <w:rPr>
        <w:rFonts w:eastAsiaTheme="minorEastAsia" w:hint="default"/>
        <w:b/>
      </w:rPr>
    </w:lvl>
    <w:lvl w:ilvl="1">
      <w:start w:val="1"/>
      <w:numFmt w:val="decimal"/>
      <w:lvlText w:val="%1.%2"/>
      <w:lvlJc w:val="left"/>
      <w:pPr>
        <w:ind w:left="780" w:hanging="420"/>
      </w:pPr>
      <w:rPr>
        <w:rFonts w:eastAsiaTheme="minorEastAsia" w:hint="default"/>
        <w:b w:val="0"/>
        <w:bCs/>
      </w:rPr>
    </w:lvl>
    <w:lvl w:ilvl="2">
      <w:start w:val="1"/>
      <w:numFmt w:val="decimal"/>
      <w:lvlText w:val="%1.%2.%3"/>
      <w:lvlJc w:val="left"/>
      <w:pPr>
        <w:ind w:left="1440" w:hanging="720"/>
      </w:pPr>
      <w:rPr>
        <w:rFonts w:eastAsiaTheme="minorEastAsia" w:hint="default"/>
        <w:b/>
      </w:rPr>
    </w:lvl>
    <w:lvl w:ilvl="3">
      <w:start w:val="1"/>
      <w:numFmt w:val="decimal"/>
      <w:lvlText w:val="%1.%2.%3.%4"/>
      <w:lvlJc w:val="left"/>
      <w:pPr>
        <w:ind w:left="1800" w:hanging="720"/>
      </w:pPr>
      <w:rPr>
        <w:rFonts w:eastAsiaTheme="minorEastAsia" w:hint="default"/>
        <w:b/>
      </w:rPr>
    </w:lvl>
    <w:lvl w:ilvl="4">
      <w:start w:val="1"/>
      <w:numFmt w:val="decimal"/>
      <w:lvlText w:val="%1.%2.%3.%4.%5"/>
      <w:lvlJc w:val="left"/>
      <w:pPr>
        <w:ind w:left="2520" w:hanging="1080"/>
      </w:pPr>
      <w:rPr>
        <w:rFonts w:eastAsiaTheme="minorEastAsia" w:hint="default"/>
        <w:b/>
      </w:rPr>
    </w:lvl>
    <w:lvl w:ilvl="5">
      <w:start w:val="1"/>
      <w:numFmt w:val="decimal"/>
      <w:lvlText w:val="%1.%2.%3.%4.%5.%6"/>
      <w:lvlJc w:val="left"/>
      <w:pPr>
        <w:ind w:left="2880" w:hanging="1080"/>
      </w:pPr>
      <w:rPr>
        <w:rFonts w:eastAsiaTheme="minorEastAsia" w:hint="default"/>
        <w:b/>
      </w:rPr>
    </w:lvl>
    <w:lvl w:ilvl="6">
      <w:start w:val="1"/>
      <w:numFmt w:val="decimal"/>
      <w:lvlText w:val="%1.%2.%3.%4.%5.%6.%7"/>
      <w:lvlJc w:val="left"/>
      <w:pPr>
        <w:ind w:left="3600" w:hanging="1440"/>
      </w:pPr>
      <w:rPr>
        <w:rFonts w:eastAsiaTheme="minorEastAsia" w:hint="default"/>
        <w:b/>
      </w:rPr>
    </w:lvl>
    <w:lvl w:ilvl="7">
      <w:start w:val="1"/>
      <w:numFmt w:val="decimal"/>
      <w:lvlText w:val="%1.%2.%3.%4.%5.%6.%7.%8"/>
      <w:lvlJc w:val="left"/>
      <w:pPr>
        <w:ind w:left="3960" w:hanging="1440"/>
      </w:pPr>
      <w:rPr>
        <w:rFonts w:eastAsiaTheme="minorEastAsia" w:hint="default"/>
        <w:b/>
      </w:rPr>
    </w:lvl>
    <w:lvl w:ilvl="8">
      <w:start w:val="1"/>
      <w:numFmt w:val="decimal"/>
      <w:lvlText w:val="%1.%2.%3.%4.%5.%6.%7.%8.%9"/>
      <w:lvlJc w:val="left"/>
      <w:pPr>
        <w:ind w:left="4680" w:hanging="1800"/>
      </w:pPr>
      <w:rPr>
        <w:rFonts w:eastAsiaTheme="minorEastAsia" w:hint="default"/>
        <w:b/>
      </w:rPr>
    </w:lvl>
  </w:abstractNum>
  <w:abstractNum w:abstractNumId="15">
    <w:nsid w:val="2F895842"/>
    <w:multiLevelType w:val="hybridMultilevel"/>
    <w:tmpl w:val="65B2F73C"/>
    <w:lvl w:ilvl="0" w:tplc="43E065C0">
      <w:start w:val="23"/>
      <w:numFmt w:val="bullet"/>
      <w:lvlText w:val="-"/>
      <w:lvlJc w:val="left"/>
      <w:pPr>
        <w:ind w:left="900" w:hanging="360"/>
      </w:pPr>
      <w:rPr>
        <w:rFonts w:ascii="Times New Roman" w:eastAsiaTheme="minorHAnsi" w:hAnsi="Times New Roman" w:cs="Times New Roman" w:hint="default"/>
      </w:rPr>
    </w:lvl>
    <w:lvl w:ilvl="1" w:tplc="041C0003" w:tentative="1">
      <w:start w:val="1"/>
      <w:numFmt w:val="bullet"/>
      <w:lvlText w:val="o"/>
      <w:lvlJc w:val="left"/>
      <w:pPr>
        <w:ind w:left="1620" w:hanging="360"/>
      </w:pPr>
      <w:rPr>
        <w:rFonts w:ascii="Courier New" w:hAnsi="Courier New" w:cs="Courier New" w:hint="default"/>
      </w:rPr>
    </w:lvl>
    <w:lvl w:ilvl="2" w:tplc="041C0005" w:tentative="1">
      <w:start w:val="1"/>
      <w:numFmt w:val="bullet"/>
      <w:lvlText w:val=""/>
      <w:lvlJc w:val="left"/>
      <w:pPr>
        <w:ind w:left="2340" w:hanging="360"/>
      </w:pPr>
      <w:rPr>
        <w:rFonts w:ascii="Wingdings" w:hAnsi="Wingdings" w:hint="default"/>
      </w:rPr>
    </w:lvl>
    <w:lvl w:ilvl="3" w:tplc="041C0001" w:tentative="1">
      <w:start w:val="1"/>
      <w:numFmt w:val="bullet"/>
      <w:lvlText w:val=""/>
      <w:lvlJc w:val="left"/>
      <w:pPr>
        <w:ind w:left="3060" w:hanging="360"/>
      </w:pPr>
      <w:rPr>
        <w:rFonts w:ascii="Symbol" w:hAnsi="Symbol" w:hint="default"/>
      </w:rPr>
    </w:lvl>
    <w:lvl w:ilvl="4" w:tplc="041C0003" w:tentative="1">
      <w:start w:val="1"/>
      <w:numFmt w:val="bullet"/>
      <w:lvlText w:val="o"/>
      <w:lvlJc w:val="left"/>
      <w:pPr>
        <w:ind w:left="3780" w:hanging="360"/>
      </w:pPr>
      <w:rPr>
        <w:rFonts w:ascii="Courier New" w:hAnsi="Courier New" w:cs="Courier New" w:hint="default"/>
      </w:rPr>
    </w:lvl>
    <w:lvl w:ilvl="5" w:tplc="041C0005" w:tentative="1">
      <w:start w:val="1"/>
      <w:numFmt w:val="bullet"/>
      <w:lvlText w:val=""/>
      <w:lvlJc w:val="left"/>
      <w:pPr>
        <w:ind w:left="4500" w:hanging="360"/>
      </w:pPr>
      <w:rPr>
        <w:rFonts w:ascii="Wingdings" w:hAnsi="Wingdings" w:hint="default"/>
      </w:rPr>
    </w:lvl>
    <w:lvl w:ilvl="6" w:tplc="041C0001" w:tentative="1">
      <w:start w:val="1"/>
      <w:numFmt w:val="bullet"/>
      <w:lvlText w:val=""/>
      <w:lvlJc w:val="left"/>
      <w:pPr>
        <w:ind w:left="5220" w:hanging="360"/>
      </w:pPr>
      <w:rPr>
        <w:rFonts w:ascii="Symbol" w:hAnsi="Symbol" w:hint="default"/>
      </w:rPr>
    </w:lvl>
    <w:lvl w:ilvl="7" w:tplc="041C0003" w:tentative="1">
      <w:start w:val="1"/>
      <w:numFmt w:val="bullet"/>
      <w:lvlText w:val="o"/>
      <w:lvlJc w:val="left"/>
      <w:pPr>
        <w:ind w:left="5940" w:hanging="360"/>
      </w:pPr>
      <w:rPr>
        <w:rFonts w:ascii="Courier New" w:hAnsi="Courier New" w:cs="Courier New" w:hint="default"/>
      </w:rPr>
    </w:lvl>
    <w:lvl w:ilvl="8" w:tplc="041C0005" w:tentative="1">
      <w:start w:val="1"/>
      <w:numFmt w:val="bullet"/>
      <w:lvlText w:val=""/>
      <w:lvlJc w:val="left"/>
      <w:pPr>
        <w:ind w:left="6660" w:hanging="360"/>
      </w:pPr>
      <w:rPr>
        <w:rFonts w:ascii="Wingdings" w:hAnsi="Wingdings" w:hint="default"/>
      </w:rPr>
    </w:lvl>
  </w:abstractNum>
  <w:abstractNum w:abstractNumId="16">
    <w:nsid w:val="33E93096"/>
    <w:multiLevelType w:val="multilevel"/>
    <w:tmpl w:val="6A5CA9C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45D0818"/>
    <w:multiLevelType w:val="hybridMultilevel"/>
    <w:tmpl w:val="25266C24"/>
    <w:lvl w:ilvl="0" w:tplc="6ABAE358">
      <w:start w:val="2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4D57B5F"/>
    <w:multiLevelType w:val="hybridMultilevel"/>
    <w:tmpl w:val="F96E9330"/>
    <w:lvl w:ilvl="0" w:tplc="79A2B5E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D10FE7"/>
    <w:multiLevelType w:val="hybridMultilevel"/>
    <w:tmpl w:val="D2B642B2"/>
    <w:lvl w:ilvl="0" w:tplc="03CC1E9C">
      <w:numFmt w:val="bullet"/>
      <w:pStyle w:val="metushistyle"/>
      <w:lvlText w:val="-"/>
      <w:lvlJc w:val="left"/>
      <w:pPr>
        <w:ind w:left="720" w:hanging="360"/>
      </w:pPr>
      <w:rPr>
        <w:rFonts w:ascii="Times New Roman" w:eastAsia="Times New Roman" w:hAnsi="Times New Roman" w:cs="Times New Roman"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0">
    <w:nsid w:val="3BF73211"/>
    <w:multiLevelType w:val="hybridMultilevel"/>
    <w:tmpl w:val="10CCE8C2"/>
    <w:lvl w:ilvl="0" w:tplc="378E9396">
      <w:start w:val="1"/>
      <w:numFmt w:val="bullet"/>
      <w:lvlText w:val="-"/>
      <w:lvlJc w:val="left"/>
      <w:pPr>
        <w:ind w:left="360" w:hanging="360"/>
      </w:pPr>
      <w:rPr>
        <w:rFonts w:ascii="Verdana" w:hAnsi="Verdan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D60554E"/>
    <w:multiLevelType w:val="multilevel"/>
    <w:tmpl w:val="9D2C47E8"/>
    <w:lvl w:ilvl="0">
      <w:start w:val="1"/>
      <w:numFmt w:val="decimal"/>
      <w:lvlText w:val="%1."/>
      <w:lvlJc w:val="left"/>
      <w:pPr>
        <w:ind w:left="2070" w:hanging="360"/>
      </w:pPr>
      <w:rPr>
        <w:rFonts w:hint="default"/>
        <w:i w:val="0"/>
        <w:iCs w:val="0"/>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2">
    <w:nsid w:val="3FD227B4"/>
    <w:multiLevelType w:val="hybridMultilevel"/>
    <w:tmpl w:val="1F50B43E"/>
    <w:lvl w:ilvl="0" w:tplc="35682C7A">
      <w:start w:val="1"/>
      <w:numFmt w:val="decimal"/>
      <w:pStyle w:val="StyleStyleJustifiedLeft1Left1"/>
      <w:lvlText w:val="%1."/>
      <w:lvlJc w:val="left"/>
      <w:pPr>
        <w:ind w:left="810" w:hanging="360"/>
      </w:pPr>
      <w:rPr>
        <w:b w:val="0"/>
        <w:i w:val="0"/>
      </w:r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412D2408"/>
    <w:multiLevelType w:val="multilevel"/>
    <w:tmpl w:val="138C4574"/>
    <w:lvl w:ilvl="0">
      <w:start w:val="1"/>
      <w:numFmt w:val="decimal"/>
      <w:lvlText w:val="%1."/>
      <w:lvlJc w:val="left"/>
      <w:pPr>
        <w:ind w:left="720" w:hanging="360"/>
      </w:pPr>
      <w:rPr>
        <w:rFonts w:hint="default"/>
        <w:b w:val="0"/>
        <w:bCs w:val="0"/>
        <w:i w:val="0"/>
        <w:iCs w:val="0"/>
      </w:rPr>
    </w:lvl>
    <w:lvl w:ilvl="1">
      <w:start w:val="1"/>
      <w:numFmt w:val="decimal"/>
      <w:isLgl/>
      <w:lvlText w:val="%1.%2"/>
      <w:lvlJc w:val="left"/>
      <w:pPr>
        <w:ind w:left="780" w:hanging="420"/>
      </w:pPr>
      <w:rPr>
        <w:rFonts w:eastAsia="Calibri" w:hint="default"/>
        <w:b w:val="0"/>
        <w:bCs/>
        <w:color w:val="auto"/>
      </w:rPr>
    </w:lvl>
    <w:lvl w:ilvl="2">
      <w:start w:val="1"/>
      <w:numFmt w:val="decimal"/>
      <w:isLgl/>
      <w:lvlText w:val="%1.%2.%3"/>
      <w:lvlJc w:val="left"/>
      <w:pPr>
        <w:ind w:left="1080" w:hanging="720"/>
      </w:pPr>
      <w:rPr>
        <w:rFonts w:eastAsia="Calibri" w:hint="default"/>
        <w:b/>
        <w:color w:val="auto"/>
      </w:rPr>
    </w:lvl>
    <w:lvl w:ilvl="3">
      <w:start w:val="1"/>
      <w:numFmt w:val="decimal"/>
      <w:isLgl/>
      <w:lvlText w:val="%1.%2.%3.%4"/>
      <w:lvlJc w:val="left"/>
      <w:pPr>
        <w:ind w:left="1080" w:hanging="720"/>
      </w:pPr>
      <w:rPr>
        <w:rFonts w:eastAsia="Calibri" w:hint="default"/>
        <w:b/>
        <w:color w:val="auto"/>
      </w:rPr>
    </w:lvl>
    <w:lvl w:ilvl="4">
      <w:start w:val="1"/>
      <w:numFmt w:val="decimal"/>
      <w:isLgl/>
      <w:lvlText w:val="%1.%2.%3.%4.%5"/>
      <w:lvlJc w:val="left"/>
      <w:pPr>
        <w:ind w:left="1440" w:hanging="1080"/>
      </w:pPr>
      <w:rPr>
        <w:rFonts w:eastAsia="Calibri" w:hint="default"/>
        <w:b/>
        <w:color w:val="auto"/>
      </w:rPr>
    </w:lvl>
    <w:lvl w:ilvl="5">
      <w:start w:val="1"/>
      <w:numFmt w:val="decimal"/>
      <w:isLgl/>
      <w:lvlText w:val="%1.%2.%3.%4.%5.%6"/>
      <w:lvlJc w:val="left"/>
      <w:pPr>
        <w:ind w:left="1440" w:hanging="1080"/>
      </w:pPr>
      <w:rPr>
        <w:rFonts w:eastAsia="Calibri" w:hint="default"/>
        <w:b/>
        <w:color w:val="auto"/>
      </w:rPr>
    </w:lvl>
    <w:lvl w:ilvl="6">
      <w:start w:val="1"/>
      <w:numFmt w:val="decimal"/>
      <w:isLgl/>
      <w:lvlText w:val="%1.%2.%3.%4.%5.%6.%7"/>
      <w:lvlJc w:val="left"/>
      <w:pPr>
        <w:ind w:left="1800" w:hanging="1440"/>
      </w:pPr>
      <w:rPr>
        <w:rFonts w:eastAsia="Calibri" w:hint="default"/>
        <w:b/>
        <w:color w:val="auto"/>
      </w:rPr>
    </w:lvl>
    <w:lvl w:ilvl="7">
      <w:start w:val="1"/>
      <w:numFmt w:val="decimal"/>
      <w:isLgl/>
      <w:lvlText w:val="%1.%2.%3.%4.%5.%6.%7.%8"/>
      <w:lvlJc w:val="left"/>
      <w:pPr>
        <w:ind w:left="1800" w:hanging="1440"/>
      </w:pPr>
      <w:rPr>
        <w:rFonts w:eastAsia="Calibri" w:hint="default"/>
        <w:b/>
        <w:color w:val="auto"/>
      </w:rPr>
    </w:lvl>
    <w:lvl w:ilvl="8">
      <w:start w:val="1"/>
      <w:numFmt w:val="decimal"/>
      <w:isLgl/>
      <w:lvlText w:val="%1.%2.%3.%4.%5.%6.%7.%8.%9"/>
      <w:lvlJc w:val="left"/>
      <w:pPr>
        <w:ind w:left="2160" w:hanging="1800"/>
      </w:pPr>
      <w:rPr>
        <w:rFonts w:eastAsia="Calibri" w:hint="default"/>
        <w:b/>
        <w:color w:val="auto"/>
      </w:rPr>
    </w:lvl>
  </w:abstractNum>
  <w:abstractNum w:abstractNumId="24">
    <w:nsid w:val="41EB0EB2"/>
    <w:multiLevelType w:val="multilevel"/>
    <w:tmpl w:val="0930BDB4"/>
    <w:lvl w:ilvl="0">
      <w:start w:val="1"/>
      <w:numFmt w:val="decimal"/>
      <w:lvlText w:val="%1."/>
      <w:lvlJc w:val="left"/>
      <w:pPr>
        <w:ind w:left="720" w:hanging="360"/>
      </w:pPr>
      <w:rPr>
        <w:b w:val="0"/>
        <w:bCs w:val="0"/>
        <w:i w:val="0"/>
        <w:iCs w:val="0"/>
        <w:color w:val="auto"/>
      </w:rPr>
    </w:lvl>
    <w:lvl w:ilvl="1">
      <w:start w:val="1"/>
      <w:numFmt w:val="decimal"/>
      <w:isLgl/>
      <w:lvlText w:val="%1.%2."/>
      <w:lvlJc w:val="left"/>
      <w:pPr>
        <w:ind w:left="900" w:hanging="360"/>
      </w:pPr>
      <w:rPr>
        <w:rFonts w:hint="default"/>
        <w:b w:val="0"/>
        <w:bCs w:val="0"/>
        <w:i w:val="0"/>
        <w:iCs w:val="0"/>
        <w:color w:val="auto"/>
      </w:rPr>
    </w:lvl>
    <w:lvl w:ilvl="2">
      <w:start w:val="1"/>
      <w:numFmt w:val="decimal"/>
      <w:isLgl/>
      <w:lvlText w:val="%1.%2.%3."/>
      <w:lvlJc w:val="left"/>
      <w:pPr>
        <w:ind w:left="1440" w:hanging="720"/>
      </w:pPr>
      <w:rPr>
        <w:rFonts w:hint="default"/>
        <w:b w:val="0"/>
        <w:bCs w:val="0"/>
        <w:i w:val="0"/>
        <w:iCs w:val="0"/>
        <w:color w:val="auto"/>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5">
    <w:nsid w:val="47D16681"/>
    <w:multiLevelType w:val="hybridMultilevel"/>
    <w:tmpl w:val="1564EB3A"/>
    <w:lvl w:ilvl="0" w:tplc="01743044">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7E71D9C"/>
    <w:multiLevelType w:val="hybridMultilevel"/>
    <w:tmpl w:val="660C77C0"/>
    <w:lvl w:ilvl="0" w:tplc="378E9396">
      <w:start w:val="1"/>
      <w:numFmt w:val="bullet"/>
      <w:lvlText w:val="-"/>
      <w:lvlJc w:val="left"/>
      <w:pPr>
        <w:ind w:left="1260" w:hanging="360"/>
      </w:pPr>
      <w:rPr>
        <w:rFonts w:ascii="Verdana" w:hAnsi="Verdana" w:hint="default"/>
      </w:rPr>
    </w:lvl>
    <w:lvl w:ilvl="1" w:tplc="041C0003" w:tentative="1">
      <w:start w:val="1"/>
      <w:numFmt w:val="bullet"/>
      <w:lvlText w:val="o"/>
      <w:lvlJc w:val="left"/>
      <w:pPr>
        <w:ind w:left="1980" w:hanging="360"/>
      </w:pPr>
      <w:rPr>
        <w:rFonts w:ascii="Courier New" w:hAnsi="Courier New" w:cs="Courier New" w:hint="default"/>
      </w:rPr>
    </w:lvl>
    <w:lvl w:ilvl="2" w:tplc="041C0005" w:tentative="1">
      <w:start w:val="1"/>
      <w:numFmt w:val="bullet"/>
      <w:lvlText w:val=""/>
      <w:lvlJc w:val="left"/>
      <w:pPr>
        <w:ind w:left="2700" w:hanging="360"/>
      </w:pPr>
      <w:rPr>
        <w:rFonts w:ascii="Wingdings" w:hAnsi="Wingdings" w:hint="default"/>
      </w:rPr>
    </w:lvl>
    <w:lvl w:ilvl="3" w:tplc="041C0001" w:tentative="1">
      <w:start w:val="1"/>
      <w:numFmt w:val="bullet"/>
      <w:lvlText w:val=""/>
      <w:lvlJc w:val="left"/>
      <w:pPr>
        <w:ind w:left="3420" w:hanging="360"/>
      </w:pPr>
      <w:rPr>
        <w:rFonts w:ascii="Symbol" w:hAnsi="Symbol" w:hint="default"/>
      </w:rPr>
    </w:lvl>
    <w:lvl w:ilvl="4" w:tplc="041C0003" w:tentative="1">
      <w:start w:val="1"/>
      <w:numFmt w:val="bullet"/>
      <w:lvlText w:val="o"/>
      <w:lvlJc w:val="left"/>
      <w:pPr>
        <w:ind w:left="4140" w:hanging="360"/>
      </w:pPr>
      <w:rPr>
        <w:rFonts w:ascii="Courier New" w:hAnsi="Courier New" w:cs="Courier New" w:hint="default"/>
      </w:rPr>
    </w:lvl>
    <w:lvl w:ilvl="5" w:tplc="041C0005" w:tentative="1">
      <w:start w:val="1"/>
      <w:numFmt w:val="bullet"/>
      <w:lvlText w:val=""/>
      <w:lvlJc w:val="left"/>
      <w:pPr>
        <w:ind w:left="4860" w:hanging="360"/>
      </w:pPr>
      <w:rPr>
        <w:rFonts w:ascii="Wingdings" w:hAnsi="Wingdings" w:hint="default"/>
      </w:rPr>
    </w:lvl>
    <w:lvl w:ilvl="6" w:tplc="041C0001" w:tentative="1">
      <w:start w:val="1"/>
      <w:numFmt w:val="bullet"/>
      <w:lvlText w:val=""/>
      <w:lvlJc w:val="left"/>
      <w:pPr>
        <w:ind w:left="5580" w:hanging="360"/>
      </w:pPr>
      <w:rPr>
        <w:rFonts w:ascii="Symbol" w:hAnsi="Symbol" w:hint="default"/>
      </w:rPr>
    </w:lvl>
    <w:lvl w:ilvl="7" w:tplc="041C0003" w:tentative="1">
      <w:start w:val="1"/>
      <w:numFmt w:val="bullet"/>
      <w:lvlText w:val="o"/>
      <w:lvlJc w:val="left"/>
      <w:pPr>
        <w:ind w:left="6300" w:hanging="360"/>
      </w:pPr>
      <w:rPr>
        <w:rFonts w:ascii="Courier New" w:hAnsi="Courier New" w:cs="Courier New" w:hint="default"/>
      </w:rPr>
    </w:lvl>
    <w:lvl w:ilvl="8" w:tplc="041C0005" w:tentative="1">
      <w:start w:val="1"/>
      <w:numFmt w:val="bullet"/>
      <w:lvlText w:val=""/>
      <w:lvlJc w:val="left"/>
      <w:pPr>
        <w:ind w:left="7020" w:hanging="360"/>
      </w:pPr>
      <w:rPr>
        <w:rFonts w:ascii="Wingdings" w:hAnsi="Wingdings" w:hint="default"/>
      </w:rPr>
    </w:lvl>
  </w:abstractNum>
  <w:abstractNum w:abstractNumId="27">
    <w:nsid w:val="48C72FA5"/>
    <w:multiLevelType w:val="multilevel"/>
    <w:tmpl w:val="385804F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4B3B5F9F"/>
    <w:multiLevelType w:val="hybridMultilevel"/>
    <w:tmpl w:val="239A1970"/>
    <w:lvl w:ilvl="0" w:tplc="43E065C0">
      <w:start w:val="23"/>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BC3360A"/>
    <w:multiLevelType w:val="multilevel"/>
    <w:tmpl w:val="F348B018"/>
    <w:lvl w:ilvl="0">
      <w:start w:val="1"/>
      <w:numFmt w:val="decimal"/>
      <w:lvlText w:val="%1."/>
      <w:lvlJc w:val="left"/>
      <w:pPr>
        <w:ind w:left="720" w:hanging="360"/>
      </w:pPr>
      <w:rPr>
        <w:rFonts w:hint="default"/>
        <w:i w:val="0"/>
        <w:iCs/>
      </w:rPr>
    </w:lvl>
    <w:lvl w:ilvl="1">
      <w:start w:val="1"/>
      <w:numFmt w:val="decimal"/>
      <w:isLgl/>
      <w:lvlText w:val="%1.%2"/>
      <w:lvlJc w:val="left"/>
      <w:pPr>
        <w:ind w:left="720" w:hanging="360"/>
      </w:pPr>
      <w:rPr>
        <w:rFonts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4E734648"/>
    <w:multiLevelType w:val="hybridMultilevel"/>
    <w:tmpl w:val="0DA4C18E"/>
    <w:lvl w:ilvl="0" w:tplc="A0822A6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169734B"/>
    <w:multiLevelType w:val="hybridMultilevel"/>
    <w:tmpl w:val="AA68ECC6"/>
    <w:lvl w:ilvl="0" w:tplc="43E065C0">
      <w:start w:val="23"/>
      <w:numFmt w:val="bullet"/>
      <w:lvlText w:val="-"/>
      <w:lvlJc w:val="left"/>
      <w:pPr>
        <w:ind w:left="720" w:hanging="360"/>
      </w:pPr>
      <w:rPr>
        <w:rFonts w:ascii="Times New Roman" w:eastAsiaTheme="minorHAnsi"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2">
    <w:nsid w:val="529B4A4E"/>
    <w:multiLevelType w:val="multilevel"/>
    <w:tmpl w:val="86F63108"/>
    <w:lvl w:ilvl="0">
      <w:start w:val="1"/>
      <w:numFmt w:val="decimal"/>
      <w:lvlText w:val="%1."/>
      <w:lvlJc w:val="left"/>
      <w:pPr>
        <w:ind w:left="1080" w:hanging="360"/>
      </w:pPr>
      <w:rPr>
        <w:rFonts w:hint="default"/>
        <w:b w:val="0"/>
        <w:bCs w:val="0"/>
        <w:color w:val="auto"/>
        <w:sz w:val="24"/>
      </w:rPr>
    </w:lvl>
    <w:lvl w:ilvl="1">
      <w:start w:val="1"/>
      <w:numFmt w:val="decimal"/>
      <w:isLgl/>
      <w:lvlText w:val="%1.%2."/>
      <w:lvlJc w:val="left"/>
      <w:pPr>
        <w:ind w:left="1080" w:hanging="360"/>
      </w:pPr>
      <w:rPr>
        <w:rFonts w:hint="default"/>
        <w:b w:val="0"/>
        <w:bCs w:val="0"/>
        <w:i w:val="0"/>
        <w:iCs w:val="0"/>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3">
    <w:nsid w:val="550452D5"/>
    <w:multiLevelType w:val="hybridMultilevel"/>
    <w:tmpl w:val="F9DAB4FE"/>
    <w:lvl w:ilvl="0" w:tplc="43E065C0">
      <w:start w:val="23"/>
      <w:numFmt w:val="bullet"/>
      <w:lvlText w:val="-"/>
      <w:lvlJc w:val="left"/>
      <w:pPr>
        <w:ind w:left="720" w:hanging="360"/>
      </w:pPr>
      <w:rPr>
        <w:rFonts w:ascii="Times New Roman" w:eastAsiaTheme="minorHAnsi"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4">
    <w:nsid w:val="59DC09F9"/>
    <w:multiLevelType w:val="hybridMultilevel"/>
    <w:tmpl w:val="83606F1E"/>
    <w:lvl w:ilvl="0" w:tplc="7AFEC0D6">
      <w:start w:val="1"/>
      <w:numFmt w:val="upperRoman"/>
      <w:lvlText w:val="%1."/>
      <w:lvlJc w:val="left"/>
      <w:pPr>
        <w:ind w:left="720" w:hanging="720"/>
      </w:pPr>
      <w:rPr>
        <w:rFonts w:hint="default"/>
      </w:rPr>
    </w:lvl>
    <w:lvl w:ilvl="1" w:tplc="389E649C">
      <w:start w:val="1"/>
      <w:numFmt w:val="bullet"/>
      <w:lvlText w:val="-"/>
      <w:lvlJc w:val="left"/>
      <w:pPr>
        <w:ind w:left="1080" w:hanging="360"/>
      </w:pPr>
      <w:rPr>
        <w:rFonts w:ascii="Times New Roman" w:eastAsia="Times New Roman" w:hAnsi="Times New Roman" w:cs="Times New Roman" w:hint="default"/>
        <w:i/>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5B9647D7"/>
    <w:multiLevelType w:val="multilevel"/>
    <w:tmpl w:val="D1E27E92"/>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nsid w:val="670326E2"/>
    <w:multiLevelType w:val="multilevel"/>
    <w:tmpl w:val="00565148"/>
    <w:lvl w:ilvl="0">
      <w:start w:val="1"/>
      <w:numFmt w:val="decimal"/>
      <w:lvlText w:val="%1."/>
      <w:lvlJc w:val="left"/>
      <w:pPr>
        <w:ind w:left="720" w:hanging="360"/>
      </w:pPr>
      <w:rPr>
        <w:rFonts w:eastAsia="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71FB7863"/>
    <w:multiLevelType w:val="hybridMultilevel"/>
    <w:tmpl w:val="6BD06B96"/>
    <w:lvl w:ilvl="0" w:tplc="43E065C0">
      <w:start w:val="23"/>
      <w:numFmt w:val="bullet"/>
      <w:lvlText w:val="-"/>
      <w:lvlJc w:val="left"/>
      <w:pPr>
        <w:ind w:left="720" w:hanging="360"/>
      </w:pPr>
      <w:rPr>
        <w:rFonts w:ascii="Times New Roman" w:eastAsiaTheme="minorHAnsi" w:hAnsi="Times New Roman" w:cs="Times New Roman" w:hint="default"/>
      </w:rPr>
    </w:lvl>
    <w:lvl w:ilvl="1" w:tplc="43E065C0">
      <w:start w:val="23"/>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7F67673"/>
    <w:multiLevelType w:val="hybridMultilevel"/>
    <w:tmpl w:val="383A7D98"/>
    <w:lvl w:ilvl="0" w:tplc="1874950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19"/>
  </w:num>
  <w:num w:numId="4">
    <w:abstractNumId w:val="27"/>
  </w:num>
  <w:num w:numId="5">
    <w:abstractNumId w:val="25"/>
  </w:num>
  <w:num w:numId="6">
    <w:abstractNumId w:val="12"/>
  </w:num>
  <w:num w:numId="7">
    <w:abstractNumId w:val="1"/>
  </w:num>
  <w:num w:numId="8">
    <w:abstractNumId w:val="7"/>
  </w:num>
  <w:num w:numId="9">
    <w:abstractNumId w:val="14"/>
  </w:num>
  <w:num w:numId="10">
    <w:abstractNumId w:val="5"/>
  </w:num>
  <w:num w:numId="11">
    <w:abstractNumId w:val="36"/>
  </w:num>
  <w:num w:numId="12">
    <w:abstractNumId w:val="9"/>
  </w:num>
  <w:num w:numId="13">
    <w:abstractNumId w:val="23"/>
  </w:num>
  <w:num w:numId="14">
    <w:abstractNumId w:val="17"/>
  </w:num>
  <w:num w:numId="15">
    <w:abstractNumId w:val="18"/>
  </w:num>
  <w:num w:numId="16">
    <w:abstractNumId w:val="21"/>
  </w:num>
  <w:num w:numId="17">
    <w:abstractNumId w:val="38"/>
  </w:num>
  <w:num w:numId="18">
    <w:abstractNumId w:val="4"/>
  </w:num>
  <w:num w:numId="19">
    <w:abstractNumId w:val="35"/>
  </w:num>
  <w:num w:numId="20">
    <w:abstractNumId w:val="34"/>
  </w:num>
  <w:num w:numId="21">
    <w:abstractNumId w:val="30"/>
  </w:num>
  <w:num w:numId="22">
    <w:abstractNumId w:val="29"/>
  </w:num>
  <w:num w:numId="23">
    <w:abstractNumId w:val="3"/>
  </w:num>
  <w:num w:numId="24">
    <w:abstractNumId w:val="6"/>
  </w:num>
  <w:num w:numId="25">
    <w:abstractNumId w:val="8"/>
  </w:num>
  <w:num w:numId="26">
    <w:abstractNumId w:val="26"/>
  </w:num>
  <w:num w:numId="27">
    <w:abstractNumId w:val="32"/>
  </w:num>
  <w:num w:numId="28">
    <w:abstractNumId w:val="31"/>
  </w:num>
  <w:num w:numId="29">
    <w:abstractNumId w:val="33"/>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5"/>
  </w:num>
  <w:num w:numId="33">
    <w:abstractNumId w:val="24"/>
  </w:num>
  <w:num w:numId="34">
    <w:abstractNumId w:val="2"/>
  </w:num>
  <w:num w:numId="35">
    <w:abstractNumId w:val="16"/>
  </w:num>
  <w:num w:numId="36">
    <w:abstractNumId w:val="13"/>
  </w:num>
  <w:num w:numId="37">
    <w:abstractNumId w:val="22"/>
  </w:num>
  <w:num w:numId="38">
    <w:abstractNumId w:val="28"/>
  </w:num>
  <w:num w:numId="39">
    <w:abstractNumId w:val="37"/>
  </w:num>
  <w:num w:numId="40">
    <w:abstractNumId w:val="1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hideSpellingErrors/>
  <w:proofState w:grammar="clean"/>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3D69E0"/>
    <w:rsid w:val="00002A81"/>
    <w:rsid w:val="00003F4E"/>
    <w:rsid w:val="00005818"/>
    <w:rsid w:val="00005B28"/>
    <w:rsid w:val="00011E5E"/>
    <w:rsid w:val="0001327D"/>
    <w:rsid w:val="00014F16"/>
    <w:rsid w:val="0001599F"/>
    <w:rsid w:val="000215A2"/>
    <w:rsid w:val="0002297D"/>
    <w:rsid w:val="00022CD5"/>
    <w:rsid w:val="00023003"/>
    <w:rsid w:val="00024E1A"/>
    <w:rsid w:val="00024FE8"/>
    <w:rsid w:val="0002687E"/>
    <w:rsid w:val="00026B7E"/>
    <w:rsid w:val="00026EB0"/>
    <w:rsid w:val="00030F65"/>
    <w:rsid w:val="000316D7"/>
    <w:rsid w:val="0003186E"/>
    <w:rsid w:val="00031DB7"/>
    <w:rsid w:val="00033894"/>
    <w:rsid w:val="00033A74"/>
    <w:rsid w:val="00033FA4"/>
    <w:rsid w:val="0003561C"/>
    <w:rsid w:val="00035851"/>
    <w:rsid w:val="00036A0C"/>
    <w:rsid w:val="00036B82"/>
    <w:rsid w:val="00037339"/>
    <w:rsid w:val="00037AD0"/>
    <w:rsid w:val="00037C5B"/>
    <w:rsid w:val="0004249A"/>
    <w:rsid w:val="00043C01"/>
    <w:rsid w:val="00045558"/>
    <w:rsid w:val="000461D8"/>
    <w:rsid w:val="0004781D"/>
    <w:rsid w:val="00050685"/>
    <w:rsid w:val="00051706"/>
    <w:rsid w:val="00051F39"/>
    <w:rsid w:val="00054786"/>
    <w:rsid w:val="00055A35"/>
    <w:rsid w:val="00057AA8"/>
    <w:rsid w:val="000606AC"/>
    <w:rsid w:val="000606FA"/>
    <w:rsid w:val="00061876"/>
    <w:rsid w:val="000630F8"/>
    <w:rsid w:val="00063581"/>
    <w:rsid w:val="00064F0E"/>
    <w:rsid w:val="00067EFB"/>
    <w:rsid w:val="00070ED4"/>
    <w:rsid w:val="00071D08"/>
    <w:rsid w:val="000736EA"/>
    <w:rsid w:val="00074077"/>
    <w:rsid w:val="000745C4"/>
    <w:rsid w:val="00076083"/>
    <w:rsid w:val="0007610B"/>
    <w:rsid w:val="00076251"/>
    <w:rsid w:val="00076E72"/>
    <w:rsid w:val="000773D9"/>
    <w:rsid w:val="000776E7"/>
    <w:rsid w:val="00080F1F"/>
    <w:rsid w:val="0008133B"/>
    <w:rsid w:val="00081E5B"/>
    <w:rsid w:val="000839DD"/>
    <w:rsid w:val="0008468C"/>
    <w:rsid w:val="0008473B"/>
    <w:rsid w:val="000856CA"/>
    <w:rsid w:val="00085EF8"/>
    <w:rsid w:val="000903C9"/>
    <w:rsid w:val="00090771"/>
    <w:rsid w:val="00093592"/>
    <w:rsid w:val="00094E0C"/>
    <w:rsid w:val="000A15BF"/>
    <w:rsid w:val="000A1D08"/>
    <w:rsid w:val="000A1DC2"/>
    <w:rsid w:val="000A2887"/>
    <w:rsid w:val="000A3608"/>
    <w:rsid w:val="000A375D"/>
    <w:rsid w:val="000A3783"/>
    <w:rsid w:val="000A7196"/>
    <w:rsid w:val="000A7C16"/>
    <w:rsid w:val="000A7F22"/>
    <w:rsid w:val="000B1BB4"/>
    <w:rsid w:val="000B1C44"/>
    <w:rsid w:val="000B24A0"/>
    <w:rsid w:val="000B3121"/>
    <w:rsid w:val="000B5635"/>
    <w:rsid w:val="000C17DF"/>
    <w:rsid w:val="000C29B7"/>
    <w:rsid w:val="000C33BD"/>
    <w:rsid w:val="000C3A06"/>
    <w:rsid w:val="000C5D8B"/>
    <w:rsid w:val="000C7571"/>
    <w:rsid w:val="000D146E"/>
    <w:rsid w:val="000D18BB"/>
    <w:rsid w:val="000D3240"/>
    <w:rsid w:val="000D4E94"/>
    <w:rsid w:val="000D542A"/>
    <w:rsid w:val="000D63FE"/>
    <w:rsid w:val="000E2F14"/>
    <w:rsid w:val="000E3830"/>
    <w:rsid w:val="000E3980"/>
    <w:rsid w:val="000E4377"/>
    <w:rsid w:val="000E5C3A"/>
    <w:rsid w:val="000E5F2A"/>
    <w:rsid w:val="000E62D5"/>
    <w:rsid w:val="000E6EF2"/>
    <w:rsid w:val="000F1073"/>
    <w:rsid w:val="000F2285"/>
    <w:rsid w:val="000F419F"/>
    <w:rsid w:val="000F50DF"/>
    <w:rsid w:val="000F554F"/>
    <w:rsid w:val="000F5DCC"/>
    <w:rsid w:val="000F6327"/>
    <w:rsid w:val="000F716F"/>
    <w:rsid w:val="000F74F1"/>
    <w:rsid w:val="000F7C0A"/>
    <w:rsid w:val="00101950"/>
    <w:rsid w:val="00102580"/>
    <w:rsid w:val="001046DD"/>
    <w:rsid w:val="00105D3D"/>
    <w:rsid w:val="001064C8"/>
    <w:rsid w:val="001064F8"/>
    <w:rsid w:val="00107FBC"/>
    <w:rsid w:val="001102DB"/>
    <w:rsid w:val="001102F0"/>
    <w:rsid w:val="001102FB"/>
    <w:rsid w:val="00110B13"/>
    <w:rsid w:val="00110D7E"/>
    <w:rsid w:val="001125DC"/>
    <w:rsid w:val="00114410"/>
    <w:rsid w:val="00115D11"/>
    <w:rsid w:val="001167BD"/>
    <w:rsid w:val="00116B30"/>
    <w:rsid w:val="00120691"/>
    <w:rsid w:val="001222E9"/>
    <w:rsid w:val="00122583"/>
    <w:rsid w:val="00122927"/>
    <w:rsid w:val="00122B5A"/>
    <w:rsid w:val="00122FB3"/>
    <w:rsid w:val="001233A8"/>
    <w:rsid w:val="00124C11"/>
    <w:rsid w:val="00124D92"/>
    <w:rsid w:val="001259B7"/>
    <w:rsid w:val="00125F71"/>
    <w:rsid w:val="001321B4"/>
    <w:rsid w:val="00133111"/>
    <w:rsid w:val="0013311E"/>
    <w:rsid w:val="00133B17"/>
    <w:rsid w:val="0013433A"/>
    <w:rsid w:val="00134F00"/>
    <w:rsid w:val="001365E0"/>
    <w:rsid w:val="001365EC"/>
    <w:rsid w:val="00137AF7"/>
    <w:rsid w:val="00143917"/>
    <w:rsid w:val="00143A47"/>
    <w:rsid w:val="00145080"/>
    <w:rsid w:val="00145C57"/>
    <w:rsid w:val="00146451"/>
    <w:rsid w:val="0014661F"/>
    <w:rsid w:val="0014770A"/>
    <w:rsid w:val="00151A84"/>
    <w:rsid w:val="00152583"/>
    <w:rsid w:val="00154A3E"/>
    <w:rsid w:val="00155212"/>
    <w:rsid w:val="001555CC"/>
    <w:rsid w:val="00155741"/>
    <w:rsid w:val="00155832"/>
    <w:rsid w:val="001563FC"/>
    <w:rsid w:val="0016011A"/>
    <w:rsid w:val="0016063F"/>
    <w:rsid w:val="00164347"/>
    <w:rsid w:val="001643CD"/>
    <w:rsid w:val="0016447A"/>
    <w:rsid w:val="001659CE"/>
    <w:rsid w:val="001661FE"/>
    <w:rsid w:val="00167CC2"/>
    <w:rsid w:val="001705B5"/>
    <w:rsid w:val="00170CED"/>
    <w:rsid w:val="00173795"/>
    <w:rsid w:val="00175360"/>
    <w:rsid w:val="00176199"/>
    <w:rsid w:val="00177222"/>
    <w:rsid w:val="0017792C"/>
    <w:rsid w:val="001803EB"/>
    <w:rsid w:val="001808E8"/>
    <w:rsid w:val="00181646"/>
    <w:rsid w:val="00181991"/>
    <w:rsid w:val="001819A2"/>
    <w:rsid w:val="00181F2B"/>
    <w:rsid w:val="0018241D"/>
    <w:rsid w:val="00184EF5"/>
    <w:rsid w:val="00185137"/>
    <w:rsid w:val="00186A17"/>
    <w:rsid w:val="00186EAB"/>
    <w:rsid w:val="00191074"/>
    <w:rsid w:val="00192AAC"/>
    <w:rsid w:val="00192B46"/>
    <w:rsid w:val="00196A10"/>
    <w:rsid w:val="001A1B86"/>
    <w:rsid w:val="001A1C02"/>
    <w:rsid w:val="001A20D6"/>
    <w:rsid w:val="001A4ADA"/>
    <w:rsid w:val="001A4B73"/>
    <w:rsid w:val="001A6013"/>
    <w:rsid w:val="001A70E1"/>
    <w:rsid w:val="001A7EE4"/>
    <w:rsid w:val="001B0674"/>
    <w:rsid w:val="001B0B1F"/>
    <w:rsid w:val="001B19FD"/>
    <w:rsid w:val="001B220D"/>
    <w:rsid w:val="001B3F06"/>
    <w:rsid w:val="001B6240"/>
    <w:rsid w:val="001B662D"/>
    <w:rsid w:val="001B6ADB"/>
    <w:rsid w:val="001C3A87"/>
    <w:rsid w:val="001C40B2"/>
    <w:rsid w:val="001C66C3"/>
    <w:rsid w:val="001C720D"/>
    <w:rsid w:val="001D07A2"/>
    <w:rsid w:val="001D233C"/>
    <w:rsid w:val="001D6485"/>
    <w:rsid w:val="001E06E8"/>
    <w:rsid w:val="001E19D5"/>
    <w:rsid w:val="001E35D3"/>
    <w:rsid w:val="001E3BFA"/>
    <w:rsid w:val="001F0548"/>
    <w:rsid w:val="001F2B14"/>
    <w:rsid w:val="001F38CE"/>
    <w:rsid w:val="001F4035"/>
    <w:rsid w:val="001F40F5"/>
    <w:rsid w:val="001F4241"/>
    <w:rsid w:val="001F500D"/>
    <w:rsid w:val="00200771"/>
    <w:rsid w:val="00201F37"/>
    <w:rsid w:val="00202105"/>
    <w:rsid w:val="0020246F"/>
    <w:rsid w:val="00203A35"/>
    <w:rsid w:val="00211EEC"/>
    <w:rsid w:val="00215DC1"/>
    <w:rsid w:val="0021637E"/>
    <w:rsid w:val="00216F62"/>
    <w:rsid w:val="002206D1"/>
    <w:rsid w:val="0022080B"/>
    <w:rsid w:val="00221796"/>
    <w:rsid w:val="002237B6"/>
    <w:rsid w:val="00224334"/>
    <w:rsid w:val="00224E32"/>
    <w:rsid w:val="002273F9"/>
    <w:rsid w:val="002305F2"/>
    <w:rsid w:val="002309BE"/>
    <w:rsid w:val="00230C48"/>
    <w:rsid w:val="00231C4D"/>
    <w:rsid w:val="0023270C"/>
    <w:rsid w:val="002348FC"/>
    <w:rsid w:val="00236706"/>
    <w:rsid w:val="00237FCB"/>
    <w:rsid w:val="00240BFE"/>
    <w:rsid w:val="00240D34"/>
    <w:rsid w:val="00243100"/>
    <w:rsid w:val="00244256"/>
    <w:rsid w:val="00244697"/>
    <w:rsid w:val="002456C2"/>
    <w:rsid w:val="0024694B"/>
    <w:rsid w:val="002478B4"/>
    <w:rsid w:val="00255AF8"/>
    <w:rsid w:val="002608A9"/>
    <w:rsid w:val="0026139D"/>
    <w:rsid w:val="00261B71"/>
    <w:rsid w:val="002627C8"/>
    <w:rsid w:val="00262B2D"/>
    <w:rsid w:val="0026309A"/>
    <w:rsid w:val="00267A6A"/>
    <w:rsid w:val="002702BB"/>
    <w:rsid w:val="0027117F"/>
    <w:rsid w:val="00273B9C"/>
    <w:rsid w:val="0027473A"/>
    <w:rsid w:val="002768A9"/>
    <w:rsid w:val="00276B57"/>
    <w:rsid w:val="00276B94"/>
    <w:rsid w:val="00280D72"/>
    <w:rsid w:val="00283507"/>
    <w:rsid w:val="0028517D"/>
    <w:rsid w:val="00285684"/>
    <w:rsid w:val="002870F6"/>
    <w:rsid w:val="0028791E"/>
    <w:rsid w:val="00293480"/>
    <w:rsid w:val="0029470A"/>
    <w:rsid w:val="00296777"/>
    <w:rsid w:val="00297427"/>
    <w:rsid w:val="00297820"/>
    <w:rsid w:val="002A077A"/>
    <w:rsid w:val="002A1B44"/>
    <w:rsid w:val="002A241C"/>
    <w:rsid w:val="002A603B"/>
    <w:rsid w:val="002A76A1"/>
    <w:rsid w:val="002B1500"/>
    <w:rsid w:val="002B1E03"/>
    <w:rsid w:val="002B2256"/>
    <w:rsid w:val="002B2EC8"/>
    <w:rsid w:val="002B3506"/>
    <w:rsid w:val="002B3789"/>
    <w:rsid w:val="002B4808"/>
    <w:rsid w:val="002B507A"/>
    <w:rsid w:val="002B6AC6"/>
    <w:rsid w:val="002B7507"/>
    <w:rsid w:val="002B7E5A"/>
    <w:rsid w:val="002C0319"/>
    <w:rsid w:val="002C117E"/>
    <w:rsid w:val="002C191D"/>
    <w:rsid w:val="002C2962"/>
    <w:rsid w:val="002C358C"/>
    <w:rsid w:val="002C4B63"/>
    <w:rsid w:val="002C6EDD"/>
    <w:rsid w:val="002D1543"/>
    <w:rsid w:val="002D28EB"/>
    <w:rsid w:val="002D39EE"/>
    <w:rsid w:val="002D3A41"/>
    <w:rsid w:val="002D3B50"/>
    <w:rsid w:val="002D4C1F"/>
    <w:rsid w:val="002D678E"/>
    <w:rsid w:val="002E0579"/>
    <w:rsid w:val="002E0D2F"/>
    <w:rsid w:val="002E1916"/>
    <w:rsid w:val="002E1D5B"/>
    <w:rsid w:val="002E689E"/>
    <w:rsid w:val="002E7390"/>
    <w:rsid w:val="002F0A6A"/>
    <w:rsid w:val="002F4ECC"/>
    <w:rsid w:val="002F5E36"/>
    <w:rsid w:val="002F7240"/>
    <w:rsid w:val="002F725F"/>
    <w:rsid w:val="00300C6B"/>
    <w:rsid w:val="00300D63"/>
    <w:rsid w:val="00301864"/>
    <w:rsid w:val="00304E41"/>
    <w:rsid w:val="00305E8F"/>
    <w:rsid w:val="003064E6"/>
    <w:rsid w:val="003067BD"/>
    <w:rsid w:val="003074E4"/>
    <w:rsid w:val="0031024A"/>
    <w:rsid w:val="00310733"/>
    <w:rsid w:val="003111CE"/>
    <w:rsid w:val="00312D52"/>
    <w:rsid w:val="00312F25"/>
    <w:rsid w:val="00313B59"/>
    <w:rsid w:val="0031483B"/>
    <w:rsid w:val="00326A3A"/>
    <w:rsid w:val="00326A90"/>
    <w:rsid w:val="003303D5"/>
    <w:rsid w:val="003308BB"/>
    <w:rsid w:val="00332814"/>
    <w:rsid w:val="0033388A"/>
    <w:rsid w:val="00334490"/>
    <w:rsid w:val="00336A15"/>
    <w:rsid w:val="00336FA5"/>
    <w:rsid w:val="003406D8"/>
    <w:rsid w:val="00340B31"/>
    <w:rsid w:val="00341C2F"/>
    <w:rsid w:val="003430F1"/>
    <w:rsid w:val="003434F5"/>
    <w:rsid w:val="00343AF8"/>
    <w:rsid w:val="00346B33"/>
    <w:rsid w:val="0035007A"/>
    <w:rsid w:val="00351318"/>
    <w:rsid w:val="00354D93"/>
    <w:rsid w:val="00355DC0"/>
    <w:rsid w:val="00356A15"/>
    <w:rsid w:val="00357597"/>
    <w:rsid w:val="00361384"/>
    <w:rsid w:val="00361AA8"/>
    <w:rsid w:val="00363FB7"/>
    <w:rsid w:val="003640C5"/>
    <w:rsid w:val="003663F5"/>
    <w:rsid w:val="00367B19"/>
    <w:rsid w:val="00372448"/>
    <w:rsid w:val="0037247C"/>
    <w:rsid w:val="00372993"/>
    <w:rsid w:val="003732B5"/>
    <w:rsid w:val="00373932"/>
    <w:rsid w:val="0037454F"/>
    <w:rsid w:val="00374A8F"/>
    <w:rsid w:val="003757AE"/>
    <w:rsid w:val="00377492"/>
    <w:rsid w:val="00380BE4"/>
    <w:rsid w:val="00380EAC"/>
    <w:rsid w:val="00384635"/>
    <w:rsid w:val="00385476"/>
    <w:rsid w:val="00385AE4"/>
    <w:rsid w:val="0038643E"/>
    <w:rsid w:val="00386E25"/>
    <w:rsid w:val="00387185"/>
    <w:rsid w:val="00390DDE"/>
    <w:rsid w:val="00393214"/>
    <w:rsid w:val="003935B6"/>
    <w:rsid w:val="0039451A"/>
    <w:rsid w:val="00394B9F"/>
    <w:rsid w:val="00396EA9"/>
    <w:rsid w:val="00397259"/>
    <w:rsid w:val="00397B28"/>
    <w:rsid w:val="00397D0E"/>
    <w:rsid w:val="003A13D7"/>
    <w:rsid w:val="003A1645"/>
    <w:rsid w:val="003A1679"/>
    <w:rsid w:val="003A26ED"/>
    <w:rsid w:val="003A2B42"/>
    <w:rsid w:val="003A4D33"/>
    <w:rsid w:val="003A544F"/>
    <w:rsid w:val="003A5F4B"/>
    <w:rsid w:val="003A754E"/>
    <w:rsid w:val="003B2E66"/>
    <w:rsid w:val="003B4369"/>
    <w:rsid w:val="003B4B41"/>
    <w:rsid w:val="003B5609"/>
    <w:rsid w:val="003B6624"/>
    <w:rsid w:val="003B6E2C"/>
    <w:rsid w:val="003B769C"/>
    <w:rsid w:val="003C0A0E"/>
    <w:rsid w:val="003C4285"/>
    <w:rsid w:val="003C64F4"/>
    <w:rsid w:val="003C76E5"/>
    <w:rsid w:val="003D2D25"/>
    <w:rsid w:val="003D58C7"/>
    <w:rsid w:val="003D5C23"/>
    <w:rsid w:val="003D6618"/>
    <w:rsid w:val="003D69E0"/>
    <w:rsid w:val="003D6DE9"/>
    <w:rsid w:val="003E0935"/>
    <w:rsid w:val="003E1084"/>
    <w:rsid w:val="003E177A"/>
    <w:rsid w:val="003E1F30"/>
    <w:rsid w:val="003E3228"/>
    <w:rsid w:val="003E3526"/>
    <w:rsid w:val="003E5A38"/>
    <w:rsid w:val="003E6201"/>
    <w:rsid w:val="003E66A7"/>
    <w:rsid w:val="003F1704"/>
    <w:rsid w:val="003F5534"/>
    <w:rsid w:val="003F6211"/>
    <w:rsid w:val="003F6303"/>
    <w:rsid w:val="003F6AD8"/>
    <w:rsid w:val="003F7037"/>
    <w:rsid w:val="00404621"/>
    <w:rsid w:val="0041084C"/>
    <w:rsid w:val="00410951"/>
    <w:rsid w:val="0041236C"/>
    <w:rsid w:val="00414FA4"/>
    <w:rsid w:val="004173F9"/>
    <w:rsid w:val="00420D4B"/>
    <w:rsid w:val="00421A34"/>
    <w:rsid w:val="004247A7"/>
    <w:rsid w:val="0042564C"/>
    <w:rsid w:val="00425ABF"/>
    <w:rsid w:val="00426596"/>
    <w:rsid w:val="00426980"/>
    <w:rsid w:val="00430E39"/>
    <w:rsid w:val="00433CEC"/>
    <w:rsid w:val="004340E6"/>
    <w:rsid w:val="00434F98"/>
    <w:rsid w:val="004353DB"/>
    <w:rsid w:val="0043550C"/>
    <w:rsid w:val="00437ECF"/>
    <w:rsid w:val="00440845"/>
    <w:rsid w:val="0044284F"/>
    <w:rsid w:val="00442BC7"/>
    <w:rsid w:val="00443849"/>
    <w:rsid w:val="00445B0A"/>
    <w:rsid w:val="00447FAC"/>
    <w:rsid w:val="004516EE"/>
    <w:rsid w:val="0045227C"/>
    <w:rsid w:val="004526AC"/>
    <w:rsid w:val="00456489"/>
    <w:rsid w:val="00456739"/>
    <w:rsid w:val="00456807"/>
    <w:rsid w:val="00456BBE"/>
    <w:rsid w:val="004572B6"/>
    <w:rsid w:val="00457EE1"/>
    <w:rsid w:val="004625C3"/>
    <w:rsid w:val="00462ADC"/>
    <w:rsid w:val="00463145"/>
    <w:rsid w:val="00463359"/>
    <w:rsid w:val="00464FBF"/>
    <w:rsid w:val="004654BD"/>
    <w:rsid w:val="00466D85"/>
    <w:rsid w:val="004725CE"/>
    <w:rsid w:val="00473459"/>
    <w:rsid w:val="0047393A"/>
    <w:rsid w:val="0047475D"/>
    <w:rsid w:val="0047553D"/>
    <w:rsid w:val="00475C06"/>
    <w:rsid w:val="00480A2C"/>
    <w:rsid w:val="00480ED1"/>
    <w:rsid w:val="0048233D"/>
    <w:rsid w:val="00482809"/>
    <w:rsid w:val="00483A18"/>
    <w:rsid w:val="00484052"/>
    <w:rsid w:val="00485DD9"/>
    <w:rsid w:val="00486DBF"/>
    <w:rsid w:val="004906ED"/>
    <w:rsid w:val="00491A37"/>
    <w:rsid w:val="00491F13"/>
    <w:rsid w:val="0049236F"/>
    <w:rsid w:val="00492475"/>
    <w:rsid w:val="00492DBC"/>
    <w:rsid w:val="00493460"/>
    <w:rsid w:val="004936E1"/>
    <w:rsid w:val="00493D23"/>
    <w:rsid w:val="00493D2C"/>
    <w:rsid w:val="00494625"/>
    <w:rsid w:val="00495421"/>
    <w:rsid w:val="004958AC"/>
    <w:rsid w:val="00497D6B"/>
    <w:rsid w:val="004A07E4"/>
    <w:rsid w:val="004A08DC"/>
    <w:rsid w:val="004A09DA"/>
    <w:rsid w:val="004A0F40"/>
    <w:rsid w:val="004A2F12"/>
    <w:rsid w:val="004A3D62"/>
    <w:rsid w:val="004A5397"/>
    <w:rsid w:val="004A66C6"/>
    <w:rsid w:val="004A78C0"/>
    <w:rsid w:val="004B08C8"/>
    <w:rsid w:val="004B2D24"/>
    <w:rsid w:val="004B31A5"/>
    <w:rsid w:val="004B58A8"/>
    <w:rsid w:val="004B6BE9"/>
    <w:rsid w:val="004B7B75"/>
    <w:rsid w:val="004C1166"/>
    <w:rsid w:val="004C2820"/>
    <w:rsid w:val="004C38D3"/>
    <w:rsid w:val="004C3B14"/>
    <w:rsid w:val="004C4328"/>
    <w:rsid w:val="004C61A6"/>
    <w:rsid w:val="004D24B5"/>
    <w:rsid w:val="004D2926"/>
    <w:rsid w:val="004D2AFB"/>
    <w:rsid w:val="004D70BB"/>
    <w:rsid w:val="004D7B08"/>
    <w:rsid w:val="004D7FED"/>
    <w:rsid w:val="004E2D2C"/>
    <w:rsid w:val="004E3257"/>
    <w:rsid w:val="004E4507"/>
    <w:rsid w:val="004E4BCE"/>
    <w:rsid w:val="004E6A69"/>
    <w:rsid w:val="004F09EB"/>
    <w:rsid w:val="004F0F21"/>
    <w:rsid w:val="004F1BA6"/>
    <w:rsid w:val="004F27E3"/>
    <w:rsid w:val="004F3C07"/>
    <w:rsid w:val="004F62A1"/>
    <w:rsid w:val="004F7156"/>
    <w:rsid w:val="004F785C"/>
    <w:rsid w:val="00501CC7"/>
    <w:rsid w:val="00502576"/>
    <w:rsid w:val="005025B1"/>
    <w:rsid w:val="005028CC"/>
    <w:rsid w:val="0050445F"/>
    <w:rsid w:val="0050636E"/>
    <w:rsid w:val="0050669C"/>
    <w:rsid w:val="005105ED"/>
    <w:rsid w:val="0051269A"/>
    <w:rsid w:val="00512F0F"/>
    <w:rsid w:val="00514F11"/>
    <w:rsid w:val="005153DF"/>
    <w:rsid w:val="005172B1"/>
    <w:rsid w:val="00520059"/>
    <w:rsid w:val="005206E1"/>
    <w:rsid w:val="0052214A"/>
    <w:rsid w:val="00522ED0"/>
    <w:rsid w:val="00522F2F"/>
    <w:rsid w:val="005233AA"/>
    <w:rsid w:val="005242E1"/>
    <w:rsid w:val="00525BD6"/>
    <w:rsid w:val="00525DE8"/>
    <w:rsid w:val="00527386"/>
    <w:rsid w:val="005275CE"/>
    <w:rsid w:val="0052766B"/>
    <w:rsid w:val="00530096"/>
    <w:rsid w:val="00531314"/>
    <w:rsid w:val="00532275"/>
    <w:rsid w:val="0053329C"/>
    <w:rsid w:val="00533AEE"/>
    <w:rsid w:val="00536138"/>
    <w:rsid w:val="00537341"/>
    <w:rsid w:val="00540ACF"/>
    <w:rsid w:val="00543BEB"/>
    <w:rsid w:val="00543FDA"/>
    <w:rsid w:val="00545C8F"/>
    <w:rsid w:val="00546CB1"/>
    <w:rsid w:val="00547BB4"/>
    <w:rsid w:val="00553E2F"/>
    <w:rsid w:val="00555C12"/>
    <w:rsid w:val="00555CE9"/>
    <w:rsid w:val="0055687D"/>
    <w:rsid w:val="005576A2"/>
    <w:rsid w:val="005631CC"/>
    <w:rsid w:val="00565705"/>
    <w:rsid w:val="00565F64"/>
    <w:rsid w:val="005660B9"/>
    <w:rsid w:val="005662B5"/>
    <w:rsid w:val="005663E2"/>
    <w:rsid w:val="00572DF4"/>
    <w:rsid w:val="00573150"/>
    <w:rsid w:val="00577DE8"/>
    <w:rsid w:val="00580290"/>
    <w:rsid w:val="00582EA4"/>
    <w:rsid w:val="005847FF"/>
    <w:rsid w:val="00585D87"/>
    <w:rsid w:val="00586102"/>
    <w:rsid w:val="00587DEA"/>
    <w:rsid w:val="00590511"/>
    <w:rsid w:val="0059209D"/>
    <w:rsid w:val="00592389"/>
    <w:rsid w:val="00594609"/>
    <w:rsid w:val="00594FAA"/>
    <w:rsid w:val="00595173"/>
    <w:rsid w:val="005A008F"/>
    <w:rsid w:val="005A043D"/>
    <w:rsid w:val="005A112A"/>
    <w:rsid w:val="005A2583"/>
    <w:rsid w:val="005A7AE0"/>
    <w:rsid w:val="005B09AC"/>
    <w:rsid w:val="005B1358"/>
    <w:rsid w:val="005B1D48"/>
    <w:rsid w:val="005B2240"/>
    <w:rsid w:val="005B364A"/>
    <w:rsid w:val="005B4300"/>
    <w:rsid w:val="005B439E"/>
    <w:rsid w:val="005B4667"/>
    <w:rsid w:val="005B4E17"/>
    <w:rsid w:val="005B76D6"/>
    <w:rsid w:val="005C0568"/>
    <w:rsid w:val="005C1659"/>
    <w:rsid w:val="005C23E4"/>
    <w:rsid w:val="005C3FC3"/>
    <w:rsid w:val="005C4055"/>
    <w:rsid w:val="005C4834"/>
    <w:rsid w:val="005C514D"/>
    <w:rsid w:val="005C518D"/>
    <w:rsid w:val="005C698D"/>
    <w:rsid w:val="005C7A76"/>
    <w:rsid w:val="005D1ACB"/>
    <w:rsid w:val="005D22E0"/>
    <w:rsid w:val="005D4142"/>
    <w:rsid w:val="005D63C1"/>
    <w:rsid w:val="005D7B26"/>
    <w:rsid w:val="005E4831"/>
    <w:rsid w:val="005E525E"/>
    <w:rsid w:val="005E54B0"/>
    <w:rsid w:val="005E696A"/>
    <w:rsid w:val="005E7896"/>
    <w:rsid w:val="005F16CA"/>
    <w:rsid w:val="005F1CDA"/>
    <w:rsid w:val="005F1DB7"/>
    <w:rsid w:val="005F3310"/>
    <w:rsid w:val="005F3958"/>
    <w:rsid w:val="006002A3"/>
    <w:rsid w:val="00602420"/>
    <w:rsid w:val="006027A4"/>
    <w:rsid w:val="006030D1"/>
    <w:rsid w:val="006048BA"/>
    <w:rsid w:val="0060499F"/>
    <w:rsid w:val="00605100"/>
    <w:rsid w:val="006056E9"/>
    <w:rsid w:val="006068AB"/>
    <w:rsid w:val="00610511"/>
    <w:rsid w:val="00610B3A"/>
    <w:rsid w:val="00611CA3"/>
    <w:rsid w:val="00611D0A"/>
    <w:rsid w:val="0061251C"/>
    <w:rsid w:val="0061714E"/>
    <w:rsid w:val="00617460"/>
    <w:rsid w:val="00617859"/>
    <w:rsid w:val="00617E9F"/>
    <w:rsid w:val="00621A81"/>
    <w:rsid w:val="00622757"/>
    <w:rsid w:val="00622F9A"/>
    <w:rsid w:val="00623285"/>
    <w:rsid w:val="00623422"/>
    <w:rsid w:val="00623824"/>
    <w:rsid w:val="00631241"/>
    <w:rsid w:val="006312E1"/>
    <w:rsid w:val="00632829"/>
    <w:rsid w:val="00637718"/>
    <w:rsid w:val="00642B6E"/>
    <w:rsid w:val="00642D75"/>
    <w:rsid w:val="0064361A"/>
    <w:rsid w:val="00643DAC"/>
    <w:rsid w:val="0064420F"/>
    <w:rsid w:val="00645421"/>
    <w:rsid w:val="00646D80"/>
    <w:rsid w:val="006509A6"/>
    <w:rsid w:val="006509D7"/>
    <w:rsid w:val="00652660"/>
    <w:rsid w:val="006559FA"/>
    <w:rsid w:val="006571CA"/>
    <w:rsid w:val="00657665"/>
    <w:rsid w:val="00660984"/>
    <w:rsid w:val="00660B8B"/>
    <w:rsid w:val="006618CE"/>
    <w:rsid w:val="00661CC5"/>
    <w:rsid w:val="00666E0B"/>
    <w:rsid w:val="006700D9"/>
    <w:rsid w:val="0067132E"/>
    <w:rsid w:val="00671933"/>
    <w:rsid w:val="00672861"/>
    <w:rsid w:val="00672906"/>
    <w:rsid w:val="00673684"/>
    <w:rsid w:val="00674241"/>
    <w:rsid w:val="0067774A"/>
    <w:rsid w:val="006809F3"/>
    <w:rsid w:val="0068150F"/>
    <w:rsid w:val="00681A13"/>
    <w:rsid w:val="00682793"/>
    <w:rsid w:val="00682D85"/>
    <w:rsid w:val="00685077"/>
    <w:rsid w:val="0068563F"/>
    <w:rsid w:val="00695480"/>
    <w:rsid w:val="00696D57"/>
    <w:rsid w:val="006973BE"/>
    <w:rsid w:val="006A0ACC"/>
    <w:rsid w:val="006A0C63"/>
    <w:rsid w:val="006A0D08"/>
    <w:rsid w:val="006A2A93"/>
    <w:rsid w:val="006A4E48"/>
    <w:rsid w:val="006A4E92"/>
    <w:rsid w:val="006A74A3"/>
    <w:rsid w:val="006A7BF5"/>
    <w:rsid w:val="006B002A"/>
    <w:rsid w:val="006B0C51"/>
    <w:rsid w:val="006B155E"/>
    <w:rsid w:val="006B2DC7"/>
    <w:rsid w:val="006B4D63"/>
    <w:rsid w:val="006B5090"/>
    <w:rsid w:val="006B600E"/>
    <w:rsid w:val="006C0C9F"/>
    <w:rsid w:val="006C1075"/>
    <w:rsid w:val="006C18CC"/>
    <w:rsid w:val="006C4951"/>
    <w:rsid w:val="006C54B0"/>
    <w:rsid w:val="006C754B"/>
    <w:rsid w:val="006D4303"/>
    <w:rsid w:val="006D56BD"/>
    <w:rsid w:val="006E1440"/>
    <w:rsid w:val="006E17C7"/>
    <w:rsid w:val="006E2191"/>
    <w:rsid w:val="006E35BF"/>
    <w:rsid w:val="006E40A5"/>
    <w:rsid w:val="006E434D"/>
    <w:rsid w:val="006E57AE"/>
    <w:rsid w:val="006E7778"/>
    <w:rsid w:val="006E7E2B"/>
    <w:rsid w:val="006E7F48"/>
    <w:rsid w:val="006F1895"/>
    <w:rsid w:val="006F4A51"/>
    <w:rsid w:val="006F73C9"/>
    <w:rsid w:val="00700218"/>
    <w:rsid w:val="007026C2"/>
    <w:rsid w:val="007028E4"/>
    <w:rsid w:val="00704D96"/>
    <w:rsid w:val="00706C64"/>
    <w:rsid w:val="00710129"/>
    <w:rsid w:val="00714555"/>
    <w:rsid w:val="00714797"/>
    <w:rsid w:val="00715B80"/>
    <w:rsid w:val="007204EC"/>
    <w:rsid w:val="00720689"/>
    <w:rsid w:val="00721CA5"/>
    <w:rsid w:val="007258B0"/>
    <w:rsid w:val="00730213"/>
    <w:rsid w:val="00735A7A"/>
    <w:rsid w:val="007404F9"/>
    <w:rsid w:val="00740527"/>
    <w:rsid w:val="007408C8"/>
    <w:rsid w:val="00746320"/>
    <w:rsid w:val="00746A9E"/>
    <w:rsid w:val="00746B0D"/>
    <w:rsid w:val="0074782D"/>
    <w:rsid w:val="0074793F"/>
    <w:rsid w:val="00747C80"/>
    <w:rsid w:val="00750722"/>
    <w:rsid w:val="0075075D"/>
    <w:rsid w:val="0075201A"/>
    <w:rsid w:val="007531BC"/>
    <w:rsid w:val="007544A8"/>
    <w:rsid w:val="007601BC"/>
    <w:rsid w:val="00762C1E"/>
    <w:rsid w:val="00763663"/>
    <w:rsid w:val="007650B8"/>
    <w:rsid w:val="00765CFE"/>
    <w:rsid w:val="00767027"/>
    <w:rsid w:val="007676F2"/>
    <w:rsid w:val="00770AD0"/>
    <w:rsid w:val="00773B85"/>
    <w:rsid w:val="00773CBA"/>
    <w:rsid w:val="00775590"/>
    <w:rsid w:val="00782440"/>
    <w:rsid w:val="00784245"/>
    <w:rsid w:val="00787260"/>
    <w:rsid w:val="00787A23"/>
    <w:rsid w:val="00793C0C"/>
    <w:rsid w:val="00793F32"/>
    <w:rsid w:val="00794120"/>
    <w:rsid w:val="0079481B"/>
    <w:rsid w:val="00795CA5"/>
    <w:rsid w:val="007A576E"/>
    <w:rsid w:val="007A6C30"/>
    <w:rsid w:val="007C0090"/>
    <w:rsid w:val="007C0F95"/>
    <w:rsid w:val="007C46C0"/>
    <w:rsid w:val="007C5FCD"/>
    <w:rsid w:val="007C6490"/>
    <w:rsid w:val="007C7F38"/>
    <w:rsid w:val="007D0B31"/>
    <w:rsid w:val="007D0E1A"/>
    <w:rsid w:val="007D19B2"/>
    <w:rsid w:val="007D3309"/>
    <w:rsid w:val="007D45E9"/>
    <w:rsid w:val="007D6B23"/>
    <w:rsid w:val="007D710B"/>
    <w:rsid w:val="007E02DC"/>
    <w:rsid w:val="007E0662"/>
    <w:rsid w:val="007E07FF"/>
    <w:rsid w:val="007E37F4"/>
    <w:rsid w:val="007E4DBD"/>
    <w:rsid w:val="007E5E34"/>
    <w:rsid w:val="007E6158"/>
    <w:rsid w:val="007E68D3"/>
    <w:rsid w:val="007E71CD"/>
    <w:rsid w:val="007E7CAC"/>
    <w:rsid w:val="007F0A9B"/>
    <w:rsid w:val="007F0F58"/>
    <w:rsid w:val="007F49C8"/>
    <w:rsid w:val="007F7BB1"/>
    <w:rsid w:val="0080065F"/>
    <w:rsid w:val="00803F9E"/>
    <w:rsid w:val="00804F42"/>
    <w:rsid w:val="00807415"/>
    <w:rsid w:val="00807549"/>
    <w:rsid w:val="00807734"/>
    <w:rsid w:val="008079B4"/>
    <w:rsid w:val="008102C6"/>
    <w:rsid w:val="00810BE2"/>
    <w:rsid w:val="00811015"/>
    <w:rsid w:val="0081226D"/>
    <w:rsid w:val="00812BDB"/>
    <w:rsid w:val="00814139"/>
    <w:rsid w:val="008150AB"/>
    <w:rsid w:val="00816E96"/>
    <w:rsid w:val="00817774"/>
    <w:rsid w:val="00820C61"/>
    <w:rsid w:val="00820F2E"/>
    <w:rsid w:val="0082296F"/>
    <w:rsid w:val="00827516"/>
    <w:rsid w:val="00827C8E"/>
    <w:rsid w:val="00830AA7"/>
    <w:rsid w:val="0083111E"/>
    <w:rsid w:val="00833178"/>
    <w:rsid w:val="00834D81"/>
    <w:rsid w:val="008355FA"/>
    <w:rsid w:val="0083605F"/>
    <w:rsid w:val="008360DA"/>
    <w:rsid w:val="008373B6"/>
    <w:rsid w:val="008422F4"/>
    <w:rsid w:val="008438BC"/>
    <w:rsid w:val="00844625"/>
    <w:rsid w:val="0084472A"/>
    <w:rsid w:val="0084489C"/>
    <w:rsid w:val="00845B5D"/>
    <w:rsid w:val="00847C81"/>
    <w:rsid w:val="0085105B"/>
    <w:rsid w:val="008535C6"/>
    <w:rsid w:val="008559EA"/>
    <w:rsid w:val="00855E04"/>
    <w:rsid w:val="00856FE5"/>
    <w:rsid w:val="0085763E"/>
    <w:rsid w:val="00857BF2"/>
    <w:rsid w:val="00862845"/>
    <w:rsid w:val="008639BF"/>
    <w:rsid w:val="00864DC5"/>
    <w:rsid w:val="0086541D"/>
    <w:rsid w:val="008667DE"/>
    <w:rsid w:val="008677A2"/>
    <w:rsid w:val="00867AD1"/>
    <w:rsid w:val="00870496"/>
    <w:rsid w:val="00871047"/>
    <w:rsid w:val="00871120"/>
    <w:rsid w:val="00872091"/>
    <w:rsid w:val="008724E6"/>
    <w:rsid w:val="00876539"/>
    <w:rsid w:val="00876976"/>
    <w:rsid w:val="00883124"/>
    <w:rsid w:val="00884F88"/>
    <w:rsid w:val="008861D4"/>
    <w:rsid w:val="00886DBC"/>
    <w:rsid w:val="008912BA"/>
    <w:rsid w:val="00891D3E"/>
    <w:rsid w:val="00891E64"/>
    <w:rsid w:val="00893ECA"/>
    <w:rsid w:val="00894B84"/>
    <w:rsid w:val="00896C55"/>
    <w:rsid w:val="00897DAD"/>
    <w:rsid w:val="008A0ED3"/>
    <w:rsid w:val="008A10DB"/>
    <w:rsid w:val="008A45E7"/>
    <w:rsid w:val="008A5767"/>
    <w:rsid w:val="008A6789"/>
    <w:rsid w:val="008A67C3"/>
    <w:rsid w:val="008A6C37"/>
    <w:rsid w:val="008A76CB"/>
    <w:rsid w:val="008A7B39"/>
    <w:rsid w:val="008B0085"/>
    <w:rsid w:val="008B1093"/>
    <w:rsid w:val="008B190B"/>
    <w:rsid w:val="008B3C88"/>
    <w:rsid w:val="008B4871"/>
    <w:rsid w:val="008C0D7F"/>
    <w:rsid w:val="008C0DD1"/>
    <w:rsid w:val="008C3C22"/>
    <w:rsid w:val="008C54F7"/>
    <w:rsid w:val="008C5CA6"/>
    <w:rsid w:val="008D056B"/>
    <w:rsid w:val="008D20D7"/>
    <w:rsid w:val="008D24DA"/>
    <w:rsid w:val="008D5C62"/>
    <w:rsid w:val="008D654D"/>
    <w:rsid w:val="008D6E19"/>
    <w:rsid w:val="008E0C1A"/>
    <w:rsid w:val="008E1EC6"/>
    <w:rsid w:val="008E698A"/>
    <w:rsid w:val="008E6D41"/>
    <w:rsid w:val="008E7024"/>
    <w:rsid w:val="008E7061"/>
    <w:rsid w:val="008F3A59"/>
    <w:rsid w:val="008F734E"/>
    <w:rsid w:val="0090041E"/>
    <w:rsid w:val="009020C9"/>
    <w:rsid w:val="00910BA1"/>
    <w:rsid w:val="00911AED"/>
    <w:rsid w:val="00911FF1"/>
    <w:rsid w:val="00913B91"/>
    <w:rsid w:val="009217E6"/>
    <w:rsid w:val="009226C5"/>
    <w:rsid w:val="00922C20"/>
    <w:rsid w:val="0092404D"/>
    <w:rsid w:val="00924E7D"/>
    <w:rsid w:val="00926434"/>
    <w:rsid w:val="009275CC"/>
    <w:rsid w:val="00930591"/>
    <w:rsid w:val="009320BA"/>
    <w:rsid w:val="00933EEC"/>
    <w:rsid w:val="0093585E"/>
    <w:rsid w:val="00936C5A"/>
    <w:rsid w:val="00937EAE"/>
    <w:rsid w:val="009436C3"/>
    <w:rsid w:val="009441AB"/>
    <w:rsid w:val="009442A1"/>
    <w:rsid w:val="009453C2"/>
    <w:rsid w:val="00946FD3"/>
    <w:rsid w:val="009479E4"/>
    <w:rsid w:val="0095080B"/>
    <w:rsid w:val="009552FD"/>
    <w:rsid w:val="00955B84"/>
    <w:rsid w:val="00955FED"/>
    <w:rsid w:val="0095630C"/>
    <w:rsid w:val="00956841"/>
    <w:rsid w:val="00956CCE"/>
    <w:rsid w:val="00957218"/>
    <w:rsid w:val="00957A68"/>
    <w:rsid w:val="0096260A"/>
    <w:rsid w:val="00962C5B"/>
    <w:rsid w:val="00965870"/>
    <w:rsid w:val="00965F88"/>
    <w:rsid w:val="009661D0"/>
    <w:rsid w:val="00966703"/>
    <w:rsid w:val="00966726"/>
    <w:rsid w:val="00967ADA"/>
    <w:rsid w:val="00971BAF"/>
    <w:rsid w:val="00975993"/>
    <w:rsid w:val="00981016"/>
    <w:rsid w:val="00982565"/>
    <w:rsid w:val="009825F3"/>
    <w:rsid w:val="0098263A"/>
    <w:rsid w:val="00983C1D"/>
    <w:rsid w:val="0098470D"/>
    <w:rsid w:val="00985594"/>
    <w:rsid w:val="009870CB"/>
    <w:rsid w:val="00994075"/>
    <w:rsid w:val="0099408B"/>
    <w:rsid w:val="00995AD7"/>
    <w:rsid w:val="00995CBD"/>
    <w:rsid w:val="00997920"/>
    <w:rsid w:val="009A4183"/>
    <w:rsid w:val="009A4A3F"/>
    <w:rsid w:val="009B0090"/>
    <w:rsid w:val="009B3C92"/>
    <w:rsid w:val="009B4128"/>
    <w:rsid w:val="009B52C8"/>
    <w:rsid w:val="009B5436"/>
    <w:rsid w:val="009B7778"/>
    <w:rsid w:val="009B79C7"/>
    <w:rsid w:val="009C0FCA"/>
    <w:rsid w:val="009C2D0A"/>
    <w:rsid w:val="009C3EBF"/>
    <w:rsid w:val="009C6424"/>
    <w:rsid w:val="009D0691"/>
    <w:rsid w:val="009D0CC6"/>
    <w:rsid w:val="009D10AD"/>
    <w:rsid w:val="009D1DDB"/>
    <w:rsid w:val="009D3F74"/>
    <w:rsid w:val="009D46E5"/>
    <w:rsid w:val="009D4F89"/>
    <w:rsid w:val="009D5602"/>
    <w:rsid w:val="009D56CE"/>
    <w:rsid w:val="009D5967"/>
    <w:rsid w:val="009D69A0"/>
    <w:rsid w:val="009D6C80"/>
    <w:rsid w:val="009D744C"/>
    <w:rsid w:val="009E08BE"/>
    <w:rsid w:val="009E3D64"/>
    <w:rsid w:val="009E3F93"/>
    <w:rsid w:val="009E4CE6"/>
    <w:rsid w:val="009E5256"/>
    <w:rsid w:val="009E60E6"/>
    <w:rsid w:val="009E6A58"/>
    <w:rsid w:val="009E7656"/>
    <w:rsid w:val="009F17A0"/>
    <w:rsid w:val="009F2563"/>
    <w:rsid w:val="009F307B"/>
    <w:rsid w:val="009F3E74"/>
    <w:rsid w:val="009F414A"/>
    <w:rsid w:val="00A00C16"/>
    <w:rsid w:val="00A037BB"/>
    <w:rsid w:val="00A04173"/>
    <w:rsid w:val="00A0684B"/>
    <w:rsid w:val="00A06900"/>
    <w:rsid w:val="00A06B3C"/>
    <w:rsid w:val="00A11533"/>
    <w:rsid w:val="00A12066"/>
    <w:rsid w:val="00A124A2"/>
    <w:rsid w:val="00A13652"/>
    <w:rsid w:val="00A1411C"/>
    <w:rsid w:val="00A1432D"/>
    <w:rsid w:val="00A16866"/>
    <w:rsid w:val="00A16BC1"/>
    <w:rsid w:val="00A20064"/>
    <w:rsid w:val="00A20DE6"/>
    <w:rsid w:val="00A242AF"/>
    <w:rsid w:val="00A27B20"/>
    <w:rsid w:val="00A3039D"/>
    <w:rsid w:val="00A31CB8"/>
    <w:rsid w:val="00A31CCA"/>
    <w:rsid w:val="00A32119"/>
    <w:rsid w:val="00A33871"/>
    <w:rsid w:val="00A356BD"/>
    <w:rsid w:val="00A35C21"/>
    <w:rsid w:val="00A36D3D"/>
    <w:rsid w:val="00A36D60"/>
    <w:rsid w:val="00A36E80"/>
    <w:rsid w:val="00A37071"/>
    <w:rsid w:val="00A373EC"/>
    <w:rsid w:val="00A37865"/>
    <w:rsid w:val="00A403CD"/>
    <w:rsid w:val="00A412D8"/>
    <w:rsid w:val="00A43F08"/>
    <w:rsid w:val="00A45471"/>
    <w:rsid w:val="00A45B82"/>
    <w:rsid w:val="00A46FD8"/>
    <w:rsid w:val="00A477D3"/>
    <w:rsid w:val="00A51093"/>
    <w:rsid w:val="00A51F2E"/>
    <w:rsid w:val="00A52D75"/>
    <w:rsid w:val="00A5584B"/>
    <w:rsid w:val="00A56CBD"/>
    <w:rsid w:val="00A6017E"/>
    <w:rsid w:val="00A607AB"/>
    <w:rsid w:val="00A607F2"/>
    <w:rsid w:val="00A60F5C"/>
    <w:rsid w:val="00A62FD7"/>
    <w:rsid w:val="00A636B4"/>
    <w:rsid w:val="00A63DEC"/>
    <w:rsid w:val="00A63E59"/>
    <w:rsid w:val="00A64D3E"/>
    <w:rsid w:val="00A6513F"/>
    <w:rsid w:val="00A66BEC"/>
    <w:rsid w:val="00A671EA"/>
    <w:rsid w:val="00A673CE"/>
    <w:rsid w:val="00A70319"/>
    <w:rsid w:val="00A70B6B"/>
    <w:rsid w:val="00A71C81"/>
    <w:rsid w:val="00A72835"/>
    <w:rsid w:val="00A72C33"/>
    <w:rsid w:val="00A72FF7"/>
    <w:rsid w:val="00A7647C"/>
    <w:rsid w:val="00A77569"/>
    <w:rsid w:val="00A77FF4"/>
    <w:rsid w:val="00A80C98"/>
    <w:rsid w:val="00A81B16"/>
    <w:rsid w:val="00A82B7F"/>
    <w:rsid w:val="00A82BE8"/>
    <w:rsid w:val="00A82DC9"/>
    <w:rsid w:val="00A852FB"/>
    <w:rsid w:val="00A85577"/>
    <w:rsid w:val="00A86B05"/>
    <w:rsid w:val="00A912FC"/>
    <w:rsid w:val="00A933AA"/>
    <w:rsid w:val="00A95775"/>
    <w:rsid w:val="00A95C17"/>
    <w:rsid w:val="00A96458"/>
    <w:rsid w:val="00A96BF1"/>
    <w:rsid w:val="00A97A79"/>
    <w:rsid w:val="00AA05EF"/>
    <w:rsid w:val="00AA0D9D"/>
    <w:rsid w:val="00AA11C7"/>
    <w:rsid w:val="00AA1BCB"/>
    <w:rsid w:val="00AA38F3"/>
    <w:rsid w:val="00AA45F8"/>
    <w:rsid w:val="00AA47EA"/>
    <w:rsid w:val="00AA495D"/>
    <w:rsid w:val="00AA50A8"/>
    <w:rsid w:val="00AA663F"/>
    <w:rsid w:val="00AA7D69"/>
    <w:rsid w:val="00AA7FB4"/>
    <w:rsid w:val="00AB0FB4"/>
    <w:rsid w:val="00AB1FEA"/>
    <w:rsid w:val="00AB2330"/>
    <w:rsid w:val="00AB55B4"/>
    <w:rsid w:val="00AB7441"/>
    <w:rsid w:val="00AB7D15"/>
    <w:rsid w:val="00AC1EAA"/>
    <w:rsid w:val="00AC3EE5"/>
    <w:rsid w:val="00AC5903"/>
    <w:rsid w:val="00AC65BC"/>
    <w:rsid w:val="00AC7349"/>
    <w:rsid w:val="00AC79BE"/>
    <w:rsid w:val="00AD04D2"/>
    <w:rsid w:val="00AD110B"/>
    <w:rsid w:val="00AD2095"/>
    <w:rsid w:val="00AD3039"/>
    <w:rsid w:val="00AD3934"/>
    <w:rsid w:val="00AD5194"/>
    <w:rsid w:val="00AD60C8"/>
    <w:rsid w:val="00AD6940"/>
    <w:rsid w:val="00AE3957"/>
    <w:rsid w:val="00AE4E9B"/>
    <w:rsid w:val="00AE51DC"/>
    <w:rsid w:val="00AE6667"/>
    <w:rsid w:val="00AE7D06"/>
    <w:rsid w:val="00AF1176"/>
    <w:rsid w:val="00AF2D17"/>
    <w:rsid w:val="00AF4891"/>
    <w:rsid w:val="00AF7914"/>
    <w:rsid w:val="00AF7BA2"/>
    <w:rsid w:val="00B0136B"/>
    <w:rsid w:val="00B01640"/>
    <w:rsid w:val="00B017B7"/>
    <w:rsid w:val="00B02238"/>
    <w:rsid w:val="00B02291"/>
    <w:rsid w:val="00B03D46"/>
    <w:rsid w:val="00B04713"/>
    <w:rsid w:val="00B06362"/>
    <w:rsid w:val="00B105EE"/>
    <w:rsid w:val="00B1094D"/>
    <w:rsid w:val="00B10F93"/>
    <w:rsid w:val="00B117CE"/>
    <w:rsid w:val="00B148B7"/>
    <w:rsid w:val="00B15124"/>
    <w:rsid w:val="00B155DF"/>
    <w:rsid w:val="00B163F0"/>
    <w:rsid w:val="00B202F7"/>
    <w:rsid w:val="00B20688"/>
    <w:rsid w:val="00B21514"/>
    <w:rsid w:val="00B23C01"/>
    <w:rsid w:val="00B255FB"/>
    <w:rsid w:val="00B2590B"/>
    <w:rsid w:val="00B26158"/>
    <w:rsid w:val="00B27599"/>
    <w:rsid w:val="00B30362"/>
    <w:rsid w:val="00B30793"/>
    <w:rsid w:val="00B30FC8"/>
    <w:rsid w:val="00B31185"/>
    <w:rsid w:val="00B3359E"/>
    <w:rsid w:val="00B3433C"/>
    <w:rsid w:val="00B4002E"/>
    <w:rsid w:val="00B402A6"/>
    <w:rsid w:val="00B40425"/>
    <w:rsid w:val="00B406F6"/>
    <w:rsid w:val="00B41805"/>
    <w:rsid w:val="00B42227"/>
    <w:rsid w:val="00B426DB"/>
    <w:rsid w:val="00B433C5"/>
    <w:rsid w:val="00B44C4C"/>
    <w:rsid w:val="00B51EDA"/>
    <w:rsid w:val="00B5577F"/>
    <w:rsid w:val="00B559AE"/>
    <w:rsid w:val="00B55B5E"/>
    <w:rsid w:val="00B566D3"/>
    <w:rsid w:val="00B601FD"/>
    <w:rsid w:val="00B6070B"/>
    <w:rsid w:val="00B60C65"/>
    <w:rsid w:val="00B61026"/>
    <w:rsid w:val="00B6173C"/>
    <w:rsid w:val="00B631CA"/>
    <w:rsid w:val="00B63584"/>
    <w:rsid w:val="00B65030"/>
    <w:rsid w:val="00B665CD"/>
    <w:rsid w:val="00B72635"/>
    <w:rsid w:val="00B72A12"/>
    <w:rsid w:val="00B7426E"/>
    <w:rsid w:val="00B74729"/>
    <w:rsid w:val="00B74DD6"/>
    <w:rsid w:val="00B75206"/>
    <w:rsid w:val="00B75DA8"/>
    <w:rsid w:val="00B76BAC"/>
    <w:rsid w:val="00B771CF"/>
    <w:rsid w:val="00B80D4A"/>
    <w:rsid w:val="00B82298"/>
    <w:rsid w:val="00B83125"/>
    <w:rsid w:val="00B8533E"/>
    <w:rsid w:val="00B85488"/>
    <w:rsid w:val="00B90E33"/>
    <w:rsid w:val="00B910E8"/>
    <w:rsid w:val="00B92474"/>
    <w:rsid w:val="00B92974"/>
    <w:rsid w:val="00B937C8"/>
    <w:rsid w:val="00B9615E"/>
    <w:rsid w:val="00B962C7"/>
    <w:rsid w:val="00B9708F"/>
    <w:rsid w:val="00B976FF"/>
    <w:rsid w:val="00B97AC2"/>
    <w:rsid w:val="00B97AD4"/>
    <w:rsid w:val="00BA22CE"/>
    <w:rsid w:val="00BA2419"/>
    <w:rsid w:val="00BA3C45"/>
    <w:rsid w:val="00BA41A9"/>
    <w:rsid w:val="00BA48CA"/>
    <w:rsid w:val="00BA6042"/>
    <w:rsid w:val="00BA71B5"/>
    <w:rsid w:val="00BB1EA6"/>
    <w:rsid w:val="00BB2A90"/>
    <w:rsid w:val="00BB4DF7"/>
    <w:rsid w:val="00BB5E2B"/>
    <w:rsid w:val="00BB637F"/>
    <w:rsid w:val="00BC01F6"/>
    <w:rsid w:val="00BC0A42"/>
    <w:rsid w:val="00BC1396"/>
    <w:rsid w:val="00BC1989"/>
    <w:rsid w:val="00BC3427"/>
    <w:rsid w:val="00BC4AFD"/>
    <w:rsid w:val="00BC7C0B"/>
    <w:rsid w:val="00BD2476"/>
    <w:rsid w:val="00BD4258"/>
    <w:rsid w:val="00BD48CF"/>
    <w:rsid w:val="00BD5C95"/>
    <w:rsid w:val="00BE147A"/>
    <w:rsid w:val="00BE14DE"/>
    <w:rsid w:val="00BE2241"/>
    <w:rsid w:val="00BE4CEB"/>
    <w:rsid w:val="00BE5D08"/>
    <w:rsid w:val="00BE703C"/>
    <w:rsid w:val="00BE7165"/>
    <w:rsid w:val="00BE7D3C"/>
    <w:rsid w:val="00BF361B"/>
    <w:rsid w:val="00BF3D3B"/>
    <w:rsid w:val="00BF4A35"/>
    <w:rsid w:val="00BF4DF9"/>
    <w:rsid w:val="00BF511F"/>
    <w:rsid w:val="00BF6B82"/>
    <w:rsid w:val="00BF7FD5"/>
    <w:rsid w:val="00C00795"/>
    <w:rsid w:val="00C00F33"/>
    <w:rsid w:val="00C01F33"/>
    <w:rsid w:val="00C02FD1"/>
    <w:rsid w:val="00C0320A"/>
    <w:rsid w:val="00C03D33"/>
    <w:rsid w:val="00C073DB"/>
    <w:rsid w:val="00C10315"/>
    <w:rsid w:val="00C1037E"/>
    <w:rsid w:val="00C13314"/>
    <w:rsid w:val="00C14EC5"/>
    <w:rsid w:val="00C15627"/>
    <w:rsid w:val="00C23044"/>
    <w:rsid w:val="00C243A6"/>
    <w:rsid w:val="00C24C59"/>
    <w:rsid w:val="00C27F1D"/>
    <w:rsid w:val="00C310F4"/>
    <w:rsid w:val="00C329A5"/>
    <w:rsid w:val="00C33FF5"/>
    <w:rsid w:val="00C341A0"/>
    <w:rsid w:val="00C342D7"/>
    <w:rsid w:val="00C34693"/>
    <w:rsid w:val="00C35D5A"/>
    <w:rsid w:val="00C369B7"/>
    <w:rsid w:val="00C43009"/>
    <w:rsid w:val="00C435F0"/>
    <w:rsid w:val="00C45A37"/>
    <w:rsid w:val="00C466D3"/>
    <w:rsid w:val="00C46CA3"/>
    <w:rsid w:val="00C50094"/>
    <w:rsid w:val="00C51000"/>
    <w:rsid w:val="00C5248D"/>
    <w:rsid w:val="00C547FD"/>
    <w:rsid w:val="00C57102"/>
    <w:rsid w:val="00C57B48"/>
    <w:rsid w:val="00C60677"/>
    <w:rsid w:val="00C64410"/>
    <w:rsid w:val="00C64525"/>
    <w:rsid w:val="00C71243"/>
    <w:rsid w:val="00C7284D"/>
    <w:rsid w:val="00C72898"/>
    <w:rsid w:val="00C74034"/>
    <w:rsid w:val="00C8046D"/>
    <w:rsid w:val="00C817A1"/>
    <w:rsid w:val="00C82BFE"/>
    <w:rsid w:val="00C82F9B"/>
    <w:rsid w:val="00C8361E"/>
    <w:rsid w:val="00C83CD3"/>
    <w:rsid w:val="00C86CF5"/>
    <w:rsid w:val="00C904F3"/>
    <w:rsid w:val="00C9087A"/>
    <w:rsid w:val="00C90E35"/>
    <w:rsid w:val="00C91893"/>
    <w:rsid w:val="00C921D9"/>
    <w:rsid w:val="00C94073"/>
    <w:rsid w:val="00C9458C"/>
    <w:rsid w:val="00C94EEC"/>
    <w:rsid w:val="00C96444"/>
    <w:rsid w:val="00C96D9A"/>
    <w:rsid w:val="00C96E53"/>
    <w:rsid w:val="00CA2CCF"/>
    <w:rsid w:val="00CA369B"/>
    <w:rsid w:val="00CA5DCF"/>
    <w:rsid w:val="00CA6E40"/>
    <w:rsid w:val="00CA7D86"/>
    <w:rsid w:val="00CB1903"/>
    <w:rsid w:val="00CB532C"/>
    <w:rsid w:val="00CB59D6"/>
    <w:rsid w:val="00CB613D"/>
    <w:rsid w:val="00CB6E1D"/>
    <w:rsid w:val="00CB777E"/>
    <w:rsid w:val="00CB7C36"/>
    <w:rsid w:val="00CC0D20"/>
    <w:rsid w:val="00CC1C4A"/>
    <w:rsid w:val="00CC38C8"/>
    <w:rsid w:val="00CC3B19"/>
    <w:rsid w:val="00CC42D3"/>
    <w:rsid w:val="00CC4545"/>
    <w:rsid w:val="00CC4991"/>
    <w:rsid w:val="00CC52EE"/>
    <w:rsid w:val="00CC5E73"/>
    <w:rsid w:val="00CD3B62"/>
    <w:rsid w:val="00CD5381"/>
    <w:rsid w:val="00CD5B3F"/>
    <w:rsid w:val="00CE0392"/>
    <w:rsid w:val="00CE3B8B"/>
    <w:rsid w:val="00CE3ED6"/>
    <w:rsid w:val="00CE4622"/>
    <w:rsid w:val="00CE5712"/>
    <w:rsid w:val="00CE75E9"/>
    <w:rsid w:val="00CE7D1B"/>
    <w:rsid w:val="00CF0060"/>
    <w:rsid w:val="00CF18B5"/>
    <w:rsid w:val="00CF2698"/>
    <w:rsid w:val="00CF75FE"/>
    <w:rsid w:val="00CF7A77"/>
    <w:rsid w:val="00D02CDF"/>
    <w:rsid w:val="00D02EDC"/>
    <w:rsid w:val="00D03BDF"/>
    <w:rsid w:val="00D04767"/>
    <w:rsid w:val="00D04BCD"/>
    <w:rsid w:val="00D06B62"/>
    <w:rsid w:val="00D0758F"/>
    <w:rsid w:val="00D0791F"/>
    <w:rsid w:val="00D1187A"/>
    <w:rsid w:val="00D12931"/>
    <w:rsid w:val="00D145D9"/>
    <w:rsid w:val="00D153B4"/>
    <w:rsid w:val="00D15DA1"/>
    <w:rsid w:val="00D16518"/>
    <w:rsid w:val="00D16975"/>
    <w:rsid w:val="00D16BEF"/>
    <w:rsid w:val="00D17B37"/>
    <w:rsid w:val="00D20125"/>
    <w:rsid w:val="00D25F65"/>
    <w:rsid w:val="00D301EF"/>
    <w:rsid w:val="00D31BE6"/>
    <w:rsid w:val="00D324F1"/>
    <w:rsid w:val="00D32E61"/>
    <w:rsid w:val="00D36BF3"/>
    <w:rsid w:val="00D40A3E"/>
    <w:rsid w:val="00D41FB2"/>
    <w:rsid w:val="00D42BCE"/>
    <w:rsid w:val="00D42CA8"/>
    <w:rsid w:val="00D47002"/>
    <w:rsid w:val="00D478FE"/>
    <w:rsid w:val="00D516DA"/>
    <w:rsid w:val="00D51F28"/>
    <w:rsid w:val="00D53F0D"/>
    <w:rsid w:val="00D60188"/>
    <w:rsid w:val="00D605E2"/>
    <w:rsid w:val="00D62F4B"/>
    <w:rsid w:val="00D635D0"/>
    <w:rsid w:val="00D64F7D"/>
    <w:rsid w:val="00D65A5F"/>
    <w:rsid w:val="00D67077"/>
    <w:rsid w:val="00D67B13"/>
    <w:rsid w:val="00D71082"/>
    <w:rsid w:val="00D73301"/>
    <w:rsid w:val="00D74BA4"/>
    <w:rsid w:val="00D7518A"/>
    <w:rsid w:val="00D77871"/>
    <w:rsid w:val="00D82ABF"/>
    <w:rsid w:val="00D82C8F"/>
    <w:rsid w:val="00D85F17"/>
    <w:rsid w:val="00D863A8"/>
    <w:rsid w:val="00D86803"/>
    <w:rsid w:val="00D8762F"/>
    <w:rsid w:val="00D8795B"/>
    <w:rsid w:val="00D93041"/>
    <w:rsid w:val="00D97209"/>
    <w:rsid w:val="00D97481"/>
    <w:rsid w:val="00DA0E6E"/>
    <w:rsid w:val="00DA1A0C"/>
    <w:rsid w:val="00DA2365"/>
    <w:rsid w:val="00DA2AE3"/>
    <w:rsid w:val="00DA31F3"/>
    <w:rsid w:val="00DA54E9"/>
    <w:rsid w:val="00DA6011"/>
    <w:rsid w:val="00DA6428"/>
    <w:rsid w:val="00DA6A5E"/>
    <w:rsid w:val="00DB073C"/>
    <w:rsid w:val="00DB1A84"/>
    <w:rsid w:val="00DB2E14"/>
    <w:rsid w:val="00DB672C"/>
    <w:rsid w:val="00DC06AE"/>
    <w:rsid w:val="00DC147E"/>
    <w:rsid w:val="00DC232D"/>
    <w:rsid w:val="00DC3B93"/>
    <w:rsid w:val="00DC51F6"/>
    <w:rsid w:val="00DC57E2"/>
    <w:rsid w:val="00DD0994"/>
    <w:rsid w:val="00DD3D34"/>
    <w:rsid w:val="00DD4DAB"/>
    <w:rsid w:val="00DD55AF"/>
    <w:rsid w:val="00DD6635"/>
    <w:rsid w:val="00DE2779"/>
    <w:rsid w:val="00DE30F3"/>
    <w:rsid w:val="00DE4EF4"/>
    <w:rsid w:val="00DE6152"/>
    <w:rsid w:val="00DE7281"/>
    <w:rsid w:val="00DF01C1"/>
    <w:rsid w:val="00DF0480"/>
    <w:rsid w:val="00DF0850"/>
    <w:rsid w:val="00DF0AB6"/>
    <w:rsid w:val="00DF1059"/>
    <w:rsid w:val="00DF19B8"/>
    <w:rsid w:val="00DF2E7E"/>
    <w:rsid w:val="00DF398E"/>
    <w:rsid w:val="00DF47EF"/>
    <w:rsid w:val="00DF53DA"/>
    <w:rsid w:val="00DF5D16"/>
    <w:rsid w:val="00DF71ED"/>
    <w:rsid w:val="00E0248A"/>
    <w:rsid w:val="00E04500"/>
    <w:rsid w:val="00E0476C"/>
    <w:rsid w:val="00E04DD6"/>
    <w:rsid w:val="00E06858"/>
    <w:rsid w:val="00E10523"/>
    <w:rsid w:val="00E144AE"/>
    <w:rsid w:val="00E15122"/>
    <w:rsid w:val="00E15257"/>
    <w:rsid w:val="00E15790"/>
    <w:rsid w:val="00E163F0"/>
    <w:rsid w:val="00E17126"/>
    <w:rsid w:val="00E177A2"/>
    <w:rsid w:val="00E2380F"/>
    <w:rsid w:val="00E23B70"/>
    <w:rsid w:val="00E26036"/>
    <w:rsid w:val="00E27020"/>
    <w:rsid w:val="00E306FC"/>
    <w:rsid w:val="00E347DD"/>
    <w:rsid w:val="00E35B04"/>
    <w:rsid w:val="00E36DDC"/>
    <w:rsid w:val="00E3759E"/>
    <w:rsid w:val="00E37F35"/>
    <w:rsid w:val="00E41C9C"/>
    <w:rsid w:val="00E43592"/>
    <w:rsid w:val="00E45137"/>
    <w:rsid w:val="00E46B03"/>
    <w:rsid w:val="00E50EFC"/>
    <w:rsid w:val="00E536B1"/>
    <w:rsid w:val="00E53E8D"/>
    <w:rsid w:val="00E54889"/>
    <w:rsid w:val="00E562EB"/>
    <w:rsid w:val="00E564B2"/>
    <w:rsid w:val="00E5694A"/>
    <w:rsid w:val="00E613E1"/>
    <w:rsid w:val="00E639E0"/>
    <w:rsid w:val="00E6488D"/>
    <w:rsid w:val="00E64F0A"/>
    <w:rsid w:val="00E652E0"/>
    <w:rsid w:val="00E71291"/>
    <w:rsid w:val="00E71613"/>
    <w:rsid w:val="00E719F6"/>
    <w:rsid w:val="00E71C5D"/>
    <w:rsid w:val="00E71D87"/>
    <w:rsid w:val="00E74D7B"/>
    <w:rsid w:val="00E75CCD"/>
    <w:rsid w:val="00E775A5"/>
    <w:rsid w:val="00E77A1B"/>
    <w:rsid w:val="00E77FF2"/>
    <w:rsid w:val="00E80223"/>
    <w:rsid w:val="00E85844"/>
    <w:rsid w:val="00E8654F"/>
    <w:rsid w:val="00E86594"/>
    <w:rsid w:val="00E86E86"/>
    <w:rsid w:val="00E8715E"/>
    <w:rsid w:val="00E90497"/>
    <w:rsid w:val="00E9179E"/>
    <w:rsid w:val="00E91CCE"/>
    <w:rsid w:val="00E95BE9"/>
    <w:rsid w:val="00E978A8"/>
    <w:rsid w:val="00E97C1C"/>
    <w:rsid w:val="00E97F59"/>
    <w:rsid w:val="00EA2F25"/>
    <w:rsid w:val="00EA45D5"/>
    <w:rsid w:val="00EA4FBB"/>
    <w:rsid w:val="00EA5A35"/>
    <w:rsid w:val="00EA5D41"/>
    <w:rsid w:val="00EA63BC"/>
    <w:rsid w:val="00EA6878"/>
    <w:rsid w:val="00EA716C"/>
    <w:rsid w:val="00EB12A0"/>
    <w:rsid w:val="00EB1974"/>
    <w:rsid w:val="00EB1F20"/>
    <w:rsid w:val="00EB3602"/>
    <w:rsid w:val="00EB377D"/>
    <w:rsid w:val="00EB3963"/>
    <w:rsid w:val="00EB4F38"/>
    <w:rsid w:val="00EB59A8"/>
    <w:rsid w:val="00EB5C35"/>
    <w:rsid w:val="00EB5D0A"/>
    <w:rsid w:val="00EC0CF5"/>
    <w:rsid w:val="00EC20F4"/>
    <w:rsid w:val="00EC24FA"/>
    <w:rsid w:val="00EC3497"/>
    <w:rsid w:val="00EC428B"/>
    <w:rsid w:val="00EC4E2A"/>
    <w:rsid w:val="00EC6188"/>
    <w:rsid w:val="00ED2032"/>
    <w:rsid w:val="00ED21C4"/>
    <w:rsid w:val="00ED2512"/>
    <w:rsid w:val="00ED465E"/>
    <w:rsid w:val="00ED475C"/>
    <w:rsid w:val="00ED5552"/>
    <w:rsid w:val="00ED6FDB"/>
    <w:rsid w:val="00EE068D"/>
    <w:rsid w:val="00EE1291"/>
    <w:rsid w:val="00EE198B"/>
    <w:rsid w:val="00EE1D16"/>
    <w:rsid w:val="00EE2580"/>
    <w:rsid w:val="00EE4E09"/>
    <w:rsid w:val="00EE526C"/>
    <w:rsid w:val="00EE5A14"/>
    <w:rsid w:val="00EF26A9"/>
    <w:rsid w:val="00EF45CE"/>
    <w:rsid w:val="00F00246"/>
    <w:rsid w:val="00F02EF0"/>
    <w:rsid w:val="00F0360B"/>
    <w:rsid w:val="00F038EB"/>
    <w:rsid w:val="00F05EFF"/>
    <w:rsid w:val="00F066BC"/>
    <w:rsid w:val="00F06E2A"/>
    <w:rsid w:val="00F07CA6"/>
    <w:rsid w:val="00F1378A"/>
    <w:rsid w:val="00F14F3E"/>
    <w:rsid w:val="00F158F3"/>
    <w:rsid w:val="00F159C1"/>
    <w:rsid w:val="00F16630"/>
    <w:rsid w:val="00F16769"/>
    <w:rsid w:val="00F177D8"/>
    <w:rsid w:val="00F214AD"/>
    <w:rsid w:val="00F23783"/>
    <w:rsid w:val="00F2491C"/>
    <w:rsid w:val="00F263AC"/>
    <w:rsid w:val="00F27D55"/>
    <w:rsid w:val="00F31BCE"/>
    <w:rsid w:val="00F32BFD"/>
    <w:rsid w:val="00F34E7C"/>
    <w:rsid w:val="00F360B6"/>
    <w:rsid w:val="00F37160"/>
    <w:rsid w:val="00F37B22"/>
    <w:rsid w:val="00F405CE"/>
    <w:rsid w:val="00F410EC"/>
    <w:rsid w:val="00F41F68"/>
    <w:rsid w:val="00F424AA"/>
    <w:rsid w:val="00F4386C"/>
    <w:rsid w:val="00F43DE1"/>
    <w:rsid w:val="00F43FD4"/>
    <w:rsid w:val="00F508FE"/>
    <w:rsid w:val="00F51D43"/>
    <w:rsid w:val="00F538E3"/>
    <w:rsid w:val="00F5483A"/>
    <w:rsid w:val="00F55CC9"/>
    <w:rsid w:val="00F56460"/>
    <w:rsid w:val="00F61589"/>
    <w:rsid w:val="00F61E8B"/>
    <w:rsid w:val="00F6635B"/>
    <w:rsid w:val="00F667DC"/>
    <w:rsid w:val="00F67E78"/>
    <w:rsid w:val="00F70566"/>
    <w:rsid w:val="00F7085F"/>
    <w:rsid w:val="00F71295"/>
    <w:rsid w:val="00F717A1"/>
    <w:rsid w:val="00F717D6"/>
    <w:rsid w:val="00F721E4"/>
    <w:rsid w:val="00F726C4"/>
    <w:rsid w:val="00F72CB8"/>
    <w:rsid w:val="00F73C01"/>
    <w:rsid w:val="00F73F87"/>
    <w:rsid w:val="00F773DD"/>
    <w:rsid w:val="00F82CAD"/>
    <w:rsid w:val="00F83E6C"/>
    <w:rsid w:val="00F845D4"/>
    <w:rsid w:val="00F84820"/>
    <w:rsid w:val="00F8501B"/>
    <w:rsid w:val="00F85698"/>
    <w:rsid w:val="00F86292"/>
    <w:rsid w:val="00F87990"/>
    <w:rsid w:val="00F903C3"/>
    <w:rsid w:val="00F91460"/>
    <w:rsid w:val="00F93357"/>
    <w:rsid w:val="00F9490D"/>
    <w:rsid w:val="00F97201"/>
    <w:rsid w:val="00FA1DEA"/>
    <w:rsid w:val="00FA4B24"/>
    <w:rsid w:val="00FA54DD"/>
    <w:rsid w:val="00FA784A"/>
    <w:rsid w:val="00FB0062"/>
    <w:rsid w:val="00FB040B"/>
    <w:rsid w:val="00FB13B2"/>
    <w:rsid w:val="00FB1707"/>
    <w:rsid w:val="00FB34BA"/>
    <w:rsid w:val="00FB3846"/>
    <w:rsid w:val="00FB3DB2"/>
    <w:rsid w:val="00FB4D4B"/>
    <w:rsid w:val="00FB61DE"/>
    <w:rsid w:val="00FB626E"/>
    <w:rsid w:val="00FB62AB"/>
    <w:rsid w:val="00FB65B8"/>
    <w:rsid w:val="00FB7088"/>
    <w:rsid w:val="00FB7FA0"/>
    <w:rsid w:val="00FC2310"/>
    <w:rsid w:val="00FC2DE1"/>
    <w:rsid w:val="00FC2FA5"/>
    <w:rsid w:val="00FC398F"/>
    <w:rsid w:val="00FC48F7"/>
    <w:rsid w:val="00FC4EBB"/>
    <w:rsid w:val="00FC52FC"/>
    <w:rsid w:val="00FC5597"/>
    <w:rsid w:val="00FC639A"/>
    <w:rsid w:val="00FC668C"/>
    <w:rsid w:val="00FC67B4"/>
    <w:rsid w:val="00FC7224"/>
    <w:rsid w:val="00FD009C"/>
    <w:rsid w:val="00FD0309"/>
    <w:rsid w:val="00FD098B"/>
    <w:rsid w:val="00FD39ED"/>
    <w:rsid w:val="00FD3FC5"/>
    <w:rsid w:val="00FD4103"/>
    <w:rsid w:val="00FD4633"/>
    <w:rsid w:val="00FD73C7"/>
    <w:rsid w:val="00FE1951"/>
    <w:rsid w:val="00FE3785"/>
    <w:rsid w:val="00FE4827"/>
    <w:rsid w:val="00FE4A66"/>
    <w:rsid w:val="00FE7DD4"/>
    <w:rsid w:val="00FF1218"/>
    <w:rsid w:val="00FF25F4"/>
    <w:rsid w:val="00FF30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98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footer" w:qFormat="1"/>
    <w:lsdException w:name="caption" w:uiPriority="0" w:qFormat="1"/>
    <w:lsdException w:name="footnote reference" w:qFormat="1"/>
    <w:lsdException w:name="annotation reference" w:uiPriority="0"/>
    <w:lsdException w:name="page number"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9E0"/>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F845D4"/>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sq-AL"/>
    </w:rPr>
  </w:style>
  <w:style w:type="paragraph" w:styleId="Heading2">
    <w:name w:val="heading 2"/>
    <w:basedOn w:val="Normal"/>
    <w:next w:val="Normal"/>
    <w:link w:val="Heading2Char"/>
    <w:uiPriority w:val="9"/>
    <w:unhideWhenUsed/>
    <w:qFormat/>
    <w:rsid w:val="00BD24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2E739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076E72"/>
    <w:pPr>
      <w:keepNext/>
      <w:keepLines/>
      <w:spacing w:before="40"/>
      <w:outlineLvl w:val="3"/>
    </w:pPr>
    <w:rPr>
      <w:rFonts w:asciiTheme="majorHAnsi" w:eastAsiaTheme="majorEastAsia" w:hAnsiTheme="majorHAnsi" w:cstheme="majorBidi"/>
      <w:i/>
      <w:iCs/>
      <w:color w:val="365F91" w:themeColor="accent1" w:themeShade="BF"/>
      <w:sz w:val="24"/>
      <w:szCs w:val="24"/>
      <w:lang w:val="sq-AL" w:bidi="en-US"/>
    </w:rPr>
  </w:style>
  <w:style w:type="paragraph" w:styleId="Heading5">
    <w:name w:val="heading 5"/>
    <w:basedOn w:val="Normal"/>
    <w:next w:val="Normal"/>
    <w:link w:val="Heading5Char"/>
    <w:unhideWhenUsed/>
    <w:qFormat/>
    <w:rsid w:val="006E40A5"/>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A912FC"/>
    <w:pPr>
      <w:keepNext/>
      <w:keepLines/>
      <w:spacing w:before="200"/>
      <w:outlineLvl w:val="5"/>
    </w:pPr>
    <w:rPr>
      <w:rFonts w:asciiTheme="majorHAnsi" w:eastAsiaTheme="majorEastAsia" w:hAnsiTheme="majorHAnsi" w:cstheme="majorBidi"/>
      <w:i/>
      <w:iCs/>
      <w:color w:val="243F60" w:themeColor="accent1" w:themeShade="7F"/>
      <w:sz w:val="24"/>
      <w:szCs w:val="24"/>
      <w:lang w:val="sq-AL" w:bidi="en-US"/>
    </w:rPr>
  </w:style>
  <w:style w:type="paragraph" w:styleId="Heading7">
    <w:name w:val="heading 7"/>
    <w:basedOn w:val="Normal"/>
    <w:next w:val="Normal"/>
    <w:link w:val="Heading7Char"/>
    <w:unhideWhenUsed/>
    <w:qFormat/>
    <w:rsid w:val="00076E72"/>
    <w:pPr>
      <w:spacing w:before="240" w:after="60"/>
      <w:outlineLvl w:val="6"/>
    </w:pPr>
    <w:rPr>
      <w:rFonts w:ascii="Calibri" w:hAnsi="Calibri"/>
      <w:sz w:val="24"/>
      <w:szCs w:val="24"/>
      <w:lang w:val="sq-AL"/>
    </w:rPr>
  </w:style>
  <w:style w:type="paragraph" w:styleId="Heading8">
    <w:name w:val="heading 8"/>
    <w:basedOn w:val="Normal"/>
    <w:next w:val="Normal"/>
    <w:link w:val="Heading8Char"/>
    <w:uiPriority w:val="9"/>
    <w:semiHidden/>
    <w:unhideWhenUsed/>
    <w:qFormat/>
    <w:rsid w:val="00A912FC"/>
    <w:pPr>
      <w:keepNext/>
      <w:keepLines/>
      <w:spacing w:before="40"/>
      <w:outlineLvl w:val="7"/>
    </w:pPr>
    <w:rPr>
      <w:rFonts w:asciiTheme="majorHAnsi" w:eastAsiaTheme="majorEastAsia" w:hAnsiTheme="majorHAnsi" w:cstheme="majorBidi"/>
      <w:color w:val="272727" w:themeColor="text1" w:themeTint="D8"/>
      <w:sz w:val="21"/>
      <w:szCs w:val="21"/>
      <w:lang w:val="sq-AL" w:bidi="en-US"/>
    </w:rPr>
  </w:style>
  <w:style w:type="paragraph" w:styleId="Heading9">
    <w:name w:val="heading 9"/>
    <w:basedOn w:val="Normal"/>
    <w:next w:val="Normal"/>
    <w:link w:val="Heading9Char"/>
    <w:uiPriority w:val="9"/>
    <w:semiHidden/>
    <w:unhideWhenUsed/>
    <w:qFormat/>
    <w:rsid w:val="00076E72"/>
    <w:pPr>
      <w:keepNext/>
      <w:keepLines/>
      <w:spacing w:before="40" w:line="259" w:lineRule="auto"/>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nhideWhenUsed/>
    <w:qFormat/>
    <w:rsid w:val="003D69E0"/>
    <w:pPr>
      <w:jc w:val="center"/>
    </w:pPr>
    <w:rPr>
      <w:rFonts w:ascii="Bookman Old Style" w:hAnsi="Bookman Old Style"/>
      <w:b/>
      <w:bCs/>
      <w:noProof/>
      <w:sz w:val="28"/>
      <w:szCs w:val="24"/>
      <w:lang w:val="en-GB"/>
    </w:rPr>
  </w:style>
  <w:style w:type="paragraph" w:styleId="Title">
    <w:name w:val="Title"/>
    <w:aliases w:val="justifed"/>
    <w:basedOn w:val="Normal"/>
    <w:link w:val="TitleChar"/>
    <w:qFormat/>
    <w:rsid w:val="003D69E0"/>
    <w:pPr>
      <w:jc w:val="center"/>
    </w:pPr>
    <w:rPr>
      <w:sz w:val="28"/>
      <w:szCs w:val="28"/>
    </w:rPr>
  </w:style>
  <w:style w:type="character" w:customStyle="1" w:styleId="TitleChar">
    <w:name w:val="Title Char"/>
    <w:aliases w:val="justifed Char"/>
    <w:basedOn w:val="DefaultParagraphFont"/>
    <w:link w:val="Title"/>
    <w:rsid w:val="003D69E0"/>
    <w:rPr>
      <w:rFonts w:ascii="Times New Roman" w:eastAsia="Times New Roman" w:hAnsi="Times New Roman" w:cs="Times New Roman"/>
      <w:sz w:val="28"/>
      <w:szCs w:val="28"/>
      <w:lang w:val="en-US"/>
    </w:rPr>
  </w:style>
  <w:style w:type="paragraph" w:styleId="ListParagraph">
    <w:name w:val="List Paragraph"/>
    <w:aliases w:val="List Paragraph2,Normal 1,Dot pt,List Paragraph1,F5 List Paragraph,List Paragraph Char Char Char,Indicator Text,Colorful List - Accent 11,Numbered Para 1,Bullet 1,Bullet Points,MAIN CONTENT,Párrafo de lista,Recommendation,List Paragraph 1"/>
    <w:basedOn w:val="Normal"/>
    <w:link w:val="ListParagraphChar"/>
    <w:uiPriority w:val="34"/>
    <w:qFormat/>
    <w:rsid w:val="003D69E0"/>
    <w:pPr>
      <w:ind w:left="720"/>
      <w:contextualSpacing/>
    </w:pPr>
  </w:style>
  <w:style w:type="paragraph" w:customStyle="1" w:styleId="StyleStyleCentered">
    <w:name w:val="Style Style + Centered"/>
    <w:basedOn w:val="Normal"/>
    <w:qFormat/>
    <w:rsid w:val="003D69E0"/>
    <w:pPr>
      <w:widowControl w:val="0"/>
      <w:autoSpaceDE w:val="0"/>
      <w:autoSpaceDN w:val="0"/>
      <w:adjustRightInd w:val="0"/>
      <w:jc w:val="center"/>
    </w:pPr>
    <w:rPr>
      <w:sz w:val="24"/>
    </w:rPr>
  </w:style>
  <w:style w:type="paragraph" w:styleId="Footer">
    <w:name w:val="footer"/>
    <w:basedOn w:val="Normal"/>
    <w:link w:val="FooterChar"/>
    <w:uiPriority w:val="99"/>
    <w:unhideWhenUsed/>
    <w:qFormat/>
    <w:rsid w:val="003D69E0"/>
    <w:pPr>
      <w:tabs>
        <w:tab w:val="center" w:pos="4513"/>
        <w:tab w:val="right" w:pos="9026"/>
      </w:tabs>
    </w:pPr>
  </w:style>
  <w:style w:type="character" w:customStyle="1" w:styleId="FooterChar">
    <w:name w:val="Footer Char"/>
    <w:basedOn w:val="DefaultParagraphFont"/>
    <w:link w:val="Footer"/>
    <w:uiPriority w:val="99"/>
    <w:rsid w:val="003D69E0"/>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unhideWhenUsed/>
    <w:rsid w:val="003D69E0"/>
    <w:rPr>
      <w:rFonts w:ascii="Tahoma" w:hAnsi="Tahoma" w:cs="Tahoma"/>
      <w:sz w:val="16"/>
      <w:szCs w:val="16"/>
    </w:rPr>
  </w:style>
  <w:style w:type="character" w:customStyle="1" w:styleId="BalloonTextChar">
    <w:name w:val="Balloon Text Char"/>
    <w:basedOn w:val="DefaultParagraphFont"/>
    <w:link w:val="BalloonText"/>
    <w:uiPriority w:val="99"/>
    <w:rsid w:val="003D69E0"/>
    <w:rPr>
      <w:rFonts w:ascii="Tahoma" w:eastAsia="Times New Roman" w:hAnsi="Tahoma" w:cs="Tahoma"/>
      <w:sz w:val="16"/>
      <w:szCs w:val="16"/>
      <w:lang w:val="en-US"/>
    </w:rPr>
  </w:style>
  <w:style w:type="character" w:customStyle="1" w:styleId="Heading2Char">
    <w:name w:val="Heading 2 Char"/>
    <w:basedOn w:val="DefaultParagraphFont"/>
    <w:link w:val="Heading2"/>
    <w:uiPriority w:val="9"/>
    <w:rsid w:val="00BD2476"/>
    <w:rPr>
      <w:rFonts w:asciiTheme="majorHAnsi" w:eastAsiaTheme="majorEastAsia" w:hAnsiTheme="majorHAnsi" w:cstheme="majorBidi"/>
      <w:b/>
      <w:bCs/>
      <w:color w:val="4F81BD" w:themeColor="accent1"/>
      <w:sz w:val="26"/>
      <w:szCs w:val="26"/>
      <w:lang w:val="en-US"/>
    </w:rPr>
  </w:style>
  <w:style w:type="paragraph" w:customStyle="1" w:styleId="Style10">
    <w:name w:val="Style10"/>
    <w:basedOn w:val="Normal"/>
    <w:uiPriority w:val="99"/>
    <w:qFormat/>
    <w:rsid w:val="006E7E2B"/>
    <w:pPr>
      <w:ind w:left="4320" w:hanging="2520"/>
      <w:jc w:val="both"/>
    </w:pPr>
    <w:rPr>
      <w:sz w:val="24"/>
      <w:szCs w:val="24"/>
      <w:lang w:val="sq-AL"/>
    </w:rPr>
  </w:style>
  <w:style w:type="character" w:customStyle="1" w:styleId="Heading5Char">
    <w:name w:val="Heading 5 Char"/>
    <w:basedOn w:val="DefaultParagraphFont"/>
    <w:link w:val="Heading5"/>
    <w:rsid w:val="006E40A5"/>
    <w:rPr>
      <w:rFonts w:asciiTheme="majorHAnsi" w:eastAsiaTheme="majorEastAsia" w:hAnsiTheme="majorHAnsi" w:cstheme="majorBidi"/>
      <w:color w:val="243F60" w:themeColor="accent1" w:themeShade="7F"/>
      <w:sz w:val="20"/>
      <w:szCs w:val="20"/>
      <w:lang w:val="en-US"/>
    </w:rPr>
  </w:style>
  <w:style w:type="paragraph" w:customStyle="1" w:styleId="Style4">
    <w:name w:val="Style4"/>
    <w:basedOn w:val="Normal"/>
    <w:uiPriority w:val="99"/>
    <w:qFormat/>
    <w:rsid w:val="006E40A5"/>
    <w:pPr>
      <w:jc w:val="center"/>
    </w:pPr>
    <w:rPr>
      <w:sz w:val="24"/>
      <w:szCs w:val="24"/>
      <w:lang w:val="sq-AL"/>
    </w:rPr>
  </w:style>
  <w:style w:type="character" w:customStyle="1" w:styleId="ListParagraphChar">
    <w:name w:val="List Paragraph Char"/>
    <w:aliases w:val="List Paragraph2 Char,Normal 1 Char,Dot pt Char,List Paragraph1 Char,F5 List Paragraph Char,List Paragraph Char Char Char Char,Indicator Text Char,Colorful List - Accent 11 Char,Numbered Para 1 Char,Bullet 1 Char,Bullet Points Char"/>
    <w:basedOn w:val="DefaultParagraphFont"/>
    <w:link w:val="ListParagraph"/>
    <w:uiPriority w:val="34"/>
    <w:qFormat/>
    <w:locked/>
    <w:rsid w:val="00621A81"/>
    <w:rPr>
      <w:rFonts w:ascii="Times New Roman" w:eastAsia="Times New Roman" w:hAnsi="Times New Roman" w:cs="Times New Roman"/>
      <w:sz w:val="20"/>
      <w:szCs w:val="20"/>
      <w:lang w:val="en-US"/>
    </w:rPr>
  </w:style>
  <w:style w:type="paragraph" w:styleId="FootnoteText">
    <w:name w:val="footnote text"/>
    <w:aliases w:val="Footnote Text Char1 Char Char Char,Footnote Text Char Char Char Char Char,single space,footnote text,fn,FOOTNOTES,Footnote Text Char1,Footnote Text Char2 Char,Footnote Text Char1 Char Char,Footnote Text Char2 Char Char Char, Char Char,Char"/>
    <w:basedOn w:val="Normal"/>
    <w:link w:val="FootnoteTextChar"/>
    <w:uiPriority w:val="99"/>
    <w:unhideWhenUsed/>
    <w:qFormat/>
    <w:rsid w:val="002F0A6A"/>
  </w:style>
  <w:style w:type="character" w:customStyle="1" w:styleId="FootnoteTextChar">
    <w:name w:val="Footnote Text Char"/>
    <w:aliases w:val="Footnote Text Char1 Char Char Char Char,Footnote Text Char Char Char Char Char Char,single space Char,footnote text Char,fn Char,FOOTNOTES Char,Footnote Text Char1 Char,Footnote Text Char2 Char Char,Footnote Text Char1 Char Char Char1"/>
    <w:basedOn w:val="DefaultParagraphFont"/>
    <w:link w:val="FootnoteText"/>
    <w:uiPriority w:val="99"/>
    <w:qFormat/>
    <w:rsid w:val="002F0A6A"/>
    <w:rPr>
      <w:rFonts w:ascii="Times New Roman" w:eastAsia="Times New Roman" w:hAnsi="Times New Roman" w:cs="Times New Roman"/>
      <w:sz w:val="20"/>
      <w:szCs w:val="20"/>
      <w:lang w:val="en-US"/>
    </w:rPr>
  </w:style>
  <w:style w:type="character" w:styleId="FootnoteReference">
    <w:name w:val="footnote reference"/>
    <w:aliases w:val="Rimando nota a piè di pagina2,BVI fnr,Footnote symbol,Footnote Reference Arial,Car Char Car Char Car Char Char Char Char Char Char Char,Footnote Refernece Char Char,Footnote Refernece Char,ftref,callout,fr,BVI fnr Char,titre, titre"/>
    <w:basedOn w:val="DefaultParagraphFont"/>
    <w:link w:val="Char2"/>
    <w:uiPriority w:val="99"/>
    <w:unhideWhenUsed/>
    <w:qFormat/>
    <w:rsid w:val="002F0A6A"/>
    <w:rPr>
      <w:vertAlign w:val="superscript"/>
    </w:rPr>
  </w:style>
  <w:style w:type="paragraph" w:customStyle="1" w:styleId="Default">
    <w:name w:val="Default"/>
    <w:rsid w:val="00122927"/>
    <w:pPr>
      <w:autoSpaceDE w:val="0"/>
      <w:autoSpaceDN w:val="0"/>
      <w:adjustRightInd w:val="0"/>
      <w:spacing w:after="0" w:line="240" w:lineRule="auto"/>
    </w:pPr>
    <w:rPr>
      <w:rFonts w:ascii="Garamond" w:eastAsia="Calibri" w:hAnsi="Garamond" w:cs="Garamond"/>
      <w:color w:val="000000"/>
      <w:sz w:val="24"/>
      <w:szCs w:val="24"/>
      <w:lang w:val="en-US"/>
    </w:rPr>
  </w:style>
  <w:style w:type="character" w:customStyle="1" w:styleId="Bodytext">
    <w:name w:val="Body text_"/>
    <w:basedOn w:val="DefaultParagraphFont"/>
    <w:link w:val="BodyText1"/>
    <w:rsid w:val="00122927"/>
    <w:rPr>
      <w:rFonts w:ascii="Bookman Old Style" w:eastAsia="Bookman Old Style" w:hAnsi="Bookman Old Style" w:cs="Bookman Old Style"/>
      <w:sz w:val="26"/>
      <w:szCs w:val="26"/>
      <w:shd w:val="clear" w:color="auto" w:fill="FFFFFF"/>
    </w:rPr>
  </w:style>
  <w:style w:type="paragraph" w:customStyle="1" w:styleId="BodyText1">
    <w:name w:val="Body Text1"/>
    <w:basedOn w:val="Normal"/>
    <w:link w:val="Bodytext"/>
    <w:qFormat/>
    <w:rsid w:val="00122927"/>
    <w:pPr>
      <w:widowControl w:val="0"/>
      <w:shd w:val="clear" w:color="auto" w:fill="FFFFFF"/>
      <w:spacing w:line="314" w:lineRule="exact"/>
      <w:ind w:hanging="400"/>
      <w:jc w:val="both"/>
    </w:pPr>
    <w:rPr>
      <w:rFonts w:ascii="Bookman Old Style" w:eastAsia="Bookman Old Style" w:hAnsi="Bookman Old Style" w:cs="Bookman Old Style"/>
      <w:sz w:val="26"/>
      <w:szCs w:val="26"/>
      <w:lang w:val="sq-AL"/>
    </w:rPr>
  </w:style>
  <w:style w:type="paragraph" w:styleId="BodyText0">
    <w:name w:val="Body Text"/>
    <w:basedOn w:val="Normal"/>
    <w:link w:val="BodyTextChar"/>
    <w:uiPriority w:val="99"/>
    <w:unhideWhenUsed/>
    <w:qFormat/>
    <w:rsid w:val="002E7390"/>
    <w:pPr>
      <w:spacing w:after="120"/>
    </w:pPr>
    <w:rPr>
      <w:rFonts w:eastAsia="MS Mincho"/>
      <w:sz w:val="24"/>
      <w:szCs w:val="24"/>
    </w:rPr>
  </w:style>
  <w:style w:type="character" w:customStyle="1" w:styleId="BodyTextChar">
    <w:name w:val="Body Text Char"/>
    <w:basedOn w:val="DefaultParagraphFont"/>
    <w:link w:val="BodyText0"/>
    <w:uiPriority w:val="99"/>
    <w:rsid w:val="002E7390"/>
    <w:rPr>
      <w:rFonts w:ascii="Times New Roman" w:eastAsia="MS Mincho" w:hAnsi="Times New Roman" w:cs="Times New Roman"/>
      <w:sz w:val="24"/>
      <w:szCs w:val="24"/>
    </w:rPr>
  </w:style>
  <w:style w:type="character" w:customStyle="1" w:styleId="Heading3Char">
    <w:name w:val="Heading 3 Char"/>
    <w:basedOn w:val="DefaultParagraphFont"/>
    <w:link w:val="Heading3"/>
    <w:rsid w:val="002E7390"/>
    <w:rPr>
      <w:rFonts w:asciiTheme="majorHAnsi" w:eastAsiaTheme="majorEastAsia" w:hAnsiTheme="majorHAnsi" w:cstheme="majorBidi"/>
      <w:b/>
      <w:bCs/>
      <w:color w:val="4F81BD" w:themeColor="accent1"/>
      <w:sz w:val="20"/>
      <w:szCs w:val="20"/>
      <w:lang w:val="en-US"/>
    </w:rPr>
  </w:style>
  <w:style w:type="character" w:styleId="PlaceholderText">
    <w:name w:val="Placeholder Text"/>
    <w:basedOn w:val="DefaultParagraphFont"/>
    <w:uiPriority w:val="99"/>
    <w:semiHidden/>
    <w:rsid w:val="007C5FCD"/>
    <w:rPr>
      <w:color w:val="808080"/>
    </w:rPr>
  </w:style>
  <w:style w:type="paragraph" w:styleId="BodyTextIndent3">
    <w:name w:val="Body Text Indent 3"/>
    <w:basedOn w:val="Normal"/>
    <w:link w:val="BodyTextIndent3Char"/>
    <w:uiPriority w:val="99"/>
    <w:unhideWhenUsed/>
    <w:rsid w:val="00CD5B3F"/>
    <w:pPr>
      <w:spacing w:after="120"/>
      <w:ind w:left="360"/>
    </w:pPr>
    <w:rPr>
      <w:sz w:val="16"/>
      <w:szCs w:val="16"/>
    </w:rPr>
  </w:style>
  <w:style w:type="character" w:customStyle="1" w:styleId="BodyTextIndent3Char">
    <w:name w:val="Body Text Indent 3 Char"/>
    <w:basedOn w:val="DefaultParagraphFont"/>
    <w:link w:val="BodyTextIndent3"/>
    <w:uiPriority w:val="99"/>
    <w:rsid w:val="00CD5B3F"/>
    <w:rPr>
      <w:rFonts w:ascii="Times New Roman" w:eastAsia="Times New Roman" w:hAnsi="Times New Roman" w:cs="Times New Roman"/>
      <w:sz w:val="16"/>
      <w:szCs w:val="16"/>
      <w:lang w:val="en-US"/>
    </w:rPr>
  </w:style>
  <w:style w:type="paragraph" w:styleId="BodyTextIndent">
    <w:name w:val="Body Text Indent"/>
    <w:basedOn w:val="Normal"/>
    <w:link w:val="BodyTextIndentChar"/>
    <w:uiPriority w:val="99"/>
    <w:unhideWhenUsed/>
    <w:rsid w:val="00CD5B3F"/>
    <w:pPr>
      <w:spacing w:after="120"/>
      <w:ind w:left="360"/>
    </w:pPr>
  </w:style>
  <w:style w:type="character" w:customStyle="1" w:styleId="BodyTextIndentChar">
    <w:name w:val="Body Text Indent Char"/>
    <w:basedOn w:val="DefaultParagraphFont"/>
    <w:link w:val="BodyTextIndent"/>
    <w:uiPriority w:val="99"/>
    <w:rsid w:val="00CD5B3F"/>
    <w:rPr>
      <w:rFonts w:ascii="Times New Roman" w:eastAsia="Times New Roman" w:hAnsi="Times New Roman" w:cs="Times New Roman"/>
      <w:sz w:val="20"/>
      <w:szCs w:val="20"/>
      <w:lang w:val="en-US"/>
    </w:rPr>
  </w:style>
  <w:style w:type="character" w:customStyle="1" w:styleId="bodytext2">
    <w:name w:val="bodytext"/>
    <w:basedOn w:val="DefaultParagraphFont"/>
    <w:rsid w:val="00F508FE"/>
  </w:style>
  <w:style w:type="character" w:styleId="Strong">
    <w:name w:val="Strong"/>
    <w:basedOn w:val="DefaultParagraphFont"/>
    <w:uiPriority w:val="22"/>
    <w:qFormat/>
    <w:rsid w:val="00F508FE"/>
    <w:rPr>
      <w:b/>
      <w:bCs/>
    </w:rPr>
  </w:style>
  <w:style w:type="character" w:customStyle="1" w:styleId="FontStyle11">
    <w:name w:val="Font Style11"/>
    <w:basedOn w:val="DefaultParagraphFont"/>
    <w:uiPriority w:val="99"/>
    <w:rsid w:val="0055687D"/>
    <w:rPr>
      <w:b/>
      <w:bCs/>
    </w:rPr>
  </w:style>
  <w:style w:type="character" w:customStyle="1" w:styleId="FontStyle13">
    <w:name w:val="Font Style13"/>
    <w:basedOn w:val="DefaultParagraphFont"/>
    <w:uiPriority w:val="99"/>
    <w:rsid w:val="0055687D"/>
    <w:rPr>
      <w:sz w:val="18"/>
      <w:szCs w:val="18"/>
    </w:rPr>
  </w:style>
  <w:style w:type="character" w:customStyle="1" w:styleId="FontStyle19">
    <w:name w:val="Font Style19"/>
    <w:basedOn w:val="DefaultParagraphFont"/>
    <w:uiPriority w:val="99"/>
    <w:rsid w:val="0055687D"/>
    <w:rPr>
      <w:sz w:val="16"/>
      <w:szCs w:val="16"/>
    </w:rPr>
  </w:style>
  <w:style w:type="character" w:customStyle="1" w:styleId="FontStyle12">
    <w:name w:val="Font Style12"/>
    <w:basedOn w:val="DefaultParagraphFont"/>
    <w:uiPriority w:val="99"/>
    <w:rsid w:val="0055687D"/>
    <w:rPr>
      <w:b/>
      <w:bCs/>
      <w:sz w:val="18"/>
      <w:szCs w:val="18"/>
    </w:rPr>
  </w:style>
  <w:style w:type="paragraph" w:customStyle="1" w:styleId="Style2">
    <w:name w:val="Style2"/>
    <w:basedOn w:val="Normal"/>
    <w:uiPriority w:val="99"/>
    <w:rsid w:val="0055687D"/>
    <w:pPr>
      <w:autoSpaceDE w:val="0"/>
      <w:autoSpaceDN w:val="0"/>
      <w:adjustRightInd w:val="0"/>
      <w:spacing w:line="212" w:lineRule="exact"/>
      <w:jc w:val="both"/>
    </w:pPr>
    <w:rPr>
      <w:rFonts w:eastAsiaTheme="minorHAnsi"/>
      <w:sz w:val="24"/>
      <w:szCs w:val="24"/>
    </w:rPr>
  </w:style>
  <w:style w:type="character" w:customStyle="1" w:styleId="FontStyle16">
    <w:name w:val="Font Style16"/>
    <w:basedOn w:val="DefaultParagraphFont"/>
    <w:uiPriority w:val="99"/>
    <w:rsid w:val="0055687D"/>
    <w:rPr>
      <w:rFonts w:ascii="Book Antiqua" w:hAnsi="Book Antiqua" w:cs="Book Antiqua"/>
      <w:sz w:val="22"/>
      <w:szCs w:val="22"/>
    </w:rPr>
  </w:style>
  <w:style w:type="character" w:customStyle="1" w:styleId="a">
    <w:name w:val="a"/>
    <w:basedOn w:val="DefaultParagraphFont"/>
    <w:uiPriority w:val="99"/>
    <w:rsid w:val="0055687D"/>
  </w:style>
  <w:style w:type="character" w:customStyle="1" w:styleId="markedcontent">
    <w:name w:val="markedcontent"/>
    <w:basedOn w:val="DefaultParagraphFont"/>
    <w:rsid w:val="00DA2AE3"/>
  </w:style>
  <w:style w:type="paragraph" w:styleId="NoSpacing">
    <w:name w:val="No Spacing"/>
    <w:basedOn w:val="Normal"/>
    <w:link w:val="NoSpacingChar"/>
    <w:uiPriority w:val="1"/>
    <w:qFormat/>
    <w:rsid w:val="008B4871"/>
    <w:pPr>
      <w:spacing w:before="100" w:beforeAutospacing="1" w:after="100" w:afterAutospacing="1"/>
    </w:pPr>
    <w:rPr>
      <w:sz w:val="24"/>
      <w:szCs w:val="24"/>
      <w:lang w:val="sq-AL" w:eastAsia="sq-AL"/>
    </w:rPr>
  </w:style>
  <w:style w:type="character" w:customStyle="1" w:styleId="NoSpacingChar">
    <w:name w:val="No Spacing Char"/>
    <w:link w:val="NoSpacing"/>
    <w:uiPriority w:val="1"/>
    <w:locked/>
    <w:rsid w:val="008B4871"/>
    <w:rPr>
      <w:rFonts w:ascii="Times New Roman" w:eastAsia="Times New Roman" w:hAnsi="Times New Roman" w:cs="Times New Roman"/>
      <w:sz w:val="24"/>
      <w:szCs w:val="24"/>
      <w:lang w:eastAsia="sq-AL"/>
    </w:rPr>
  </w:style>
  <w:style w:type="paragraph" w:styleId="Header">
    <w:name w:val="header"/>
    <w:basedOn w:val="Normal"/>
    <w:link w:val="HeaderChar"/>
    <w:uiPriority w:val="99"/>
    <w:unhideWhenUsed/>
    <w:rsid w:val="00FC48F7"/>
    <w:pPr>
      <w:tabs>
        <w:tab w:val="center" w:pos="4680"/>
        <w:tab w:val="right" w:pos="9360"/>
      </w:tabs>
    </w:pPr>
  </w:style>
  <w:style w:type="character" w:customStyle="1" w:styleId="HeaderChar">
    <w:name w:val="Header Char"/>
    <w:basedOn w:val="DefaultParagraphFont"/>
    <w:link w:val="Header"/>
    <w:uiPriority w:val="99"/>
    <w:rsid w:val="00FC48F7"/>
    <w:rPr>
      <w:rFonts w:ascii="Times New Roman" w:eastAsia="Times New Roman" w:hAnsi="Times New Roman" w:cs="Times New Roman"/>
      <w:sz w:val="20"/>
      <w:szCs w:val="20"/>
      <w:lang w:val="en-US"/>
    </w:rPr>
  </w:style>
  <w:style w:type="character" w:customStyle="1" w:styleId="bodytext13bookmanoldstyle">
    <w:name w:val="bodytext13bookmanoldstyle"/>
    <w:basedOn w:val="DefaultParagraphFont"/>
    <w:rsid w:val="00386E25"/>
  </w:style>
  <w:style w:type="character" w:customStyle="1" w:styleId="BodytextExact">
    <w:name w:val="Body text Exact"/>
    <w:rsid w:val="00A124A2"/>
    <w:rPr>
      <w:rFonts w:ascii="Times New Roman" w:eastAsia="Times New Roman" w:hAnsi="Times New Roman" w:cs="Times New Roman"/>
      <w:b w:val="0"/>
      <w:bCs w:val="0"/>
      <w:i w:val="0"/>
      <w:iCs w:val="0"/>
      <w:smallCaps w:val="0"/>
      <w:strike w:val="0"/>
      <w:spacing w:val="3"/>
      <w:sz w:val="26"/>
      <w:szCs w:val="26"/>
      <w:u w:val="none"/>
      <w:lang w:val="it-IT" w:eastAsia="it-IT" w:bidi="it-IT"/>
    </w:rPr>
  </w:style>
  <w:style w:type="table" w:styleId="TableGrid">
    <w:name w:val="Table Grid"/>
    <w:basedOn w:val="TableNormal"/>
    <w:uiPriority w:val="39"/>
    <w:rsid w:val="00501CC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501CC7"/>
    <w:pPr>
      <w:spacing w:before="100" w:beforeAutospacing="1" w:after="100" w:afterAutospacing="1"/>
    </w:pPr>
    <w:rPr>
      <w:sz w:val="24"/>
      <w:szCs w:val="24"/>
    </w:rPr>
  </w:style>
  <w:style w:type="numbering" w:customStyle="1" w:styleId="NoList1">
    <w:name w:val="No List1"/>
    <w:next w:val="NoList"/>
    <w:uiPriority w:val="99"/>
    <w:semiHidden/>
    <w:unhideWhenUsed/>
    <w:rsid w:val="00501CC7"/>
  </w:style>
  <w:style w:type="numbering" w:customStyle="1" w:styleId="NoList11">
    <w:name w:val="No List11"/>
    <w:next w:val="NoList"/>
    <w:uiPriority w:val="99"/>
    <w:semiHidden/>
    <w:unhideWhenUsed/>
    <w:rsid w:val="00501CC7"/>
  </w:style>
  <w:style w:type="character" w:styleId="Hyperlink">
    <w:name w:val="Hyperlink"/>
    <w:basedOn w:val="DefaultParagraphFont"/>
    <w:uiPriority w:val="99"/>
    <w:unhideWhenUsed/>
    <w:rsid w:val="00501CC7"/>
    <w:rPr>
      <w:color w:val="0000FF"/>
      <w:u w:val="single"/>
    </w:rPr>
  </w:style>
  <w:style w:type="character" w:customStyle="1" w:styleId="ams">
    <w:name w:val="ams"/>
    <w:basedOn w:val="DefaultParagraphFont"/>
    <w:rsid w:val="00501CC7"/>
  </w:style>
  <w:style w:type="character" w:styleId="CommentReference">
    <w:name w:val="annotation reference"/>
    <w:basedOn w:val="DefaultParagraphFont"/>
    <w:unhideWhenUsed/>
    <w:rsid w:val="00501CC7"/>
    <w:rPr>
      <w:sz w:val="16"/>
      <w:szCs w:val="16"/>
    </w:rPr>
  </w:style>
  <w:style w:type="paragraph" w:styleId="CommentText">
    <w:name w:val="annotation text"/>
    <w:basedOn w:val="Normal"/>
    <w:link w:val="CommentTextChar"/>
    <w:unhideWhenUsed/>
    <w:rsid w:val="00501CC7"/>
    <w:pPr>
      <w:spacing w:after="160"/>
    </w:pPr>
    <w:rPr>
      <w:rFonts w:asciiTheme="minorHAnsi" w:eastAsiaTheme="minorHAnsi" w:hAnsiTheme="minorHAnsi" w:cstheme="minorBidi"/>
      <w:lang w:val="sq-AL"/>
    </w:rPr>
  </w:style>
  <w:style w:type="character" w:customStyle="1" w:styleId="CommentTextChar">
    <w:name w:val="Comment Text Char"/>
    <w:basedOn w:val="DefaultParagraphFont"/>
    <w:link w:val="CommentText"/>
    <w:rsid w:val="00501CC7"/>
    <w:rPr>
      <w:sz w:val="20"/>
      <w:szCs w:val="20"/>
    </w:rPr>
  </w:style>
  <w:style w:type="paragraph" w:styleId="CommentSubject">
    <w:name w:val="annotation subject"/>
    <w:basedOn w:val="CommentText"/>
    <w:next w:val="CommentText"/>
    <w:link w:val="CommentSubjectChar"/>
    <w:unhideWhenUsed/>
    <w:rsid w:val="00501CC7"/>
    <w:rPr>
      <w:b/>
      <w:bCs/>
    </w:rPr>
  </w:style>
  <w:style w:type="character" w:customStyle="1" w:styleId="CommentSubjectChar">
    <w:name w:val="Comment Subject Char"/>
    <w:basedOn w:val="CommentTextChar"/>
    <w:link w:val="CommentSubject"/>
    <w:rsid w:val="00501CC7"/>
    <w:rPr>
      <w:b/>
      <w:bCs/>
    </w:rPr>
  </w:style>
  <w:style w:type="character" w:customStyle="1" w:styleId="Heading1Char">
    <w:name w:val="Heading 1 Char"/>
    <w:basedOn w:val="DefaultParagraphFont"/>
    <w:link w:val="Heading1"/>
    <w:uiPriority w:val="9"/>
    <w:rsid w:val="00F845D4"/>
    <w:rPr>
      <w:rFonts w:asciiTheme="majorHAnsi" w:eastAsiaTheme="majorEastAsia" w:hAnsiTheme="majorHAnsi" w:cstheme="majorBidi"/>
      <w:color w:val="365F91" w:themeColor="accent1" w:themeShade="BF"/>
      <w:sz w:val="32"/>
      <w:szCs w:val="32"/>
    </w:rPr>
  </w:style>
  <w:style w:type="character" w:customStyle="1" w:styleId="UnresolvedMention">
    <w:name w:val="Unresolved Mention"/>
    <w:basedOn w:val="DefaultParagraphFont"/>
    <w:uiPriority w:val="99"/>
    <w:semiHidden/>
    <w:unhideWhenUsed/>
    <w:rsid w:val="00F845D4"/>
    <w:rPr>
      <w:color w:val="605E5C"/>
      <w:shd w:val="clear" w:color="auto" w:fill="E1DFDD"/>
    </w:rPr>
  </w:style>
  <w:style w:type="paragraph" w:customStyle="1" w:styleId="stylejustifiedleft025hanging025">
    <w:name w:val="stylejustifiedleft025hanging025"/>
    <w:basedOn w:val="Normal"/>
    <w:rsid w:val="00F845D4"/>
    <w:pPr>
      <w:spacing w:before="100" w:beforeAutospacing="1" w:after="100" w:afterAutospacing="1"/>
    </w:pPr>
    <w:rPr>
      <w:sz w:val="24"/>
      <w:szCs w:val="24"/>
    </w:rPr>
  </w:style>
  <w:style w:type="character" w:styleId="Emphasis">
    <w:name w:val="Emphasis"/>
    <w:basedOn w:val="DefaultParagraphFont"/>
    <w:uiPriority w:val="20"/>
    <w:qFormat/>
    <w:rsid w:val="00F845D4"/>
    <w:rPr>
      <w:i/>
      <w:iCs/>
    </w:rPr>
  </w:style>
  <w:style w:type="paragraph" w:customStyle="1" w:styleId="bodytext10">
    <w:name w:val="bodytext1"/>
    <w:basedOn w:val="Normal"/>
    <w:rsid w:val="00F845D4"/>
    <w:pPr>
      <w:spacing w:before="100" w:beforeAutospacing="1" w:after="100" w:afterAutospacing="1"/>
    </w:pPr>
    <w:rPr>
      <w:sz w:val="24"/>
      <w:szCs w:val="24"/>
    </w:rPr>
  </w:style>
  <w:style w:type="paragraph" w:customStyle="1" w:styleId="bodytext3">
    <w:name w:val="bodytext3"/>
    <w:basedOn w:val="Normal"/>
    <w:rsid w:val="00F845D4"/>
    <w:pPr>
      <w:spacing w:before="100" w:beforeAutospacing="1" w:after="100" w:afterAutospacing="1"/>
    </w:pPr>
    <w:rPr>
      <w:sz w:val="24"/>
      <w:szCs w:val="24"/>
    </w:rPr>
  </w:style>
  <w:style w:type="paragraph" w:customStyle="1" w:styleId="bodytext20">
    <w:name w:val="bodytext20"/>
    <w:basedOn w:val="Normal"/>
    <w:rsid w:val="00F845D4"/>
    <w:pPr>
      <w:spacing w:before="100" w:beforeAutospacing="1" w:after="100" w:afterAutospacing="1"/>
    </w:pPr>
    <w:rPr>
      <w:sz w:val="24"/>
      <w:szCs w:val="24"/>
    </w:rPr>
  </w:style>
  <w:style w:type="paragraph" w:styleId="ListBullet">
    <w:name w:val="List Bullet"/>
    <w:basedOn w:val="Normal"/>
    <w:uiPriority w:val="99"/>
    <w:unhideWhenUsed/>
    <w:rsid w:val="00F845D4"/>
    <w:pPr>
      <w:numPr>
        <w:numId w:val="2"/>
      </w:numPr>
      <w:contextualSpacing/>
    </w:pPr>
  </w:style>
  <w:style w:type="character" w:customStyle="1" w:styleId="Bodytext4">
    <w:name w:val="Body text (4)"/>
    <w:basedOn w:val="DefaultParagraphFont"/>
    <w:rsid w:val="00A82B7F"/>
    <w:rPr>
      <w:rFonts w:ascii="Times New Roman" w:eastAsia="Times New Roman" w:hAnsi="Times New Roman" w:cs="Times New Roman" w:hint="default"/>
      <w:b/>
      <w:bCs/>
      <w:i/>
      <w:iCs/>
      <w:smallCaps w:val="0"/>
      <w:color w:val="000000"/>
      <w:spacing w:val="0"/>
      <w:w w:val="100"/>
      <w:position w:val="0"/>
      <w:sz w:val="23"/>
      <w:szCs w:val="23"/>
      <w:u w:val="single"/>
      <w:lang w:val="sq-AL"/>
    </w:rPr>
  </w:style>
  <w:style w:type="character" w:customStyle="1" w:styleId="FontStyle32">
    <w:name w:val="Font Style32"/>
    <w:basedOn w:val="DefaultParagraphFont"/>
    <w:uiPriority w:val="99"/>
    <w:rsid w:val="007C0090"/>
    <w:rPr>
      <w:rFonts w:ascii="Times New Roman" w:hAnsi="Times New Roman" w:cs="Times New Roman"/>
      <w:sz w:val="22"/>
      <w:szCs w:val="22"/>
    </w:rPr>
  </w:style>
  <w:style w:type="paragraph" w:customStyle="1" w:styleId="BodyText21">
    <w:name w:val="Body Text2"/>
    <w:basedOn w:val="Normal"/>
    <w:rsid w:val="00ED2032"/>
    <w:pPr>
      <w:widowControl w:val="0"/>
      <w:shd w:val="clear" w:color="auto" w:fill="FFFFFF"/>
      <w:spacing w:before="60" w:after="180" w:line="320" w:lineRule="exact"/>
      <w:jc w:val="both"/>
    </w:pPr>
    <w:rPr>
      <w:sz w:val="23"/>
      <w:szCs w:val="23"/>
      <w:lang w:val="sq-AL"/>
    </w:rPr>
  </w:style>
  <w:style w:type="character" w:customStyle="1" w:styleId="BodytextBold">
    <w:name w:val="Body text + Bold"/>
    <w:aliases w:val="Italic,Spacing 1 pt,Body text + Times New Roman,11.5 pt,Spacing 0 pt,11 pt,Body text + 9.5 pt,Body text (4) + 11 pt,Body text + 10.5 pt,Body text + 9 pt,Body text (9) + 9 pt,Body text + 7 pt,Body text + Book Antiqua,8 pt,10 pt"/>
    <w:basedOn w:val="DefaultParagraphFont"/>
    <w:rsid w:val="00ED2032"/>
    <w:rPr>
      <w:rFonts w:ascii="Times New Roman" w:eastAsia="Times New Roman" w:hAnsi="Times New Roman" w:cs="Times New Roman"/>
      <w:b/>
      <w:bCs/>
      <w:color w:val="000000"/>
      <w:spacing w:val="0"/>
      <w:w w:val="100"/>
      <w:position w:val="0"/>
      <w:sz w:val="20"/>
      <w:szCs w:val="20"/>
      <w:shd w:val="clear" w:color="auto" w:fill="FFFFFF"/>
      <w:lang w:val="sq-AL"/>
    </w:rPr>
  </w:style>
  <w:style w:type="paragraph" w:customStyle="1" w:styleId="yiv7940849161msonormal">
    <w:name w:val="yiv7940849161msonormal"/>
    <w:basedOn w:val="Normal"/>
    <w:rsid w:val="00AF4891"/>
    <w:pPr>
      <w:spacing w:before="100" w:beforeAutospacing="1" w:after="100" w:afterAutospacing="1"/>
    </w:pPr>
    <w:rPr>
      <w:sz w:val="24"/>
      <w:szCs w:val="24"/>
      <w:lang w:val="sq-AL" w:eastAsia="sq-AL"/>
    </w:rPr>
  </w:style>
  <w:style w:type="paragraph" w:customStyle="1" w:styleId="yiv7940849161gmail-msonormal">
    <w:name w:val="yiv7940849161gmail-msonormal"/>
    <w:basedOn w:val="Normal"/>
    <w:rsid w:val="00AF4891"/>
    <w:pPr>
      <w:spacing w:before="100" w:beforeAutospacing="1" w:after="100" w:afterAutospacing="1"/>
    </w:pPr>
    <w:rPr>
      <w:sz w:val="24"/>
      <w:szCs w:val="24"/>
      <w:lang w:val="sq-AL" w:eastAsia="sq-AL"/>
    </w:rPr>
  </w:style>
  <w:style w:type="table" w:customStyle="1" w:styleId="TableGrid1">
    <w:name w:val="Table Grid1"/>
    <w:basedOn w:val="TableNormal"/>
    <w:uiPriority w:val="39"/>
    <w:rsid w:val="00AF4891"/>
    <w:pPr>
      <w:spacing w:after="0" w:line="240" w:lineRule="auto"/>
    </w:pPr>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2">
    <w:name w:val="Footnote (2)_"/>
    <w:basedOn w:val="DefaultParagraphFont"/>
    <w:link w:val="Footnote20"/>
    <w:rsid w:val="00AF4891"/>
    <w:rPr>
      <w:sz w:val="19"/>
      <w:szCs w:val="19"/>
      <w:shd w:val="clear" w:color="auto" w:fill="FFFFFF"/>
    </w:rPr>
  </w:style>
  <w:style w:type="character" w:customStyle="1" w:styleId="Footnote">
    <w:name w:val="Footnote_"/>
    <w:basedOn w:val="DefaultParagraphFont"/>
    <w:link w:val="Footnote1"/>
    <w:rsid w:val="00AF4891"/>
    <w:rPr>
      <w:i/>
      <w:iCs/>
      <w:sz w:val="19"/>
      <w:szCs w:val="19"/>
      <w:shd w:val="clear" w:color="auto" w:fill="FFFFFF"/>
    </w:rPr>
  </w:style>
  <w:style w:type="character" w:customStyle="1" w:styleId="FootnoteNotItalic">
    <w:name w:val="Footnote + Not Italic"/>
    <w:basedOn w:val="Footnote"/>
    <w:uiPriority w:val="99"/>
    <w:rsid w:val="00AF4891"/>
    <w:rPr>
      <w:i w:val="0"/>
      <w:iCs w:val="0"/>
    </w:rPr>
  </w:style>
  <w:style w:type="character" w:customStyle="1" w:styleId="Footnote0">
    <w:name w:val="Footnote"/>
    <w:basedOn w:val="Footnote"/>
    <w:uiPriority w:val="99"/>
    <w:rsid w:val="00AF4891"/>
  </w:style>
  <w:style w:type="character" w:customStyle="1" w:styleId="Footnote2Italic">
    <w:name w:val="Footnote (2) + Italic"/>
    <w:basedOn w:val="Footnote2"/>
    <w:uiPriority w:val="99"/>
    <w:rsid w:val="00AF4891"/>
    <w:rPr>
      <w:i/>
      <w:iCs/>
    </w:rPr>
  </w:style>
  <w:style w:type="character" w:customStyle="1" w:styleId="Footnote29pt">
    <w:name w:val="Footnote (2) + 9 pt"/>
    <w:basedOn w:val="Footnote2"/>
    <w:uiPriority w:val="99"/>
    <w:rsid w:val="00AF4891"/>
    <w:rPr>
      <w:sz w:val="18"/>
      <w:szCs w:val="18"/>
    </w:rPr>
  </w:style>
  <w:style w:type="character" w:customStyle="1" w:styleId="BodyTextChar1">
    <w:name w:val="Body Text Char1"/>
    <w:basedOn w:val="DefaultParagraphFont"/>
    <w:uiPriority w:val="99"/>
    <w:rsid w:val="00AF4891"/>
    <w:rPr>
      <w:rFonts w:ascii="Times New Roman" w:hAnsi="Times New Roman" w:cs="Times New Roman"/>
      <w:sz w:val="23"/>
      <w:szCs w:val="23"/>
      <w:u w:val="none"/>
    </w:rPr>
  </w:style>
  <w:style w:type="character" w:customStyle="1" w:styleId="BodytextGeorgia">
    <w:name w:val="Body text + Georgia"/>
    <w:aliases w:val="9.5 pt"/>
    <w:basedOn w:val="BodyTextChar1"/>
    <w:uiPriority w:val="99"/>
    <w:rsid w:val="00AF4891"/>
    <w:rPr>
      <w:rFonts w:ascii="Georgia" w:hAnsi="Georgia" w:cs="Georgia"/>
      <w:sz w:val="19"/>
      <w:szCs w:val="19"/>
    </w:rPr>
  </w:style>
  <w:style w:type="character" w:customStyle="1" w:styleId="BodytextItalic">
    <w:name w:val="Body text + Italic"/>
    <w:aliases w:val="Spacing -1 pt,Body text (5) + 12.5 pt,Not Bold,Body text (5) + Not Bold,Body text (5) + 16.5 pt,Body text (4) + 10.5 pt,Body text (5) + Candara,14.5 pt,Body text (4) + Arial,13.5 pt,Body text + 23.5 pt,10.5 pt,Spacing 2 pt"/>
    <w:basedOn w:val="BodyTextChar1"/>
    <w:rsid w:val="00AF4891"/>
    <w:rPr>
      <w:i/>
      <w:iCs/>
    </w:rPr>
  </w:style>
  <w:style w:type="character" w:customStyle="1" w:styleId="Bodytext22">
    <w:name w:val="Body text (2)_"/>
    <w:basedOn w:val="DefaultParagraphFont"/>
    <w:link w:val="Bodytext210"/>
    <w:rsid w:val="00AF4891"/>
    <w:rPr>
      <w:i/>
      <w:iCs/>
      <w:sz w:val="23"/>
      <w:szCs w:val="23"/>
      <w:shd w:val="clear" w:color="auto" w:fill="FFFFFF"/>
    </w:rPr>
  </w:style>
  <w:style w:type="character" w:customStyle="1" w:styleId="Bodytext2NotItalic">
    <w:name w:val="Body text (2) + Not Italic"/>
    <w:basedOn w:val="Bodytext22"/>
    <w:rsid w:val="00AF4891"/>
    <w:rPr>
      <w:i w:val="0"/>
      <w:iCs w:val="0"/>
    </w:rPr>
  </w:style>
  <w:style w:type="character" w:customStyle="1" w:styleId="Bodytext23">
    <w:name w:val="Body text (2)"/>
    <w:basedOn w:val="Bodytext22"/>
    <w:uiPriority w:val="99"/>
    <w:rsid w:val="00AF4891"/>
    <w:rPr>
      <w:u w:val="single"/>
    </w:rPr>
  </w:style>
  <w:style w:type="character" w:customStyle="1" w:styleId="Bodytext2Georgia">
    <w:name w:val="Body text (2) + Georgia"/>
    <w:aliases w:val="9.5 pt3,Not Italic,Body text (4) + Bold,Footnote + 9 pt,Body text (8) + 16.5 pt,Body text + 16.5 pt,Bold,Body text (8) + Not Bold"/>
    <w:basedOn w:val="Bodytext22"/>
    <w:rsid w:val="00AF4891"/>
    <w:rPr>
      <w:rFonts w:ascii="Georgia" w:hAnsi="Georgia" w:cs="Georgia"/>
      <w:i w:val="0"/>
      <w:iCs w:val="0"/>
      <w:sz w:val="19"/>
      <w:szCs w:val="19"/>
    </w:rPr>
  </w:style>
  <w:style w:type="character" w:customStyle="1" w:styleId="Bodytext2NotItalic1">
    <w:name w:val="Body text (2) + Not Italic1"/>
    <w:basedOn w:val="Bodytext22"/>
    <w:uiPriority w:val="99"/>
    <w:rsid w:val="00AF4891"/>
    <w:rPr>
      <w:i w:val="0"/>
      <w:iCs w:val="0"/>
      <w:u w:val="single"/>
    </w:rPr>
  </w:style>
  <w:style w:type="character" w:customStyle="1" w:styleId="BodytextGeorgia2">
    <w:name w:val="Body text + Georgia2"/>
    <w:aliases w:val="9.5 pt2"/>
    <w:basedOn w:val="BodyTextChar1"/>
    <w:uiPriority w:val="99"/>
    <w:rsid w:val="00AF4891"/>
    <w:rPr>
      <w:rFonts w:ascii="Georgia" w:hAnsi="Georgia" w:cs="Georgia"/>
      <w:sz w:val="19"/>
      <w:szCs w:val="19"/>
    </w:rPr>
  </w:style>
  <w:style w:type="character" w:customStyle="1" w:styleId="BodytextItalic1">
    <w:name w:val="Body text + Italic1"/>
    <w:basedOn w:val="BodyTextChar1"/>
    <w:uiPriority w:val="99"/>
    <w:rsid w:val="00AF4891"/>
    <w:rPr>
      <w:i/>
      <w:iCs/>
    </w:rPr>
  </w:style>
  <w:style w:type="paragraph" w:customStyle="1" w:styleId="Footnote20">
    <w:name w:val="Footnote (2)"/>
    <w:basedOn w:val="Normal"/>
    <w:link w:val="Footnote2"/>
    <w:rsid w:val="00AF4891"/>
    <w:pPr>
      <w:widowControl w:val="0"/>
      <w:shd w:val="clear" w:color="auto" w:fill="FFFFFF"/>
      <w:spacing w:line="230" w:lineRule="exact"/>
    </w:pPr>
    <w:rPr>
      <w:rFonts w:asciiTheme="minorHAnsi" w:eastAsiaTheme="minorHAnsi" w:hAnsiTheme="minorHAnsi" w:cstheme="minorBidi"/>
      <w:sz w:val="19"/>
      <w:szCs w:val="19"/>
      <w:lang w:val="sq-AL"/>
    </w:rPr>
  </w:style>
  <w:style w:type="paragraph" w:customStyle="1" w:styleId="Footnote1">
    <w:name w:val="Footnote1"/>
    <w:basedOn w:val="Normal"/>
    <w:link w:val="Footnote"/>
    <w:uiPriority w:val="99"/>
    <w:rsid w:val="00AF4891"/>
    <w:pPr>
      <w:widowControl w:val="0"/>
      <w:shd w:val="clear" w:color="auto" w:fill="FFFFFF"/>
      <w:spacing w:line="230" w:lineRule="exact"/>
      <w:jc w:val="both"/>
    </w:pPr>
    <w:rPr>
      <w:rFonts w:asciiTheme="minorHAnsi" w:eastAsiaTheme="minorHAnsi" w:hAnsiTheme="minorHAnsi" w:cstheme="minorBidi"/>
      <w:i/>
      <w:iCs/>
      <w:sz w:val="19"/>
      <w:szCs w:val="19"/>
      <w:lang w:val="sq-AL"/>
    </w:rPr>
  </w:style>
  <w:style w:type="paragraph" w:customStyle="1" w:styleId="Bodytext210">
    <w:name w:val="Body text (2)1"/>
    <w:basedOn w:val="Normal"/>
    <w:link w:val="Bodytext22"/>
    <w:uiPriority w:val="99"/>
    <w:rsid w:val="00AF4891"/>
    <w:pPr>
      <w:widowControl w:val="0"/>
      <w:shd w:val="clear" w:color="auto" w:fill="FFFFFF"/>
      <w:spacing w:line="317" w:lineRule="exact"/>
      <w:jc w:val="both"/>
    </w:pPr>
    <w:rPr>
      <w:rFonts w:asciiTheme="minorHAnsi" w:eastAsiaTheme="minorHAnsi" w:hAnsiTheme="minorHAnsi" w:cstheme="minorBidi"/>
      <w:i/>
      <w:iCs/>
      <w:sz w:val="23"/>
      <w:szCs w:val="23"/>
      <w:lang w:val="sq-AL"/>
    </w:rPr>
  </w:style>
  <w:style w:type="paragraph" w:customStyle="1" w:styleId="metushistyle">
    <w:name w:val="metushi style"/>
    <w:basedOn w:val="NoSpacing"/>
    <w:qFormat/>
    <w:rsid w:val="00177222"/>
    <w:pPr>
      <w:numPr>
        <w:numId w:val="3"/>
      </w:numPr>
      <w:tabs>
        <w:tab w:val="num" w:pos="360"/>
      </w:tabs>
      <w:spacing w:before="0" w:beforeAutospacing="0" w:after="0" w:afterAutospacing="0"/>
      <w:ind w:left="426" w:firstLine="0"/>
      <w:jc w:val="both"/>
    </w:pPr>
    <w:rPr>
      <w:rFonts w:eastAsiaTheme="minorHAnsi"/>
      <w:szCs w:val="32"/>
      <w:lang w:eastAsia="en-US" w:bidi="en-US"/>
    </w:rPr>
  </w:style>
  <w:style w:type="character" w:customStyle="1" w:styleId="Bodytext40">
    <w:name w:val="Body text (4)_"/>
    <w:basedOn w:val="DefaultParagraphFont"/>
    <w:locked/>
    <w:rsid w:val="00462ADC"/>
    <w:rPr>
      <w:rFonts w:ascii="Times New Roman" w:eastAsia="Times New Roman" w:hAnsi="Times New Roman" w:cs="Times New Roman"/>
      <w:i/>
      <w:iCs/>
      <w:shd w:val="clear" w:color="auto" w:fill="FFFFFF"/>
    </w:rPr>
  </w:style>
  <w:style w:type="character" w:customStyle="1" w:styleId="Bodytext4NotItalic">
    <w:name w:val="Body text (4) + Not Italic"/>
    <w:basedOn w:val="Bodytext40"/>
    <w:rsid w:val="00462ADC"/>
    <w:rPr>
      <w:color w:val="000000"/>
      <w:spacing w:val="0"/>
      <w:w w:val="100"/>
      <w:position w:val="0"/>
      <w:lang w:val="it-IT" w:eastAsia="it-IT" w:bidi="it-IT"/>
    </w:rPr>
  </w:style>
  <w:style w:type="character" w:customStyle="1" w:styleId="Bodytext30">
    <w:name w:val="Body text (3)_"/>
    <w:basedOn w:val="DefaultParagraphFont"/>
    <w:link w:val="Bodytext31"/>
    <w:locked/>
    <w:rsid w:val="00EB12A0"/>
    <w:rPr>
      <w:rFonts w:ascii="Times New Roman" w:eastAsia="Times New Roman" w:hAnsi="Times New Roman" w:cs="Times New Roman"/>
      <w:b/>
      <w:bCs/>
      <w:shd w:val="clear" w:color="auto" w:fill="FFFFFF"/>
    </w:rPr>
  </w:style>
  <w:style w:type="paragraph" w:customStyle="1" w:styleId="Bodytext31">
    <w:name w:val="Body text (3)"/>
    <w:basedOn w:val="Normal"/>
    <w:link w:val="Bodytext30"/>
    <w:rsid w:val="00EB12A0"/>
    <w:pPr>
      <w:widowControl w:val="0"/>
      <w:shd w:val="clear" w:color="auto" w:fill="FFFFFF"/>
      <w:spacing w:line="298" w:lineRule="exact"/>
      <w:jc w:val="center"/>
    </w:pPr>
    <w:rPr>
      <w:b/>
      <w:bCs/>
      <w:sz w:val="22"/>
      <w:szCs w:val="22"/>
      <w:lang w:val="sq-AL"/>
    </w:rPr>
  </w:style>
  <w:style w:type="paragraph" w:customStyle="1" w:styleId="paragraph-point">
    <w:name w:val="paragraph-point"/>
    <w:basedOn w:val="Normal"/>
    <w:rsid w:val="00DA6A5E"/>
    <w:pPr>
      <w:spacing w:before="100" w:beforeAutospacing="1" w:after="100" w:afterAutospacing="1"/>
    </w:pPr>
    <w:rPr>
      <w:sz w:val="24"/>
      <w:szCs w:val="24"/>
    </w:rPr>
  </w:style>
  <w:style w:type="paragraph" w:customStyle="1" w:styleId="paragrafi">
    <w:name w:val="paragrafi"/>
    <w:basedOn w:val="Normal"/>
    <w:rsid w:val="00DA6A5E"/>
    <w:pPr>
      <w:spacing w:before="100" w:beforeAutospacing="1" w:after="100" w:afterAutospacing="1"/>
    </w:pPr>
    <w:rPr>
      <w:sz w:val="24"/>
      <w:szCs w:val="24"/>
    </w:rPr>
  </w:style>
  <w:style w:type="paragraph" w:customStyle="1" w:styleId="yiv9454664525gmail-msonormal">
    <w:name w:val="yiv9454664525gmail-msonormal"/>
    <w:basedOn w:val="Normal"/>
    <w:rsid w:val="00D36BF3"/>
    <w:pPr>
      <w:spacing w:before="100" w:beforeAutospacing="1" w:after="100" w:afterAutospacing="1"/>
    </w:pPr>
    <w:rPr>
      <w:sz w:val="24"/>
      <w:szCs w:val="24"/>
      <w:lang w:val="sq-AL" w:eastAsia="sq-AL"/>
    </w:rPr>
  </w:style>
  <w:style w:type="paragraph" w:customStyle="1" w:styleId="yiv9454664525msonormal">
    <w:name w:val="yiv9454664525msonormal"/>
    <w:basedOn w:val="Normal"/>
    <w:rsid w:val="00D36BF3"/>
    <w:pPr>
      <w:spacing w:before="100" w:beforeAutospacing="1" w:after="100" w:afterAutospacing="1"/>
    </w:pPr>
    <w:rPr>
      <w:sz w:val="24"/>
      <w:szCs w:val="24"/>
      <w:lang w:val="sq-AL" w:eastAsia="sq-AL"/>
    </w:rPr>
  </w:style>
  <w:style w:type="character" w:customStyle="1" w:styleId="bodytextspacing-1pt">
    <w:name w:val="bodytextspacing-1pt"/>
    <w:basedOn w:val="DefaultParagraphFont"/>
    <w:rsid w:val="00D36BF3"/>
  </w:style>
  <w:style w:type="paragraph" w:customStyle="1" w:styleId="Char2">
    <w:name w:val="Char2"/>
    <w:basedOn w:val="Normal"/>
    <w:link w:val="FootnoteReference"/>
    <w:uiPriority w:val="99"/>
    <w:qFormat/>
    <w:rsid w:val="0002687E"/>
    <w:pPr>
      <w:spacing w:after="160" w:line="240" w:lineRule="exact"/>
    </w:pPr>
    <w:rPr>
      <w:rFonts w:asciiTheme="minorHAnsi" w:eastAsiaTheme="minorHAnsi" w:hAnsiTheme="minorHAnsi" w:cstheme="minorBidi"/>
      <w:sz w:val="22"/>
      <w:szCs w:val="22"/>
      <w:vertAlign w:val="superscript"/>
      <w:lang w:val="sq-AL"/>
    </w:rPr>
  </w:style>
  <w:style w:type="character" w:customStyle="1" w:styleId="Heading6Char">
    <w:name w:val="Heading 6 Char"/>
    <w:basedOn w:val="DefaultParagraphFont"/>
    <w:link w:val="Heading6"/>
    <w:uiPriority w:val="9"/>
    <w:rsid w:val="00A912FC"/>
    <w:rPr>
      <w:rFonts w:asciiTheme="majorHAnsi" w:eastAsiaTheme="majorEastAsia" w:hAnsiTheme="majorHAnsi" w:cstheme="majorBidi"/>
      <w:i/>
      <w:iCs/>
      <w:color w:val="243F60" w:themeColor="accent1" w:themeShade="7F"/>
      <w:sz w:val="24"/>
      <w:szCs w:val="24"/>
      <w:lang w:bidi="en-US"/>
    </w:rPr>
  </w:style>
  <w:style w:type="character" w:customStyle="1" w:styleId="Heading8Char">
    <w:name w:val="Heading 8 Char"/>
    <w:basedOn w:val="DefaultParagraphFont"/>
    <w:link w:val="Heading8"/>
    <w:uiPriority w:val="9"/>
    <w:semiHidden/>
    <w:rsid w:val="00A912FC"/>
    <w:rPr>
      <w:rFonts w:asciiTheme="majorHAnsi" w:eastAsiaTheme="majorEastAsia" w:hAnsiTheme="majorHAnsi" w:cstheme="majorBidi"/>
      <w:color w:val="272727" w:themeColor="text1" w:themeTint="D8"/>
      <w:sz w:val="21"/>
      <w:szCs w:val="21"/>
      <w:lang w:bidi="en-US"/>
    </w:rPr>
  </w:style>
  <w:style w:type="character" w:customStyle="1" w:styleId="UnresolvedMention1">
    <w:name w:val="Unresolved Mention1"/>
    <w:basedOn w:val="DefaultParagraphFont"/>
    <w:uiPriority w:val="99"/>
    <w:semiHidden/>
    <w:unhideWhenUsed/>
    <w:rsid w:val="00262B2D"/>
    <w:rPr>
      <w:color w:val="605E5C"/>
      <w:shd w:val="clear" w:color="auto" w:fill="E1DFDD"/>
    </w:rPr>
  </w:style>
  <w:style w:type="character" w:styleId="IntenseEmphasis">
    <w:name w:val="Intense Emphasis"/>
    <w:uiPriority w:val="21"/>
    <w:qFormat/>
    <w:rsid w:val="0095080B"/>
    <w:rPr>
      <w:rFonts w:cs="Times New Roman"/>
      <w:b/>
      <w:bCs/>
      <w:i/>
      <w:iCs/>
      <w:color w:val="4F81BD"/>
    </w:rPr>
  </w:style>
  <w:style w:type="character" w:customStyle="1" w:styleId="FontStyle46">
    <w:name w:val="Font Style46"/>
    <w:uiPriority w:val="99"/>
    <w:rsid w:val="0095080B"/>
    <w:rPr>
      <w:rFonts w:ascii="Bookman Old Style" w:hAnsi="Bookman Old Style" w:cs="Bookman Old Style"/>
      <w:sz w:val="20"/>
      <w:szCs w:val="20"/>
    </w:rPr>
  </w:style>
  <w:style w:type="paragraph" w:customStyle="1" w:styleId="trupiitekstit1">
    <w:name w:val="trupiitekstit1"/>
    <w:basedOn w:val="Normal"/>
    <w:rsid w:val="000B1BB4"/>
    <w:pPr>
      <w:spacing w:before="100" w:beforeAutospacing="1" w:after="100" w:afterAutospacing="1"/>
    </w:pPr>
    <w:rPr>
      <w:sz w:val="24"/>
      <w:szCs w:val="24"/>
    </w:rPr>
  </w:style>
  <w:style w:type="character" w:customStyle="1" w:styleId="Heading4Char">
    <w:name w:val="Heading 4 Char"/>
    <w:basedOn w:val="DefaultParagraphFont"/>
    <w:link w:val="Heading4"/>
    <w:rsid w:val="00076E72"/>
    <w:rPr>
      <w:rFonts w:asciiTheme="majorHAnsi" w:eastAsiaTheme="majorEastAsia" w:hAnsiTheme="majorHAnsi" w:cstheme="majorBidi"/>
      <w:i/>
      <w:iCs/>
      <w:color w:val="365F91" w:themeColor="accent1" w:themeShade="BF"/>
      <w:sz w:val="24"/>
      <w:szCs w:val="24"/>
      <w:lang w:bidi="en-US"/>
    </w:rPr>
  </w:style>
  <w:style w:type="character" w:customStyle="1" w:styleId="Heading7Char">
    <w:name w:val="Heading 7 Char"/>
    <w:basedOn w:val="DefaultParagraphFont"/>
    <w:link w:val="Heading7"/>
    <w:rsid w:val="00076E72"/>
    <w:rPr>
      <w:rFonts w:ascii="Calibri" w:eastAsia="Times New Roman" w:hAnsi="Calibri" w:cs="Times New Roman"/>
      <w:sz w:val="24"/>
      <w:szCs w:val="24"/>
    </w:rPr>
  </w:style>
  <w:style w:type="character" w:customStyle="1" w:styleId="Heading9Char">
    <w:name w:val="Heading 9 Char"/>
    <w:basedOn w:val="DefaultParagraphFont"/>
    <w:link w:val="Heading9"/>
    <w:uiPriority w:val="9"/>
    <w:semiHidden/>
    <w:rsid w:val="00076E72"/>
    <w:rPr>
      <w:rFonts w:asciiTheme="majorHAnsi" w:eastAsiaTheme="majorEastAsia" w:hAnsiTheme="majorHAnsi" w:cstheme="majorBidi"/>
      <w:i/>
      <w:iCs/>
      <w:color w:val="272727" w:themeColor="text1" w:themeTint="D8"/>
      <w:sz w:val="21"/>
      <w:szCs w:val="21"/>
      <w:lang w:val="en-US"/>
    </w:rPr>
  </w:style>
  <w:style w:type="character" w:customStyle="1" w:styleId="HeaderorfooterBold">
    <w:name w:val="Header or footer + Bold"/>
    <w:rsid w:val="00076E72"/>
    <w:rPr>
      <w:rFonts w:ascii="Times New Roman" w:eastAsia="Times New Roman" w:hAnsi="Times New Roman" w:cs="Times New Roman"/>
      <w:b/>
      <w:bCs/>
      <w:i w:val="0"/>
      <w:iCs w:val="0"/>
      <w:smallCaps w:val="0"/>
      <w:strike w:val="0"/>
      <w:spacing w:val="0"/>
      <w:sz w:val="20"/>
      <w:szCs w:val="20"/>
    </w:rPr>
  </w:style>
  <w:style w:type="paragraph" w:customStyle="1" w:styleId="Style6">
    <w:name w:val="Style6"/>
    <w:basedOn w:val="Normal"/>
    <w:qFormat/>
    <w:rsid w:val="00076E72"/>
    <w:pPr>
      <w:widowControl w:val="0"/>
      <w:autoSpaceDE w:val="0"/>
      <w:autoSpaceDN w:val="0"/>
      <w:adjustRightInd w:val="0"/>
      <w:spacing w:line="303" w:lineRule="exact"/>
    </w:pPr>
    <w:rPr>
      <w:rFonts w:eastAsiaTheme="minorEastAsia"/>
      <w:sz w:val="24"/>
      <w:szCs w:val="24"/>
    </w:rPr>
  </w:style>
  <w:style w:type="character" w:customStyle="1" w:styleId="FontStyle33">
    <w:name w:val="Font Style33"/>
    <w:basedOn w:val="DefaultParagraphFont"/>
    <w:uiPriority w:val="99"/>
    <w:rsid w:val="00076E72"/>
    <w:rPr>
      <w:rFonts w:ascii="Times New Roman" w:hAnsi="Times New Roman" w:cs="Times New Roman"/>
      <w:sz w:val="22"/>
      <w:szCs w:val="22"/>
    </w:rPr>
  </w:style>
  <w:style w:type="character" w:customStyle="1" w:styleId="FontStyle35">
    <w:name w:val="Font Style35"/>
    <w:basedOn w:val="DefaultParagraphFont"/>
    <w:uiPriority w:val="99"/>
    <w:rsid w:val="00076E72"/>
    <w:rPr>
      <w:rFonts w:ascii="Times New Roman" w:hAnsi="Times New Roman" w:cs="Times New Roman"/>
      <w:b/>
      <w:bCs/>
      <w:sz w:val="22"/>
      <w:szCs w:val="22"/>
    </w:rPr>
  </w:style>
  <w:style w:type="character" w:customStyle="1" w:styleId="FontStyle37">
    <w:name w:val="Font Style37"/>
    <w:basedOn w:val="DefaultParagraphFont"/>
    <w:uiPriority w:val="99"/>
    <w:rsid w:val="00076E72"/>
    <w:rPr>
      <w:rFonts w:ascii="Times New Roman" w:hAnsi="Times New Roman" w:cs="Times New Roman"/>
      <w:b/>
      <w:bCs/>
      <w:spacing w:val="20"/>
      <w:sz w:val="24"/>
      <w:szCs w:val="24"/>
    </w:rPr>
  </w:style>
  <w:style w:type="character" w:customStyle="1" w:styleId="FontStyle31">
    <w:name w:val="Font Style31"/>
    <w:basedOn w:val="DefaultParagraphFont"/>
    <w:uiPriority w:val="99"/>
    <w:rsid w:val="00076E72"/>
    <w:rPr>
      <w:rFonts w:ascii="Times New Roman" w:hAnsi="Times New Roman" w:cs="Times New Roman"/>
      <w:b/>
      <w:bCs/>
      <w:spacing w:val="-10"/>
      <w:sz w:val="24"/>
      <w:szCs w:val="24"/>
    </w:rPr>
  </w:style>
  <w:style w:type="character" w:customStyle="1" w:styleId="FontStyle42">
    <w:name w:val="Font Style42"/>
    <w:basedOn w:val="DefaultParagraphFont"/>
    <w:uiPriority w:val="99"/>
    <w:rsid w:val="00076E72"/>
    <w:rPr>
      <w:rFonts w:ascii="Times New Roman" w:hAnsi="Times New Roman" w:cs="Times New Roman"/>
      <w:b/>
      <w:bCs/>
      <w:sz w:val="24"/>
      <w:szCs w:val="24"/>
    </w:rPr>
  </w:style>
  <w:style w:type="character" w:customStyle="1" w:styleId="FontStyle43">
    <w:name w:val="Font Style43"/>
    <w:basedOn w:val="DefaultParagraphFont"/>
    <w:uiPriority w:val="99"/>
    <w:rsid w:val="00076E72"/>
    <w:rPr>
      <w:rFonts w:ascii="Times New Roman" w:hAnsi="Times New Roman" w:cs="Times New Roman"/>
      <w:i/>
      <w:iCs/>
      <w:sz w:val="22"/>
      <w:szCs w:val="22"/>
    </w:rPr>
  </w:style>
  <w:style w:type="character" w:customStyle="1" w:styleId="FontStyle48">
    <w:name w:val="Font Style48"/>
    <w:basedOn w:val="DefaultParagraphFont"/>
    <w:uiPriority w:val="99"/>
    <w:rsid w:val="00076E72"/>
    <w:rPr>
      <w:rFonts w:ascii="Times New Roman" w:hAnsi="Times New Roman" w:cs="Times New Roman"/>
      <w:b/>
      <w:bCs/>
      <w:i/>
      <w:iCs/>
      <w:sz w:val="22"/>
      <w:szCs w:val="22"/>
    </w:rPr>
  </w:style>
  <w:style w:type="character" w:customStyle="1" w:styleId="FontStyle26">
    <w:name w:val="Font Style26"/>
    <w:basedOn w:val="DefaultParagraphFont"/>
    <w:uiPriority w:val="99"/>
    <w:rsid w:val="00076E72"/>
    <w:rPr>
      <w:rFonts w:ascii="Bookman Old Style" w:hAnsi="Bookman Old Style" w:cs="Bookman Old Style"/>
      <w:b/>
      <w:bCs/>
      <w:sz w:val="22"/>
      <w:szCs w:val="22"/>
    </w:rPr>
  </w:style>
  <w:style w:type="character" w:customStyle="1" w:styleId="FontStyle44">
    <w:name w:val="Font Style44"/>
    <w:basedOn w:val="DefaultParagraphFont"/>
    <w:uiPriority w:val="99"/>
    <w:rsid w:val="00076E72"/>
    <w:rPr>
      <w:rFonts w:ascii="Times New Roman" w:hAnsi="Times New Roman" w:cs="Times New Roman"/>
      <w:sz w:val="26"/>
      <w:szCs w:val="26"/>
    </w:rPr>
  </w:style>
  <w:style w:type="character" w:customStyle="1" w:styleId="FontStyle29">
    <w:name w:val="Font Style29"/>
    <w:basedOn w:val="DefaultParagraphFont"/>
    <w:uiPriority w:val="99"/>
    <w:rsid w:val="00076E72"/>
    <w:rPr>
      <w:rFonts w:ascii="Palatino Linotype" w:hAnsi="Palatino Linotype" w:cs="Palatino Linotype"/>
      <w:b/>
      <w:bCs/>
      <w:sz w:val="18"/>
      <w:szCs w:val="18"/>
    </w:rPr>
  </w:style>
  <w:style w:type="character" w:customStyle="1" w:styleId="fontstyle01">
    <w:name w:val="fontstyle01"/>
    <w:basedOn w:val="DefaultParagraphFont"/>
    <w:rsid w:val="00076E72"/>
    <w:rPr>
      <w:rFonts w:ascii="Times-Bold" w:hAnsi="Times-Bold" w:hint="default"/>
      <w:b/>
      <w:bCs/>
      <w:i w:val="0"/>
      <w:iCs w:val="0"/>
      <w:color w:val="000000"/>
      <w:sz w:val="24"/>
      <w:szCs w:val="24"/>
    </w:rPr>
  </w:style>
  <w:style w:type="character" w:customStyle="1" w:styleId="qu">
    <w:name w:val="qu"/>
    <w:basedOn w:val="DefaultParagraphFont"/>
    <w:rsid w:val="00076E72"/>
  </w:style>
  <w:style w:type="character" w:customStyle="1" w:styleId="gd">
    <w:name w:val="gd"/>
    <w:basedOn w:val="DefaultParagraphFont"/>
    <w:rsid w:val="00076E72"/>
  </w:style>
  <w:style w:type="character" w:customStyle="1" w:styleId="go">
    <w:name w:val="go"/>
    <w:basedOn w:val="DefaultParagraphFont"/>
    <w:rsid w:val="00076E72"/>
  </w:style>
  <w:style w:type="character" w:customStyle="1" w:styleId="g3">
    <w:name w:val="g3"/>
    <w:basedOn w:val="DefaultParagraphFont"/>
    <w:rsid w:val="00076E72"/>
  </w:style>
  <w:style w:type="character" w:customStyle="1" w:styleId="hb">
    <w:name w:val="hb"/>
    <w:basedOn w:val="DefaultParagraphFont"/>
    <w:rsid w:val="00076E72"/>
  </w:style>
  <w:style w:type="character" w:customStyle="1" w:styleId="g2">
    <w:name w:val="g2"/>
    <w:basedOn w:val="DefaultParagraphFont"/>
    <w:rsid w:val="00076E72"/>
  </w:style>
  <w:style w:type="character" w:customStyle="1" w:styleId="Bodytext5">
    <w:name w:val="Body text (5)_"/>
    <w:link w:val="Bodytext50"/>
    <w:locked/>
    <w:rsid w:val="00076E72"/>
    <w:rPr>
      <w:rFonts w:ascii="Calibri" w:hAnsi="Calibri" w:cs="Calibri"/>
      <w:b/>
      <w:bCs/>
      <w:sz w:val="34"/>
      <w:szCs w:val="34"/>
      <w:shd w:val="clear" w:color="auto" w:fill="FFFFFF"/>
    </w:rPr>
  </w:style>
  <w:style w:type="paragraph" w:customStyle="1" w:styleId="Bodytext50">
    <w:name w:val="Body text (5)"/>
    <w:basedOn w:val="Normal"/>
    <w:link w:val="Bodytext5"/>
    <w:rsid w:val="00076E72"/>
    <w:pPr>
      <w:widowControl w:val="0"/>
      <w:shd w:val="clear" w:color="auto" w:fill="FFFFFF"/>
      <w:spacing w:before="840" w:after="120" w:line="457" w:lineRule="exact"/>
      <w:jc w:val="both"/>
    </w:pPr>
    <w:rPr>
      <w:rFonts w:ascii="Calibri" w:eastAsiaTheme="minorHAnsi" w:hAnsi="Calibri" w:cs="Calibri"/>
      <w:b/>
      <w:bCs/>
      <w:sz w:val="34"/>
      <w:szCs w:val="34"/>
      <w:lang w:val="sq-AL"/>
    </w:rPr>
  </w:style>
  <w:style w:type="character" w:customStyle="1" w:styleId="Bodytext2Italic">
    <w:name w:val="Body text (2) + Italic"/>
    <w:rsid w:val="00076E72"/>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en-US" w:eastAsia="en-US" w:bidi="en-US"/>
    </w:rPr>
  </w:style>
  <w:style w:type="character" w:customStyle="1" w:styleId="CommentSubjectChar1">
    <w:name w:val="Comment Subject Char1"/>
    <w:basedOn w:val="CommentTextChar"/>
    <w:uiPriority w:val="99"/>
    <w:semiHidden/>
    <w:rsid w:val="00076E72"/>
  </w:style>
  <w:style w:type="character" w:customStyle="1" w:styleId="BalloonTextChar1">
    <w:name w:val="Balloon Text Char1"/>
    <w:basedOn w:val="DefaultParagraphFont"/>
    <w:uiPriority w:val="99"/>
    <w:semiHidden/>
    <w:rsid w:val="00076E72"/>
    <w:rPr>
      <w:rFonts w:ascii="Segoe UI" w:hAnsi="Segoe UI" w:cs="Segoe UI"/>
      <w:sz w:val="18"/>
      <w:szCs w:val="18"/>
    </w:rPr>
  </w:style>
  <w:style w:type="character" w:customStyle="1" w:styleId="bodytextitalic0">
    <w:name w:val="bodytextitalic"/>
    <w:basedOn w:val="DefaultParagraphFont"/>
    <w:rsid w:val="00076E72"/>
  </w:style>
  <w:style w:type="paragraph" w:styleId="Revision">
    <w:name w:val="Revision"/>
    <w:hidden/>
    <w:uiPriority w:val="99"/>
    <w:semiHidden/>
    <w:rsid w:val="00076E72"/>
    <w:pPr>
      <w:spacing w:after="0" w:line="240" w:lineRule="auto"/>
    </w:pPr>
    <w:rPr>
      <w:rFonts w:ascii="Calibri" w:eastAsia="Times New Roman" w:hAnsi="Calibri" w:cs="Times New Roman"/>
      <w:sz w:val="24"/>
      <w:szCs w:val="24"/>
      <w:lang w:bidi="en-US"/>
    </w:rPr>
  </w:style>
  <w:style w:type="character" w:customStyle="1" w:styleId="apple-style-span">
    <w:name w:val="apple-style-span"/>
    <w:basedOn w:val="DefaultParagraphFont"/>
    <w:rsid w:val="00076E72"/>
  </w:style>
  <w:style w:type="character" w:customStyle="1" w:styleId="ParagrafiilistsKarakter1">
    <w:name w:val="Paragrafi i listës Karakter1"/>
    <w:aliases w:val="List Paragraph2 Karakter1,Normal 1 Karakter1,Dot pt Karakter1,List Paragraph1 Karakter1,F5 List Paragraph Karakter1,List Paragraph Char Char Char Karakter1,Indicator Text Karakter1,Colorful List - Accent 11 Karakter1"/>
    <w:uiPriority w:val="34"/>
    <w:qFormat/>
    <w:locked/>
    <w:rsid w:val="00076E72"/>
  </w:style>
  <w:style w:type="character" w:customStyle="1" w:styleId="fontstyle14">
    <w:name w:val="fontstyle14"/>
    <w:basedOn w:val="DefaultParagraphFont"/>
    <w:rsid w:val="00076E72"/>
  </w:style>
  <w:style w:type="paragraph" w:styleId="BodyText32">
    <w:name w:val="Body Text 3"/>
    <w:basedOn w:val="Normal"/>
    <w:link w:val="BodyText3Char"/>
    <w:unhideWhenUsed/>
    <w:rsid w:val="00076E72"/>
    <w:pPr>
      <w:spacing w:after="120"/>
    </w:pPr>
    <w:rPr>
      <w:sz w:val="16"/>
      <w:szCs w:val="16"/>
      <w:lang w:val="sq-AL" w:eastAsia="sq-AL"/>
    </w:rPr>
  </w:style>
  <w:style w:type="character" w:customStyle="1" w:styleId="BodyText3Char">
    <w:name w:val="Body Text 3 Char"/>
    <w:basedOn w:val="DefaultParagraphFont"/>
    <w:link w:val="BodyText32"/>
    <w:rsid w:val="00076E72"/>
    <w:rPr>
      <w:rFonts w:ascii="Times New Roman" w:eastAsia="Times New Roman" w:hAnsi="Times New Roman" w:cs="Times New Roman"/>
      <w:sz w:val="16"/>
      <w:szCs w:val="16"/>
      <w:lang w:eastAsia="sq-AL"/>
    </w:rPr>
  </w:style>
  <w:style w:type="character" w:customStyle="1" w:styleId="fontstyle17">
    <w:name w:val="fontstyle17"/>
    <w:basedOn w:val="DefaultParagraphFont"/>
    <w:rsid w:val="00076E72"/>
  </w:style>
  <w:style w:type="character" w:customStyle="1" w:styleId="fontstyle25">
    <w:name w:val="fontstyle25"/>
    <w:basedOn w:val="DefaultParagraphFont"/>
    <w:rsid w:val="00076E72"/>
  </w:style>
  <w:style w:type="character" w:customStyle="1" w:styleId="fontstyle190">
    <w:name w:val="fontstyle19"/>
    <w:basedOn w:val="DefaultParagraphFont"/>
    <w:rsid w:val="00076E72"/>
  </w:style>
  <w:style w:type="character" w:customStyle="1" w:styleId="FontStyle67">
    <w:name w:val="Font Style67"/>
    <w:basedOn w:val="DefaultParagraphFont"/>
    <w:uiPriority w:val="99"/>
    <w:rsid w:val="00076E72"/>
    <w:rPr>
      <w:rFonts w:ascii="Times New Roman" w:hAnsi="Times New Roman" w:cs="Times New Roman"/>
      <w:sz w:val="22"/>
      <w:szCs w:val="22"/>
    </w:rPr>
  </w:style>
  <w:style w:type="character" w:customStyle="1" w:styleId="FontStyle36">
    <w:name w:val="Font Style36"/>
    <w:basedOn w:val="DefaultParagraphFont"/>
    <w:uiPriority w:val="99"/>
    <w:rsid w:val="00076E72"/>
    <w:rPr>
      <w:rFonts w:ascii="Times New Roman" w:hAnsi="Times New Roman" w:cs="Times New Roman"/>
      <w:b/>
      <w:bCs/>
      <w:sz w:val="24"/>
      <w:szCs w:val="24"/>
    </w:rPr>
  </w:style>
  <w:style w:type="paragraph" w:customStyle="1" w:styleId="Style1">
    <w:name w:val="Style1"/>
    <w:basedOn w:val="Normal"/>
    <w:link w:val="Style1Char"/>
    <w:qFormat/>
    <w:rsid w:val="00076E72"/>
    <w:pPr>
      <w:widowControl w:val="0"/>
      <w:autoSpaceDE w:val="0"/>
      <w:autoSpaceDN w:val="0"/>
      <w:adjustRightInd w:val="0"/>
    </w:pPr>
    <w:rPr>
      <w:rFonts w:ascii="Arial Narrow" w:hAnsi="Arial Narrow"/>
      <w:sz w:val="24"/>
      <w:szCs w:val="24"/>
      <w:lang w:eastAsia="sq-AL"/>
    </w:rPr>
  </w:style>
  <w:style w:type="paragraph" w:customStyle="1" w:styleId="Style3">
    <w:name w:val="Style3"/>
    <w:basedOn w:val="Normal"/>
    <w:uiPriority w:val="99"/>
    <w:rsid w:val="00076E72"/>
    <w:pPr>
      <w:widowControl w:val="0"/>
      <w:autoSpaceDE w:val="0"/>
      <w:autoSpaceDN w:val="0"/>
      <w:adjustRightInd w:val="0"/>
      <w:spacing w:line="322" w:lineRule="exact"/>
      <w:ind w:firstLine="485"/>
    </w:pPr>
    <w:rPr>
      <w:rFonts w:ascii="Arial Narrow" w:hAnsi="Arial Narrow"/>
      <w:sz w:val="24"/>
      <w:szCs w:val="24"/>
      <w:lang w:eastAsia="sq-AL"/>
    </w:rPr>
  </w:style>
  <w:style w:type="paragraph" w:customStyle="1" w:styleId="Style5">
    <w:name w:val="Style5"/>
    <w:basedOn w:val="Normal"/>
    <w:uiPriority w:val="99"/>
    <w:rsid w:val="00076E72"/>
    <w:pPr>
      <w:widowControl w:val="0"/>
      <w:autoSpaceDE w:val="0"/>
      <w:autoSpaceDN w:val="0"/>
      <w:adjustRightInd w:val="0"/>
      <w:spacing w:line="370" w:lineRule="exact"/>
      <w:ind w:firstLine="82"/>
      <w:jc w:val="both"/>
    </w:pPr>
    <w:rPr>
      <w:rFonts w:ascii="Arial Narrow" w:hAnsi="Arial Narrow"/>
      <w:sz w:val="24"/>
      <w:szCs w:val="24"/>
      <w:lang w:eastAsia="sq-AL"/>
    </w:rPr>
  </w:style>
  <w:style w:type="paragraph" w:customStyle="1" w:styleId="Style7">
    <w:name w:val="Style7"/>
    <w:basedOn w:val="Normal"/>
    <w:uiPriority w:val="99"/>
    <w:rsid w:val="00076E72"/>
    <w:pPr>
      <w:widowControl w:val="0"/>
      <w:autoSpaceDE w:val="0"/>
      <w:autoSpaceDN w:val="0"/>
      <w:adjustRightInd w:val="0"/>
      <w:spacing w:line="274" w:lineRule="exact"/>
      <w:ind w:hanging="1258"/>
    </w:pPr>
    <w:rPr>
      <w:rFonts w:ascii="Arial Narrow" w:hAnsi="Arial Narrow"/>
      <w:sz w:val="24"/>
      <w:szCs w:val="24"/>
      <w:lang w:eastAsia="sq-AL"/>
    </w:rPr>
  </w:style>
  <w:style w:type="paragraph" w:customStyle="1" w:styleId="Style8">
    <w:name w:val="Style8"/>
    <w:basedOn w:val="Normal"/>
    <w:uiPriority w:val="99"/>
    <w:rsid w:val="00076E72"/>
    <w:pPr>
      <w:widowControl w:val="0"/>
      <w:autoSpaceDE w:val="0"/>
      <w:autoSpaceDN w:val="0"/>
      <w:adjustRightInd w:val="0"/>
      <w:spacing w:line="278" w:lineRule="exact"/>
      <w:ind w:firstLine="485"/>
    </w:pPr>
    <w:rPr>
      <w:rFonts w:ascii="Arial Narrow" w:hAnsi="Arial Narrow"/>
      <w:sz w:val="24"/>
      <w:szCs w:val="24"/>
      <w:lang w:eastAsia="sq-AL"/>
    </w:rPr>
  </w:style>
  <w:style w:type="paragraph" w:customStyle="1" w:styleId="Style9">
    <w:name w:val="Style9"/>
    <w:basedOn w:val="Normal"/>
    <w:uiPriority w:val="99"/>
    <w:rsid w:val="00076E72"/>
    <w:pPr>
      <w:widowControl w:val="0"/>
      <w:autoSpaceDE w:val="0"/>
      <w:autoSpaceDN w:val="0"/>
      <w:adjustRightInd w:val="0"/>
      <w:jc w:val="center"/>
    </w:pPr>
    <w:rPr>
      <w:rFonts w:ascii="Arial Narrow" w:hAnsi="Arial Narrow"/>
      <w:sz w:val="24"/>
      <w:szCs w:val="24"/>
      <w:lang w:eastAsia="sq-AL"/>
    </w:rPr>
  </w:style>
  <w:style w:type="paragraph" w:customStyle="1" w:styleId="Style11">
    <w:name w:val="Style11"/>
    <w:basedOn w:val="Normal"/>
    <w:uiPriority w:val="99"/>
    <w:rsid w:val="00076E72"/>
    <w:pPr>
      <w:widowControl w:val="0"/>
      <w:autoSpaceDE w:val="0"/>
      <w:autoSpaceDN w:val="0"/>
      <w:adjustRightInd w:val="0"/>
      <w:spacing w:line="283" w:lineRule="exact"/>
      <w:ind w:firstLine="451"/>
      <w:jc w:val="both"/>
    </w:pPr>
    <w:rPr>
      <w:rFonts w:ascii="Arial Narrow" w:hAnsi="Arial Narrow"/>
      <w:sz w:val="24"/>
      <w:szCs w:val="24"/>
      <w:lang w:eastAsia="sq-AL"/>
    </w:rPr>
  </w:style>
  <w:style w:type="paragraph" w:customStyle="1" w:styleId="Style12">
    <w:name w:val="Style12"/>
    <w:basedOn w:val="Normal"/>
    <w:uiPriority w:val="99"/>
    <w:rsid w:val="00076E72"/>
    <w:pPr>
      <w:widowControl w:val="0"/>
      <w:autoSpaceDE w:val="0"/>
      <w:autoSpaceDN w:val="0"/>
      <w:adjustRightInd w:val="0"/>
      <w:spacing w:line="276" w:lineRule="exact"/>
      <w:ind w:firstLine="408"/>
    </w:pPr>
    <w:rPr>
      <w:rFonts w:ascii="Arial Narrow" w:hAnsi="Arial Narrow"/>
      <w:sz w:val="24"/>
      <w:szCs w:val="24"/>
      <w:lang w:eastAsia="sq-AL"/>
    </w:rPr>
  </w:style>
  <w:style w:type="paragraph" w:customStyle="1" w:styleId="Style13">
    <w:name w:val="Style13"/>
    <w:basedOn w:val="Normal"/>
    <w:uiPriority w:val="99"/>
    <w:rsid w:val="00076E72"/>
    <w:pPr>
      <w:widowControl w:val="0"/>
      <w:autoSpaceDE w:val="0"/>
      <w:autoSpaceDN w:val="0"/>
      <w:adjustRightInd w:val="0"/>
      <w:spacing w:line="278" w:lineRule="exact"/>
    </w:pPr>
    <w:rPr>
      <w:rFonts w:ascii="Arial Narrow" w:hAnsi="Arial Narrow"/>
      <w:sz w:val="24"/>
      <w:szCs w:val="24"/>
      <w:lang w:eastAsia="sq-AL"/>
    </w:rPr>
  </w:style>
  <w:style w:type="paragraph" w:customStyle="1" w:styleId="Style14">
    <w:name w:val="Style14"/>
    <w:basedOn w:val="Normal"/>
    <w:uiPriority w:val="99"/>
    <w:rsid w:val="00076E72"/>
    <w:pPr>
      <w:widowControl w:val="0"/>
      <w:autoSpaceDE w:val="0"/>
      <w:autoSpaceDN w:val="0"/>
      <w:adjustRightInd w:val="0"/>
      <w:spacing w:line="278" w:lineRule="exact"/>
      <w:ind w:hanging="192"/>
    </w:pPr>
    <w:rPr>
      <w:rFonts w:ascii="Arial Narrow" w:hAnsi="Arial Narrow"/>
      <w:sz w:val="24"/>
      <w:szCs w:val="24"/>
      <w:lang w:eastAsia="sq-AL"/>
    </w:rPr>
  </w:style>
  <w:style w:type="paragraph" w:customStyle="1" w:styleId="Style15">
    <w:name w:val="Style15"/>
    <w:basedOn w:val="Normal"/>
    <w:uiPriority w:val="99"/>
    <w:rsid w:val="00076E72"/>
    <w:pPr>
      <w:widowControl w:val="0"/>
      <w:autoSpaceDE w:val="0"/>
      <w:autoSpaceDN w:val="0"/>
      <w:adjustRightInd w:val="0"/>
      <w:spacing w:line="313" w:lineRule="exact"/>
      <w:jc w:val="both"/>
    </w:pPr>
    <w:rPr>
      <w:rFonts w:ascii="Arial Narrow" w:hAnsi="Arial Narrow"/>
      <w:sz w:val="24"/>
      <w:szCs w:val="24"/>
      <w:lang w:eastAsia="sq-AL"/>
    </w:rPr>
  </w:style>
  <w:style w:type="paragraph" w:customStyle="1" w:styleId="Style16">
    <w:name w:val="Style16"/>
    <w:basedOn w:val="Normal"/>
    <w:uiPriority w:val="99"/>
    <w:rsid w:val="00076E72"/>
    <w:pPr>
      <w:widowControl w:val="0"/>
      <w:autoSpaceDE w:val="0"/>
      <w:autoSpaceDN w:val="0"/>
      <w:adjustRightInd w:val="0"/>
      <w:spacing w:line="276" w:lineRule="exact"/>
      <w:ind w:firstLine="854"/>
    </w:pPr>
    <w:rPr>
      <w:rFonts w:ascii="Arial Narrow" w:hAnsi="Arial Narrow"/>
      <w:sz w:val="24"/>
      <w:szCs w:val="24"/>
      <w:lang w:eastAsia="sq-AL"/>
    </w:rPr>
  </w:style>
  <w:style w:type="paragraph" w:customStyle="1" w:styleId="Style17">
    <w:name w:val="Style17"/>
    <w:basedOn w:val="Normal"/>
    <w:uiPriority w:val="99"/>
    <w:rsid w:val="00076E72"/>
    <w:pPr>
      <w:widowControl w:val="0"/>
      <w:autoSpaceDE w:val="0"/>
      <w:autoSpaceDN w:val="0"/>
      <w:adjustRightInd w:val="0"/>
      <w:spacing w:line="276" w:lineRule="exact"/>
      <w:ind w:firstLine="730"/>
    </w:pPr>
    <w:rPr>
      <w:rFonts w:ascii="Arial Narrow" w:hAnsi="Arial Narrow"/>
      <w:sz w:val="24"/>
      <w:szCs w:val="24"/>
      <w:lang w:eastAsia="sq-AL"/>
    </w:rPr>
  </w:style>
  <w:style w:type="paragraph" w:customStyle="1" w:styleId="Style18">
    <w:name w:val="Style18"/>
    <w:basedOn w:val="Normal"/>
    <w:uiPriority w:val="99"/>
    <w:rsid w:val="00076E72"/>
    <w:pPr>
      <w:widowControl w:val="0"/>
      <w:autoSpaceDE w:val="0"/>
      <w:autoSpaceDN w:val="0"/>
      <w:adjustRightInd w:val="0"/>
    </w:pPr>
    <w:rPr>
      <w:rFonts w:ascii="Arial Narrow" w:hAnsi="Arial Narrow"/>
      <w:sz w:val="24"/>
      <w:szCs w:val="24"/>
      <w:lang w:eastAsia="sq-AL"/>
    </w:rPr>
  </w:style>
  <w:style w:type="paragraph" w:customStyle="1" w:styleId="Style19">
    <w:name w:val="Style19"/>
    <w:basedOn w:val="Normal"/>
    <w:uiPriority w:val="99"/>
    <w:rsid w:val="00076E72"/>
    <w:pPr>
      <w:widowControl w:val="0"/>
      <w:autoSpaceDE w:val="0"/>
      <w:autoSpaceDN w:val="0"/>
      <w:adjustRightInd w:val="0"/>
      <w:spacing w:line="370" w:lineRule="exact"/>
      <w:ind w:firstLine="82"/>
      <w:jc w:val="both"/>
    </w:pPr>
    <w:rPr>
      <w:rFonts w:ascii="Arial Narrow" w:hAnsi="Arial Narrow"/>
      <w:sz w:val="24"/>
      <w:szCs w:val="24"/>
      <w:lang w:eastAsia="sq-AL"/>
    </w:rPr>
  </w:style>
  <w:style w:type="paragraph" w:customStyle="1" w:styleId="Style20">
    <w:name w:val="Style20"/>
    <w:basedOn w:val="Normal"/>
    <w:uiPriority w:val="99"/>
    <w:rsid w:val="00076E72"/>
    <w:pPr>
      <w:widowControl w:val="0"/>
      <w:autoSpaceDE w:val="0"/>
      <w:autoSpaceDN w:val="0"/>
      <w:adjustRightInd w:val="0"/>
      <w:spacing w:line="278" w:lineRule="exact"/>
      <w:ind w:firstLine="734"/>
      <w:jc w:val="both"/>
    </w:pPr>
    <w:rPr>
      <w:rFonts w:ascii="Arial Narrow" w:hAnsi="Arial Narrow"/>
      <w:sz w:val="24"/>
      <w:szCs w:val="24"/>
      <w:lang w:eastAsia="sq-AL"/>
    </w:rPr>
  </w:style>
  <w:style w:type="paragraph" w:customStyle="1" w:styleId="Style21">
    <w:name w:val="Style21"/>
    <w:basedOn w:val="Normal"/>
    <w:uiPriority w:val="99"/>
    <w:rsid w:val="00076E72"/>
    <w:pPr>
      <w:widowControl w:val="0"/>
      <w:autoSpaceDE w:val="0"/>
      <w:autoSpaceDN w:val="0"/>
      <w:adjustRightInd w:val="0"/>
    </w:pPr>
    <w:rPr>
      <w:rFonts w:ascii="Arial Narrow" w:hAnsi="Arial Narrow"/>
      <w:sz w:val="24"/>
      <w:szCs w:val="24"/>
      <w:lang w:eastAsia="sq-AL"/>
    </w:rPr>
  </w:style>
  <w:style w:type="paragraph" w:customStyle="1" w:styleId="Style22">
    <w:name w:val="Style22"/>
    <w:basedOn w:val="Normal"/>
    <w:uiPriority w:val="99"/>
    <w:rsid w:val="00076E72"/>
    <w:pPr>
      <w:widowControl w:val="0"/>
      <w:autoSpaceDE w:val="0"/>
      <w:autoSpaceDN w:val="0"/>
      <w:adjustRightInd w:val="0"/>
      <w:jc w:val="both"/>
    </w:pPr>
    <w:rPr>
      <w:rFonts w:ascii="Arial Narrow" w:hAnsi="Arial Narrow"/>
      <w:sz w:val="24"/>
      <w:szCs w:val="24"/>
      <w:lang w:eastAsia="sq-AL"/>
    </w:rPr>
  </w:style>
  <w:style w:type="paragraph" w:customStyle="1" w:styleId="Style23">
    <w:name w:val="Style23"/>
    <w:basedOn w:val="Normal"/>
    <w:uiPriority w:val="99"/>
    <w:rsid w:val="00076E72"/>
    <w:pPr>
      <w:widowControl w:val="0"/>
      <w:autoSpaceDE w:val="0"/>
      <w:autoSpaceDN w:val="0"/>
      <w:adjustRightInd w:val="0"/>
      <w:spacing w:line="274" w:lineRule="exact"/>
      <w:ind w:firstLine="946"/>
      <w:jc w:val="both"/>
    </w:pPr>
    <w:rPr>
      <w:rFonts w:ascii="Arial Narrow" w:hAnsi="Arial Narrow"/>
      <w:sz w:val="24"/>
      <w:szCs w:val="24"/>
      <w:lang w:eastAsia="sq-AL"/>
    </w:rPr>
  </w:style>
  <w:style w:type="paragraph" w:customStyle="1" w:styleId="Style24">
    <w:name w:val="Style24"/>
    <w:basedOn w:val="Normal"/>
    <w:uiPriority w:val="99"/>
    <w:rsid w:val="00076E72"/>
    <w:pPr>
      <w:widowControl w:val="0"/>
      <w:autoSpaceDE w:val="0"/>
      <w:autoSpaceDN w:val="0"/>
      <w:adjustRightInd w:val="0"/>
      <w:spacing w:line="315" w:lineRule="exact"/>
      <w:ind w:hanging="341"/>
      <w:jc w:val="both"/>
    </w:pPr>
    <w:rPr>
      <w:rFonts w:ascii="Arial Narrow" w:hAnsi="Arial Narrow"/>
      <w:sz w:val="24"/>
      <w:szCs w:val="24"/>
      <w:lang w:eastAsia="sq-AL"/>
    </w:rPr>
  </w:style>
  <w:style w:type="paragraph" w:customStyle="1" w:styleId="Style25">
    <w:name w:val="Style25"/>
    <w:basedOn w:val="Normal"/>
    <w:uiPriority w:val="99"/>
    <w:rsid w:val="00076E72"/>
    <w:pPr>
      <w:widowControl w:val="0"/>
      <w:autoSpaceDE w:val="0"/>
      <w:autoSpaceDN w:val="0"/>
      <w:adjustRightInd w:val="0"/>
      <w:spacing w:line="370" w:lineRule="exact"/>
      <w:ind w:hanging="346"/>
      <w:jc w:val="both"/>
    </w:pPr>
    <w:rPr>
      <w:rFonts w:ascii="Arial Narrow" w:hAnsi="Arial Narrow"/>
      <w:sz w:val="24"/>
      <w:szCs w:val="24"/>
      <w:lang w:eastAsia="sq-AL"/>
    </w:rPr>
  </w:style>
  <w:style w:type="paragraph" w:customStyle="1" w:styleId="Style26">
    <w:name w:val="Style26"/>
    <w:basedOn w:val="Normal"/>
    <w:uiPriority w:val="99"/>
    <w:rsid w:val="00076E72"/>
    <w:pPr>
      <w:widowControl w:val="0"/>
      <w:autoSpaceDE w:val="0"/>
      <w:autoSpaceDN w:val="0"/>
      <w:adjustRightInd w:val="0"/>
      <w:spacing w:line="372" w:lineRule="exact"/>
      <w:jc w:val="both"/>
    </w:pPr>
    <w:rPr>
      <w:rFonts w:ascii="Arial Narrow" w:hAnsi="Arial Narrow"/>
      <w:sz w:val="24"/>
      <w:szCs w:val="24"/>
      <w:lang w:eastAsia="sq-AL"/>
    </w:rPr>
  </w:style>
  <w:style w:type="paragraph" w:customStyle="1" w:styleId="Style27">
    <w:name w:val="Style27"/>
    <w:basedOn w:val="Normal"/>
    <w:uiPriority w:val="99"/>
    <w:rsid w:val="00076E72"/>
    <w:pPr>
      <w:widowControl w:val="0"/>
      <w:autoSpaceDE w:val="0"/>
      <w:autoSpaceDN w:val="0"/>
      <w:adjustRightInd w:val="0"/>
    </w:pPr>
    <w:rPr>
      <w:rFonts w:ascii="Arial Narrow" w:hAnsi="Arial Narrow"/>
      <w:sz w:val="24"/>
      <w:szCs w:val="24"/>
      <w:lang w:eastAsia="sq-AL"/>
    </w:rPr>
  </w:style>
  <w:style w:type="paragraph" w:customStyle="1" w:styleId="Style28">
    <w:name w:val="Style28"/>
    <w:basedOn w:val="Normal"/>
    <w:uiPriority w:val="99"/>
    <w:rsid w:val="00076E72"/>
    <w:pPr>
      <w:widowControl w:val="0"/>
      <w:autoSpaceDE w:val="0"/>
      <w:autoSpaceDN w:val="0"/>
      <w:adjustRightInd w:val="0"/>
      <w:spacing w:line="282" w:lineRule="exact"/>
      <w:ind w:hanging="331"/>
      <w:jc w:val="both"/>
    </w:pPr>
    <w:rPr>
      <w:rFonts w:ascii="Arial Narrow" w:hAnsi="Arial Narrow"/>
      <w:sz w:val="24"/>
      <w:szCs w:val="24"/>
      <w:lang w:eastAsia="sq-AL"/>
    </w:rPr>
  </w:style>
  <w:style w:type="paragraph" w:customStyle="1" w:styleId="Style29">
    <w:name w:val="Style29"/>
    <w:basedOn w:val="Normal"/>
    <w:uiPriority w:val="99"/>
    <w:rsid w:val="00076E72"/>
    <w:pPr>
      <w:widowControl w:val="0"/>
      <w:autoSpaceDE w:val="0"/>
      <w:autoSpaceDN w:val="0"/>
      <w:adjustRightInd w:val="0"/>
      <w:spacing w:line="319" w:lineRule="exact"/>
      <w:ind w:hanging="336"/>
    </w:pPr>
    <w:rPr>
      <w:rFonts w:ascii="Arial Narrow" w:hAnsi="Arial Narrow"/>
      <w:sz w:val="24"/>
      <w:szCs w:val="24"/>
      <w:lang w:eastAsia="sq-AL"/>
    </w:rPr>
  </w:style>
  <w:style w:type="paragraph" w:customStyle="1" w:styleId="Style30">
    <w:name w:val="Style30"/>
    <w:basedOn w:val="Normal"/>
    <w:uiPriority w:val="99"/>
    <w:rsid w:val="00076E72"/>
    <w:pPr>
      <w:widowControl w:val="0"/>
      <w:autoSpaceDE w:val="0"/>
      <w:autoSpaceDN w:val="0"/>
      <w:adjustRightInd w:val="0"/>
      <w:spacing w:line="281" w:lineRule="exact"/>
      <w:ind w:firstLine="782"/>
    </w:pPr>
    <w:rPr>
      <w:rFonts w:ascii="Arial Narrow" w:hAnsi="Arial Narrow"/>
      <w:sz w:val="24"/>
      <w:szCs w:val="24"/>
      <w:lang w:eastAsia="sq-AL"/>
    </w:rPr>
  </w:style>
  <w:style w:type="paragraph" w:customStyle="1" w:styleId="Style31">
    <w:name w:val="Style31"/>
    <w:basedOn w:val="Normal"/>
    <w:uiPriority w:val="99"/>
    <w:rsid w:val="00076E72"/>
    <w:pPr>
      <w:widowControl w:val="0"/>
      <w:autoSpaceDE w:val="0"/>
      <w:autoSpaceDN w:val="0"/>
      <w:adjustRightInd w:val="0"/>
      <w:jc w:val="right"/>
    </w:pPr>
    <w:rPr>
      <w:rFonts w:ascii="Arial Narrow" w:hAnsi="Arial Narrow"/>
      <w:sz w:val="24"/>
      <w:szCs w:val="24"/>
      <w:lang w:eastAsia="sq-AL"/>
    </w:rPr>
  </w:style>
  <w:style w:type="paragraph" w:customStyle="1" w:styleId="Style32">
    <w:name w:val="Style32"/>
    <w:basedOn w:val="Normal"/>
    <w:uiPriority w:val="99"/>
    <w:rsid w:val="00076E72"/>
    <w:pPr>
      <w:widowControl w:val="0"/>
      <w:autoSpaceDE w:val="0"/>
      <w:autoSpaceDN w:val="0"/>
      <w:adjustRightInd w:val="0"/>
      <w:jc w:val="both"/>
    </w:pPr>
    <w:rPr>
      <w:rFonts w:ascii="Arial Narrow" w:hAnsi="Arial Narrow"/>
      <w:sz w:val="24"/>
      <w:szCs w:val="24"/>
      <w:lang w:eastAsia="sq-AL"/>
    </w:rPr>
  </w:style>
  <w:style w:type="paragraph" w:customStyle="1" w:styleId="Style33">
    <w:name w:val="Style33"/>
    <w:basedOn w:val="Normal"/>
    <w:uiPriority w:val="99"/>
    <w:rsid w:val="00076E72"/>
    <w:pPr>
      <w:widowControl w:val="0"/>
      <w:autoSpaceDE w:val="0"/>
      <w:autoSpaceDN w:val="0"/>
      <w:adjustRightInd w:val="0"/>
    </w:pPr>
    <w:rPr>
      <w:rFonts w:ascii="Arial Narrow" w:hAnsi="Arial Narrow"/>
      <w:sz w:val="24"/>
      <w:szCs w:val="24"/>
      <w:lang w:eastAsia="sq-AL"/>
    </w:rPr>
  </w:style>
  <w:style w:type="paragraph" w:customStyle="1" w:styleId="Style34">
    <w:name w:val="Style34"/>
    <w:basedOn w:val="Normal"/>
    <w:uiPriority w:val="99"/>
    <w:rsid w:val="00076E72"/>
    <w:pPr>
      <w:widowControl w:val="0"/>
      <w:autoSpaceDE w:val="0"/>
      <w:autoSpaceDN w:val="0"/>
      <w:adjustRightInd w:val="0"/>
      <w:spacing w:line="315" w:lineRule="exact"/>
      <w:jc w:val="right"/>
    </w:pPr>
    <w:rPr>
      <w:rFonts w:ascii="Arial Narrow" w:hAnsi="Arial Narrow"/>
      <w:sz w:val="24"/>
      <w:szCs w:val="24"/>
      <w:lang w:eastAsia="sq-AL"/>
    </w:rPr>
  </w:style>
  <w:style w:type="paragraph" w:customStyle="1" w:styleId="Style35">
    <w:name w:val="Style35"/>
    <w:basedOn w:val="Normal"/>
    <w:uiPriority w:val="99"/>
    <w:rsid w:val="00076E72"/>
    <w:pPr>
      <w:widowControl w:val="0"/>
      <w:autoSpaceDE w:val="0"/>
      <w:autoSpaceDN w:val="0"/>
      <w:adjustRightInd w:val="0"/>
      <w:spacing w:line="370" w:lineRule="exact"/>
      <w:ind w:hanging="350"/>
    </w:pPr>
    <w:rPr>
      <w:rFonts w:ascii="Arial Narrow" w:hAnsi="Arial Narrow"/>
      <w:sz w:val="24"/>
      <w:szCs w:val="24"/>
      <w:lang w:eastAsia="sq-AL"/>
    </w:rPr>
  </w:style>
  <w:style w:type="paragraph" w:customStyle="1" w:styleId="Style36">
    <w:name w:val="Style36"/>
    <w:basedOn w:val="Normal"/>
    <w:uiPriority w:val="99"/>
    <w:rsid w:val="00076E72"/>
    <w:pPr>
      <w:widowControl w:val="0"/>
      <w:autoSpaceDE w:val="0"/>
      <w:autoSpaceDN w:val="0"/>
      <w:adjustRightInd w:val="0"/>
      <w:spacing w:line="312" w:lineRule="exact"/>
    </w:pPr>
    <w:rPr>
      <w:rFonts w:ascii="Arial Narrow" w:hAnsi="Arial Narrow"/>
      <w:sz w:val="24"/>
      <w:szCs w:val="24"/>
      <w:lang w:eastAsia="sq-AL"/>
    </w:rPr>
  </w:style>
  <w:style w:type="paragraph" w:customStyle="1" w:styleId="Style37">
    <w:name w:val="Style37"/>
    <w:basedOn w:val="Normal"/>
    <w:uiPriority w:val="99"/>
    <w:rsid w:val="00076E72"/>
    <w:pPr>
      <w:widowControl w:val="0"/>
      <w:autoSpaceDE w:val="0"/>
      <w:autoSpaceDN w:val="0"/>
      <w:adjustRightInd w:val="0"/>
      <w:spacing w:line="349" w:lineRule="exact"/>
      <w:jc w:val="both"/>
    </w:pPr>
    <w:rPr>
      <w:rFonts w:ascii="Arial Narrow" w:hAnsi="Arial Narrow"/>
      <w:sz w:val="24"/>
      <w:szCs w:val="24"/>
      <w:lang w:eastAsia="sq-AL"/>
    </w:rPr>
  </w:style>
  <w:style w:type="paragraph" w:customStyle="1" w:styleId="Style38">
    <w:name w:val="Style38"/>
    <w:basedOn w:val="Normal"/>
    <w:uiPriority w:val="99"/>
    <w:rsid w:val="00076E72"/>
    <w:pPr>
      <w:widowControl w:val="0"/>
      <w:autoSpaceDE w:val="0"/>
      <w:autoSpaceDN w:val="0"/>
      <w:adjustRightInd w:val="0"/>
      <w:spacing w:line="278" w:lineRule="exact"/>
      <w:ind w:firstLine="734"/>
    </w:pPr>
    <w:rPr>
      <w:rFonts w:ascii="Arial Narrow" w:hAnsi="Arial Narrow"/>
      <w:sz w:val="24"/>
      <w:szCs w:val="24"/>
      <w:lang w:eastAsia="sq-AL"/>
    </w:rPr>
  </w:style>
  <w:style w:type="paragraph" w:customStyle="1" w:styleId="Style39">
    <w:name w:val="Style39"/>
    <w:basedOn w:val="Normal"/>
    <w:uiPriority w:val="99"/>
    <w:rsid w:val="00076E72"/>
    <w:pPr>
      <w:widowControl w:val="0"/>
      <w:autoSpaceDE w:val="0"/>
      <w:autoSpaceDN w:val="0"/>
      <w:adjustRightInd w:val="0"/>
      <w:spacing w:line="634" w:lineRule="exact"/>
      <w:ind w:firstLine="2294"/>
    </w:pPr>
    <w:rPr>
      <w:rFonts w:ascii="Arial Narrow" w:hAnsi="Arial Narrow"/>
      <w:sz w:val="24"/>
      <w:szCs w:val="24"/>
      <w:lang w:eastAsia="sq-AL"/>
    </w:rPr>
  </w:style>
  <w:style w:type="paragraph" w:customStyle="1" w:styleId="Style40">
    <w:name w:val="Style40"/>
    <w:basedOn w:val="Normal"/>
    <w:uiPriority w:val="99"/>
    <w:rsid w:val="00076E72"/>
    <w:pPr>
      <w:widowControl w:val="0"/>
      <w:autoSpaceDE w:val="0"/>
      <w:autoSpaceDN w:val="0"/>
      <w:adjustRightInd w:val="0"/>
      <w:spacing w:line="315" w:lineRule="exact"/>
      <w:jc w:val="both"/>
    </w:pPr>
    <w:rPr>
      <w:rFonts w:ascii="Arial Narrow" w:hAnsi="Arial Narrow"/>
      <w:sz w:val="24"/>
      <w:szCs w:val="24"/>
      <w:lang w:eastAsia="sq-AL"/>
    </w:rPr>
  </w:style>
  <w:style w:type="paragraph" w:customStyle="1" w:styleId="Style41">
    <w:name w:val="Style41"/>
    <w:basedOn w:val="Normal"/>
    <w:uiPriority w:val="99"/>
    <w:rsid w:val="00076E72"/>
    <w:pPr>
      <w:widowControl w:val="0"/>
      <w:autoSpaceDE w:val="0"/>
      <w:autoSpaceDN w:val="0"/>
      <w:adjustRightInd w:val="0"/>
    </w:pPr>
    <w:rPr>
      <w:rFonts w:ascii="Arial Narrow" w:hAnsi="Arial Narrow"/>
      <w:sz w:val="24"/>
      <w:szCs w:val="24"/>
      <w:lang w:eastAsia="sq-AL"/>
    </w:rPr>
  </w:style>
  <w:style w:type="paragraph" w:customStyle="1" w:styleId="Style42">
    <w:name w:val="Style42"/>
    <w:basedOn w:val="Normal"/>
    <w:uiPriority w:val="99"/>
    <w:rsid w:val="00076E72"/>
    <w:pPr>
      <w:widowControl w:val="0"/>
      <w:autoSpaceDE w:val="0"/>
      <w:autoSpaceDN w:val="0"/>
      <w:adjustRightInd w:val="0"/>
      <w:spacing w:line="274" w:lineRule="exact"/>
      <w:ind w:firstLine="734"/>
    </w:pPr>
    <w:rPr>
      <w:rFonts w:ascii="Arial Narrow" w:hAnsi="Arial Narrow"/>
      <w:sz w:val="24"/>
      <w:szCs w:val="24"/>
      <w:lang w:eastAsia="sq-AL"/>
    </w:rPr>
  </w:style>
  <w:style w:type="paragraph" w:customStyle="1" w:styleId="Style43">
    <w:name w:val="Style43"/>
    <w:basedOn w:val="Normal"/>
    <w:uiPriority w:val="99"/>
    <w:rsid w:val="00076E72"/>
    <w:pPr>
      <w:widowControl w:val="0"/>
      <w:autoSpaceDE w:val="0"/>
      <w:autoSpaceDN w:val="0"/>
      <w:adjustRightInd w:val="0"/>
    </w:pPr>
    <w:rPr>
      <w:rFonts w:ascii="Arial Narrow" w:hAnsi="Arial Narrow"/>
      <w:sz w:val="24"/>
      <w:szCs w:val="24"/>
      <w:lang w:eastAsia="sq-AL"/>
    </w:rPr>
  </w:style>
  <w:style w:type="paragraph" w:customStyle="1" w:styleId="Style44">
    <w:name w:val="Style44"/>
    <w:basedOn w:val="Normal"/>
    <w:uiPriority w:val="99"/>
    <w:rsid w:val="00076E72"/>
    <w:pPr>
      <w:widowControl w:val="0"/>
      <w:autoSpaceDE w:val="0"/>
      <w:autoSpaceDN w:val="0"/>
      <w:adjustRightInd w:val="0"/>
      <w:spacing w:line="274" w:lineRule="exact"/>
      <w:ind w:firstLine="1440"/>
    </w:pPr>
    <w:rPr>
      <w:rFonts w:ascii="Arial Narrow" w:hAnsi="Arial Narrow"/>
      <w:sz w:val="24"/>
      <w:szCs w:val="24"/>
      <w:lang w:eastAsia="sq-AL"/>
    </w:rPr>
  </w:style>
  <w:style w:type="paragraph" w:customStyle="1" w:styleId="Style45">
    <w:name w:val="Style45"/>
    <w:basedOn w:val="Normal"/>
    <w:uiPriority w:val="99"/>
    <w:rsid w:val="00076E72"/>
    <w:pPr>
      <w:widowControl w:val="0"/>
      <w:autoSpaceDE w:val="0"/>
      <w:autoSpaceDN w:val="0"/>
      <w:adjustRightInd w:val="0"/>
      <w:spacing w:line="293" w:lineRule="exact"/>
      <w:ind w:firstLine="173"/>
    </w:pPr>
    <w:rPr>
      <w:rFonts w:ascii="Arial Narrow" w:hAnsi="Arial Narrow"/>
      <w:sz w:val="24"/>
      <w:szCs w:val="24"/>
      <w:lang w:eastAsia="sq-AL"/>
    </w:rPr>
  </w:style>
  <w:style w:type="paragraph" w:customStyle="1" w:styleId="Style46">
    <w:name w:val="Style46"/>
    <w:basedOn w:val="Normal"/>
    <w:uiPriority w:val="99"/>
    <w:rsid w:val="00076E72"/>
    <w:pPr>
      <w:widowControl w:val="0"/>
      <w:autoSpaceDE w:val="0"/>
      <w:autoSpaceDN w:val="0"/>
      <w:adjustRightInd w:val="0"/>
    </w:pPr>
    <w:rPr>
      <w:rFonts w:ascii="Arial Narrow" w:hAnsi="Arial Narrow"/>
      <w:sz w:val="24"/>
      <w:szCs w:val="24"/>
      <w:lang w:eastAsia="sq-AL"/>
    </w:rPr>
  </w:style>
  <w:style w:type="paragraph" w:customStyle="1" w:styleId="Style47">
    <w:name w:val="Style47"/>
    <w:basedOn w:val="Normal"/>
    <w:uiPriority w:val="99"/>
    <w:rsid w:val="00076E72"/>
    <w:pPr>
      <w:widowControl w:val="0"/>
      <w:autoSpaceDE w:val="0"/>
      <w:autoSpaceDN w:val="0"/>
      <w:adjustRightInd w:val="0"/>
      <w:spacing w:line="312" w:lineRule="exact"/>
      <w:jc w:val="both"/>
    </w:pPr>
    <w:rPr>
      <w:rFonts w:ascii="Arial Narrow" w:hAnsi="Arial Narrow"/>
      <w:sz w:val="24"/>
      <w:szCs w:val="24"/>
      <w:lang w:eastAsia="sq-AL"/>
    </w:rPr>
  </w:style>
  <w:style w:type="paragraph" w:customStyle="1" w:styleId="Style48">
    <w:name w:val="Style48"/>
    <w:basedOn w:val="Normal"/>
    <w:uiPriority w:val="99"/>
    <w:rsid w:val="00076E72"/>
    <w:pPr>
      <w:widowControl w:val="0"/>
      <w:autoSpaceDE w:val="0"/>
      <w:autoSpaceDN w:val="0"/>
      <w:adjustRightInd w:val="0"/>
      <w:spacing w:line="374" w:lineRule="exact"/>
    </w:pPr>
    <w:rPr>
      <w:rFonts w:ascii="Arial Narrow" w:hAnsi="Arial Narrow"/>
      <w:sz w:val="24"/>
      <w:szCs w:val="24"/>
      <w:lang w:eastAsia="sq-AL"/>
    </w:rPr>
  </w:style>
  <w:style w:type="paragraph" w:customStyle="1" w:styleId="Style49">
    <w:name w:val="Style49"/>
    <w:basedOn w:val="Normal"/>
    <w:uiPriority w:val="99"/>
    <w:rsid w:val="00076E72"/>
    <w:pPr>
      <w:widowControl w:val="0"/>
      <w:autoSpaceDE w:val="0"/>
      <w:autoSpaceDN w:val="0"/>
      <w:adjustRightInd w:val="0"/>
      <w:spacing w:line="369" w:lineRule="exact"/>
      <w:jc w:val="both"/>
    </w:pPr>
    <w:rPr>
      <w:rFonts w:ascii="Arial Narrow" w:hAnsi="Arial Narrow"/>
      <w:sz w:val="24"/>
      <w:szCs w:val="24"/>
      <w:lang w:eastAsia="sq-AL"/>
    </w:rPr>
  </w:style>
  <w:style w:type="paragraph" w:customStyle="1" w:styleId="Style50">
    <w:name w:val="Style50"/>
    <w:basedOn w:val="Normal"/>
    <w:uiPriority w:val="99"/>
    <w:rsid w:val="00076E72"/>
    <w:pPr>
      <w:widowControl w:val="0"/>
      <w:autoSpaceDE w:val="0"/>
      <w:autoSpaceDN w:val="0"/>
      <w:adjustRightInd w:val="0"/>
    </w:pPr>
    <w:rPr>
      <w:rFonts w:ascii="Arial Narrow" w:hAnsi="Arial Narrow"/>
      <w:sz w:val="24"/>
      <w:szCs w:val="24"/>
      <w:lang w:eastAsia="sq-AL"/>
    </w:rPr>
  </w:style>
  <w:style w:type="paragraph" w:customStyle="1" w:styleId="Style51">
    <w:name w:val="Style51"/>
    <w:basedOn w:val="Normal"/>
    <w:uiPriority w:val="99"/>
    <w:rsid w:val="00076E72"/>
    <w:pPr>
      <w:widowControl w:val="0"/>
      <w:autoSpaceDE w:val="0"/>
      <w:autoSpaceDN w:val="0"/>
      <w:adjustRightInd w:val="0"/>
      <w:spacing w:line="370" w:lineRule="exact"/>
    </w:pPr>
    <w:rPr>
      <w:rFonts w:ascii="Arial Narrow" w:hAnsi="Arial Narrow"/>
      <w:sz w:val="24"/>
      <w:szCs w:val="24"/>
      <w:lang w:eastAsia="sq-AL"/>
    </w:rPr>
  </w:style>
  <w:style w:type="paragraph" w:customStyle="1" w:styleId="Style52">
    <w:name w:val="Style52"/>
    <w:basedOn w:val="Normal"/>
    <w:uiPriority w:val="99"/>
    <w:rsid w:val="00076E72"/>
    <w:pPr>
      <w:widowControl w:val="0"/>
      <w:autoSpaceDE w:val="0"/>
      <w:autoSpaceDN w:val="0"/>
      <w:adjustRightInd w:val="0"/>
      <w:spacing w:line="384" w:lineRule="exact"/>
      <w:ind w:firstLine="2318"/>
    </w:pPr>
    <w:rPr>
      <w:rFonts w:ascii="Arial Narrow" w:hAnsi="Arial Narrow"/>
      <w:sz w:val="24"/>
      <w:szCs w:val="24"/>
      <w:lang w:eastAsia="sq-AL"/>
    </w:rPr>
  </w:style>
  <w:style w:type="paragraph" w:customStyle="1" w:styleId="Style53">
    <w:name w:val="Style53"/>
    <w:basedOn w:val="Normal"/>
    <w:uiPriority w:val="99"/>
    <w:rsid w:val="00076E72"/>
    <w:pPr>
      <w:widowControl w:val="0"/>
      <w:autoSpaceDE w:val="0"/>
      <w:autoSpaceDN w:val="0"/>
      <w:adjustRightInd w:val="0"/>
      <w:spacing w:line="315" w:lineRule="exact"/>
      <w:ind w:hanging="115"/>
    </w:pPr>
    <w:rPr>
      <w:rFonts w:ascii="Arial Narrow" w:hAnsi="Arial Narrow"/>
      <w:sz w:val="24"/>
      <w:szCs w:val="24"/>
      <w:lang w:eastAsia="sq-AL"/>
    </w:rPr>
  </w:style>
  <w:style w:type="paragraph" w:customStyle="1" w:styleId="Style54">
    <w:name w:val="Style54"/>
    <w:basedOn w:val="Normal"/>
    <w:uiPriority w:val="99"/>
    <w:rsid w:val="00076E72"/>
    <w:pPr>
      <w:widowControl w:val="0"/>
      <w:autoSpaceDE w:val="0"/>
      <w:autoSpaceDN w:val="0"/>
      <w:adjustRightInd w:val="0"/>
      <w:spacing w:line="278" w:lineRule="exact"/>
      <w:ind w:hanging="1435"/>
    </w:pPr>
    <w:rPr>
      <w:rFonts w:ascii="Arial Narrow" w:hAnsi="Arial Narrow"/>
      <w:sz w:val="24"/>
      <w:szCs w:val="24"/>
      <w:lang w:eastAsia="sq-AL"/>
    </w:rPr>
  </w:style>
  <w:style w:type="paragraph" w:customStyle="1" w:styleId="Style55">
    <w:name w:val="Style55"/>
    <w:basedOn w:val="Normal"/>
    <w:uiPriority w:val="99"/>
    <w:rsid w:val="00076E72"/>
    <w:pPr>
      <w:widowControl w:val="0"/>
      <w:autoSpaceDE w:val="0"/>
      <w:autoSpaceDN w:val="0"/>
      <w:adjustRightInd w:val="0"/>
      <w:spacing w:line="283" w:lineRule="exact"/>
      <w:ind w:firstLine="926"/>
    </w:pPr>
    <w:rPr>
      <w:rFonts w:ascii="Arial Narrow" w:hAnsi="Arial Narrow"/>
      <w:sz w:val="24"/>
      <w:szCs w:val="24"/>
      <w:lang w:eastAsia="sq-AL"/>
    </w:rPr>
  </w:style>
  <w:style w:type="paragraph" w:customStyle="1" w:styleId="Style56">
    <w:name w:val="Style56"/>
    <w:basedOn w:val="Normal"/>
    <w:uiPriority w:val="99"/>
    <w:rsid w:val="00076E72"/>
    <w:pPr>
      <w:widowControl w:val="0"/>
      <w:autoSpaceDE w:val="0"/>
      <w:autoSpaceDN w:val="0"/>
      <w:adjustRightInd w:val="0"/>
      <w:spacing w:line="312" w:lineRule="exact"/>
      <w:ind w:hanging="336"/>
      <w:jc w:val="both"/>
    </w:pPr>
    <w:rPr>
      <w:rFonts w:ascii="Arial Narrow" w:hAnsi="Arial Narrow"/>
      <w:sz w:val="24"/>
      <w:szCs w:val="24"/>
      <w:lang w:eastAsia="sq-AL"/>
    </w:rPr>
  </w:style>
  <w:style w:type="paragraph" w:customStyle="1" w:styleId="Style57">
    <w:name w:val="Style57"/>
    <w:basedOn w:val="Normal"/>
    <w:uiPriority w:val="99"/>
    <w:rsid w:val="00076E72"/>
    <w:pPr>
      <w:widowControl w:val="0"/>
      <w:autoSpaceDE w:val="0"/>
      <w:autoSpaceDN w:val="0"/>
      <w:adjustRightInd w:val="0"/>
      <w:spacing w:line="643" w:lineRule="exact"/>
      <w:ind w:firstLine="3178"/>
    </w:pPr>
    <w:rPr>
      <w:rFonts w:ascii="Arial Narrow" w:hAnsi="Arial Narrow"/>
      <w:sz w:val="24"/>
      <w:szCs w:val="24"/>
      <w:lang w:eastAsia="sq-AL"/>
    </w:rPr>
  </w:style>
  <w:style w:type="paragraph" w:customStyle="1" w:styleId="Style58">
    <w:name w:val="Style58"/>
    <w:basedOn w:val="Normal"/>
    <w:uiPriority w:val="99"/>
    <w:rsid w:val="00076E72"/>
    <w:pPr>
      <w:widowControl w:val="0"/>
      <w:autoSpaceDE w:val="0"/>
      <w:autoSpaceDN w:val="0"/>
      <w:adjustRightInd w:val="0"/>
      <w:spacing w:line="374" w:lineRule="exact"/>
      <w:jc w:val="both"/>
    </w:pPr>
    <w:rPr>
      <w:rFonts w:ascii="Arial Narrow" w:hAnsi="Arial Narrow"/>
      <w:sz w:val="24"/>
      <w:szCs w:val="24"/>
      <w:lang w:eastAsia="sq-AL"/>
    </w:rPr>
  </w:style>
  <w:style w:type="paragraph" w:customStyle="1" w:styleId="Style59">
    <w:name w:val="Style59"/>
    <w:basedOn w:val="Normal"/>
    <w:uiPriority w:val="99"/>
    <w:rsid w:val="00076E72"/>
    <w:pPr>
      <w:widowControl w:val="0"/>
      <w:autoSpaceDE w:val="0"/>
      <w:autoSpaceDN w:val="0"/>
      <w:adjustRightInd w:val="0"/>
      <w:spacing w:line="317" w:lineRule="exact"/>
      <w:ind w:firstLine="2654"/>
    </w:pPr>
    <w:rPr>
      <w:rFonts w:ascii="Arial Narrow" w:hAnsi="Arial Narrow"/>
      <w:sz w:val="24"/>
      <w:szCs w:val="24"/>
      <w:lang w:eastAsia="sq-AL"/>
    </w:rPr>
  </w:style>
  <w:style w:type="paragraph" w:customStyle="1" w:styleId="Style60">
    <w:name w:val="Style60"/>
    <w:basedOn w:val="Normal"/>
    <w:uiPriority w:val="99"/>
    <w:rsid w:val="00076E72"/>
    <w:pPr>
      <w:widowControl w:val="0"/>
      <w:autoSpaceDE w:val="0"/>
      <w:autoSpaceDN w:val="0"/>
      <w:adjustRightInd w:val="0"/>
    </w:pPr>
    <w:rPr>
      <w:rFonts w:ascii="Arial Narrow" w:hAnsi="Arial Narrow"/>
      <w:sz w:val="24"/>
      <w:szCs w:val="24"/>
      <w:lang w:eastAsia="sq-AL"/>
    </w:rPr>
  </w:style>
  <w:style w:type="paragraph" w:customStyle="1" w:styleId="Style61">
    <w:name w:val="Style61"/>
    <w:basedOn w:val="Normal"/>
    <w:uiPriority w:val="99"/>
    <w:rsid w:val="00076E72"/>
    <w:pPr>
      <w:widowControl w:val="0"/>
      <w:autoSpaceDE w:val="0"/>
      <w:autoSpaceDN w:val="0"/>
      <w:adjustRightInd w:val="0"/>
    </w:pPr>
    <w:rPr>
      <w:rFonts w:ascii="Arial Narrow" w:hAnsi="Arial Narrow"/>
      <w:sz w:val="24"/>
      <w:szCs w:val="24"/>
      <w:lang w:eastAsia="sq-AL"/>
    </w:rPr>
  </w:style>
  <w:style w:type="character" w:customStyle="1" w:styleId="FontStyle63">
    <w:name w:val="Font Style63"/>
    <w:basedOn w:val="DefaultParagraphFont"/>
    <w:uiPriority w:val="99"/>
    <w:rsid w:val="00076E72"/>
    <w:rPr>
      <w:rFonts w:ascii="Arial Narrow" w:hAnsi="Arial Narrow" w:cs="Arial Narrow"/>
      <w:w w:val="66"/>
      <w:sz w:val="110"/>
      <w:szCs w:val="110"/>
    </w:rPr>
  </w:style>
  <w:style w:type="character" w:customStyle="1" w:styleId="FontStyle64">
    <w:name w:val="Font Style64"/>
    <w:basedOn w:val="DefaultParagraphFont"/>
    <w:uiPriority w:val="99"/>
    <w:rsid w:val="00076E72"/>
    <w:rPr>
      <w:rFonts w:ascii="Times New Roman" w:hAnsi="Times New Roman" w:cs="Times New Roman"/>
      <w:b/>
      <w:bCs/>
      <w:i/>
      <w:iCs/>
      <w:sz w:val="48"/>
      <w:szCs w:val="48"/>
    </w:rPr>
  </w:style>
  <w:style w:type="character" w:customStyle="1" w:styleId="FontStyle65">
    <w:name w:val="Font Style65"/>
    <w:basedOn w:val="DefaultParagraphFont"/>
    <w:uiPriority w:val="99"/>
    <w:rsid w:val="00076E72"/>
    <w:rPr>
      <w:rFonts w:ascii="Times New Roman" w:hAnsi="Times New Roman" w:cs="Times New Roman"/>
      <w:b/>
      <w:bCs/>
      <w:sz w:val="22"/>
      <w:szCs w:val="22"/>
    </w:rPr>
  </w:style>
  <w:style w:type="character" w:customStyle="1" w:styleId="FontStyle66">
    <w:name w:val="Font Style66"/>
    <w:basedOn w:val="DefaultParagraphFont"/>
    <w:uiPriority w:val="99"/>
    <w:rsid w:val="00076E72"/>
    <w:rPr>
      <w:rFonts w:ascii="Georgia" w:hAnsi="Georgia" w:cs="Georgia"/>
      <w:b/>
      <w:bCs/>
      <w:spacing w:val="30"/>
      <w:sz w:val="24"/>
      <w:szCs w:val="24"/>
    </w:rPr>
  </w:style>
  <w:style w:type="character" w:customStyle="1" w:styleId="FontStyle68">
    <w:name w:val="Font Style68"/>
    <w:basedOn w:val="DefaultParagraphFont"/>
    <w:uiPriority w:val="99"/>
    <w:rsid w:val="00076E72"/>
    <w:rPr>
      <w:rFonts w:ascii="Franklin Gothic Heavy" w:hAnsi="Franklin Gothic Heavy" w:cs="Franklin Gothic Heavy"/>
      <w:sz w:val="44"/>
      <w:szCs w:val="44"/>
    </w:rPr>
  </w:style>
  <w:style w:type="character" w:customStyle="1" w:styleId="FontStyle69">
    <w:name w:val="Font Style69"/>
    <w:basedOn w:val="DefaultParagraphFont"/>
    <w:uiPriority w:val="99"/>
    <w:rsid w:val="00076E72"/>
    <w:rPr>
      <w:rFonts w:ascii="Times New Roman" w:hAnsi="Times New Roman" w:cs="Times New Roman"/>
      <w:i/>
      <w:iCs/>
      <w:sz w:val="22"/>
      <w:szCs w:val="22"/>
    </w:rPr>
  </w:style>
  <w:style w:type="character" w:customStyle="1" w:styleId="FontStyle70">
    <w:name w:val="Font Style70"/>
    <w:basedOn w:val="DefaultParagraphFont"/>
    <w:uiPriority w:val="99"/>
    <w:rsid w:val="00076E72"/>
    <w:rPr>
      <w:rFonts w:ascii="Times New Roman" w:hAnsi="Times New Roman" w:cs="Times New Roman"/>
      <w:b/>
      <w:bCs/>
      <w:smallCaps/>
      <w:sz w:val="14"/>
      <w:szCs w:val="14"/>
    </w:rPr>
  </w:style>
  <w:style w:type="character" w:customStyle="1" w:styleId="FontStyle71">
    <w:name w:val="Font Style71"/>
    <w:basedOn w:val="DefaultParagraphFont"/>
    <w:uiPriority w:val="99"/>
    <w:rsid w:val="00076E72"/>
    <w:rPr>
      <w:rFonts w:ascii="Times New Roman" w:hAnsi="Times New Roman" w:cs="Times New Roman"/>
      <w:spacing w:val="-10"/>
      <w:sz w:val="14"/>
      <w:szCs w:val="14"/>
    </w:rPr>
  </w:style>
  <w:style w:type="character" w:customStyle="1" w:styleId="FontStyle72">
    <w:name w:val="Font Style72"/>
    <w:basedOn w:val="DefaultParagraphFont"/>
    <w:uiPriority w:val="99"/>
    <w:rsid w:val="00076E72"/>
    <w:rPr>
      <w:rFonts w:ascii="Palatino Linotype" w:hAnsi="Palatino Linotype" w:cs="Palatino Linotype"/>
      <w:b/>
      <w:bCs/>
      <w:i/>
      <w:iCs/>
      <w:sz w:val="14"/>
      <w:szCs w:val="14"/>
    </w:rPr>
  </w:style>
  <w:style w:type="character" w:customStyle="1" w:styleId="FontStyle73">
    <w:name w:val="Font Style73"/>
    <w:basedOn w:val="DefaultParagraphFont"/>
    <w:uiPriority w:val="99"/>
    <w:rsid w:val="00076E72"/>
    <w:rPr>
      <w:rFonts w:ascii="Times New Roman" w:hAnsi="Times New Roman" w:cs="Times New Roman"/>
      <w:spacing w:val="-20"/>
      <w:sz w:val="20"/>
      <w:szCs w:val="20"/>
    </w:rPr>
  </w:style>
  <w:style w:type="character" w:customStyle="1" w:styleId="FontStyle74">
    <w:name w:val="Font Style74"/>
    <w:basedOn w:val="DefaultParagraphFont"/>
    <w:uiPriority w:val="99"/>
    <w:rsid w:val="00076E72"/>
    <w:rPr>
      <w:rFonts w:ascii="Consolas" w:hAnsi="Consolas" w:cs="Consolas"/>
      <w:i/>
      <w:iCs/>
      <w:sz w:val="18"/>
      <w:szCs w:val="18"/>
    </w:rPr>
  </w:style>
  <w:style w:type="character" w:customStyle="1" w:styleId="FontStyle75">
    <w:name w:val="Font Style75"/>
    <w:basedOn w:val="DefaultParagraphFont"/>
    <w:uiPriority w:val="99"/>
    <w:rsid w:val="00076E72"/>
    <w:rPr>
      <w:rFonts w:ascii="Times New Roman" w:hAnsi="Times New Roman" w:cs="Times New Roman"/>
      <w:b/>
      <w:bCs/>
      <w:smallCaps/>
      <w:sz w:val="22"/>
      <w:szCs w:val="22"/>
    </w:rPr>
  </w:style>
  <w:style w:type="character" w:customStyle="1" w:styleId="FontStyle76">
    <w:name w:val="Font Style76"/>
    <w:basedOn w:val="DefaultParagraphFont"/>
    <w:uiPriority w:val="99"/>
    <w:rsid w:val="00076E72"/>
    <w:rPr>
      <w:rFonts w:ascii="Times New Roman" w:hAnsi="Times New Roman" w:cs="Times New Roman"/>
      <w:sz w:val="22"/>
      <w:szCs w:val="22"/>
    </w:rPr>
  </w:style>
  <w:style w:type="character" w:customStyle="1" w:styleId="FontStyle77">
    <w:name w:val="Font Style77"/>
    <w:basedOn w:val="DefaultParagraphFont"/>
    <w:uiPriority w:val="99"/>
    <w:rsid w:val="00076E72"/>
    <w:rPr>
      <w:rFonts w:ascii="Times New Roman" w:hAnsi="Times New Roman" w:cs="Times New Roman"/>
      <w:i/>
      <w:iCs/>
      <w:sz w:val="26"/>
      <w:szCs w:val="26"/>
    </w:rPr>
  </w:style>
  <w:style w:type="character" w:customStyle="1" w:styleId="FontStyle78">
    <w:name w:val="Font Style78"/>
    <w:basedOn w:val="DefaultParagraphFont"/>
    <w:uiPriority w:val="99"/>
    <w:rsid w:val="00076E72"/>
    <w:rPr>
      <w:rFonts w:ascii="Times New Roman" w:hAnsi="Times New Roman" w:cs="Times New Roman"/>
      <w:b/>
      <w:bCs/>
      <w:sz w:val="26"/>
      <w:szCs w:val="26"/>
    </w:rPr>
  </w:style>
  <w:style w:type="character" w:customStyle="1" w:styleId="FontStyle79">
    <w:name w:val="Font Style79"/>
    <w:basedOn w:val="DefaultParagraphFont"/>
    <w:uiPriority w:val="99"/>
    <w:rsid w:val="00076E72"/>
    <w:rPr>
      <w:rFonts w:ascii="Times New Roman" w:hAnsi="Times New Roman" w:cs="Times New Roman"/>
      <w:sz w:val="26"/>
      <w:szCs w:val="26"/>
    </w:rPr>
  </w:style>
  <w:style w:type="character" w:customStyle="1" w:styleId="FontStyle80">
    <w:name w:val="Font Style80"/>
    <w:basedOn w:val="DefaultParagraphFont"/>
    <w:uiPriority w:val="99"/>
    <w:rsid w:val="00076E72"/>
    <w:rPr>
      <w:rFonts w:ascii="Times New Roman" w:hAnsi="Times New Roman" w:cs="Times New Roman"/>
      <w:b/>
      <w:bCs/>
      <w:i/>
      <w:iCs/>
      <w:sz w:val="26"/>
      <w:szCs w:val="26"/>
    </w:rPr>
  </w:style>
  <w:style w:type="character" w:customStyle="1" w:styleId="FontStyle81">
    <w:name w:val="Font Style81"/>
    <w:basedOn w:val="DefaultParagraphFont"/>
    <w:uiPriority w:val="99"/>
    <w:rsid w:val="00076E72"/>
    <w:rPr>
      <w:rFonts w:ascii="Times New Roman" w:hAnsi="Times New Roman" w:cs="Times New Roman"/>
      <w:b/>
      <w:bCs/>
      <w:i/>
      <w:iCs/>
      <w:spacing w:val="-20"/>
      <w:sz w:val="24"/>
      <w:szCs w:val="24"/>
    </w:rPr>
  </w:style>
  <w:style w:type="character" w:customStyle="1" w:styleId="FontStyle82">
    <w:name w:val="Font Style82"/>
    <w:basedOn w:val="DefaultParagraphFont"/>
    <w:uiPriority w:val="99"/>
    <w:rsid w:val="00076E72"/>
    <w:rPr>
      <w:rFonts w:ascii="Times New Roman" w:hAnsi="Times New Roman" w:cs="Times New Roman"/>
      <w:b/>
      <w:bCs/>
      <w:spacing w:val="-10"/>
      <w:sz w:val="26"/>
      <w:szCs w:val="26"/>
    </w:rPr>
  </w:style>
  <w:style w:type="character" w:customStyle="1" w:styleId="FontStyle83">
    <w:name w:val="Font Style83"/>
    <w:basedOn w:val="DefaultParagraphFont"/>
    <w:uiPriority w:val="99"/>
    <w:rsid w:val="00076E72"/>
    <w:rPr>
      <w:rFonts w:ascii="Arial Narrow" w:hAnsi="Arial Narrow" w:cs="Arial Narrow"/>
      <w:b/>
      <w:bCs/>
      <w:sz w:val="18"/>
      <w:szCs w:val="18"/>
    </w:rPr>
  </w:style>
  <w:style w:type="character" w:customStyle="1" w:styleId="FontStyle84">
    <w:name w:val="Font Style84"/>
    <w:basedOn w:val="DefaultParagraphFont"/>
    <w:uiPriority w:val="99"/>
    <w:rsid w:val="00076E72"/>
    <w:rPr>
      <w:rFonts w:ascii="Arial Narrow" w:hAnsi="Arial Narrow" w:cs="Arial Narrow"/>
      <w:b/>
      <w:bCs/>
      <w:i/>
      <w:iCs/>
      <w:sz w:val="24"/>
      <w:szCs w:val="24"/>
    </w:rPr>
  </w:style>
  <w:style w:type="character" w:customStyle="1" w:styleId="FontStyle85">
    <w:name w:val="Font Style85"/>
    <w:basedOn w:val="DefaultParagraphFont"/>
    <w:uiPriority w:val="99"/>
    <w:rsid w:val="00076E72"/>
    <w:rPr>
      <w:rFonts w:ascii="Arial Narrow" w:hAnsi="Arial Narrow" w:cs="Arial Narrow"/>
      <w:i/>
      <w:iCs/>
      <w:sz w:val="24"/>
      <w:szCs w:val="24"/>
    </w:rPr>
  </w:style>
  <w:style w:type="character" w:customStyle="1" w:styleId="FontStyle86">
    <w:name w:val="Font Style86"/>
    <w:basedOn w:val="DefaultParagraphFont"/>
    <w:uiPriority w:val="99"/>
    <w:rsid w:val="00076E72"/>
    <w:rPr>
      <w:rFonts w:ascii="Palatino Linotype" w:hAnsi="Palatino Linotype" w:cs="Palatino Linotype"/>
      <w:sz w:val="24"/>
      <w:szCs w:val="24"/>
    </w:rPr>
  </w:style>
  <w:style w:type="character" w:customStyle="1" w:styleId="FontStyle87">
    <w:name w:val="Font Style87"/>
    <w:basedOn w:val="DefaultParagraphFont"/>
    <w:uiPriority w:val="99"/>
    <w:rsid w:val="00076E72"/>
    <w:rPr>
      <w:rFonts w:ascii="Arial Narrow" w:hAnsi="Arial Narrow" w:cs="Arial Narrow"/>
      <w:sz w:val="24"/>
      <w:szCs w:val="24"/>
    </w:rPr>
  </w:style>
  <w:style w:type="character" w:customStyle="1" w:styleId="FontStyle88">
    <w:name w:val="Font Style88"/>
    <w:basedOn w:val="DefaultParagraphFont"/>
    <w:uiPriority w:val="99"/>
    <w:rsid w:val="00076E72"/>
    <w:rPr>
      <w:rFonts w:ascii="Arial Narrow" w:hAnsi="Arial Narrow" w:cs="Arial Narrow"/>
      <w:b/>
      <w:bCs/>
      <w:sz w:val="24"/>
      <w:szCs w:val="24"/>
    </w:rPr>
  </w:style>
  <w:style w:type="character" w:customStyle="1" w:styleId="FontStyle89">
    <w:name w:val="Font Style89"/>
    <w:basedOn w:val="DefaultParagraphFont"/>
    <w:uiPriority w:val="99"/>
    <w:rsid w:val="00076E72"/>
    <w:rPr>
      <w:rFonts w:ascii="Palatino Linotype" w:hAnsi="Palatino Linotype" w:cs="Palatino Linotype"/>
      <w:b/>
      <w:bCs/>
      <w:sz w:val="12"/>
      <w:szCs w:val="12"/>
    </w:rPr>
  </w:style>
  <w:style w:type="character" w:customStyle="1" w:styleId="FontStyle90">
    <w:name w:val="Font Style90"/>
    <w:basedOn w:val="DefaultParagraphFont"/>
    <w:uiPriority w:val="99"/>
    <w:rsid w:val="00076E72"/>
    <w:rPr>
      <w:rFonts w:ascii="Franklin Gothic Heavy" w:hAnsi="Franklin Gothic Heavy" w:cs="Franklin Gothic Heavy"/>
      <w:sz w:val="14"/>
      <w:szCs w:val="14"/>
    </w:rPr>
  </w:style>
  <w:style w:type="character" w:customStyle="1" w:styleId="FontStyle91">
    <w:name w:val="Font Style91"/>
    <w:basedOn w:val="DefaultParagraphFont"/>
    <w:uiPriority w:val="99"/>
    <w:rsid w:val="00076E72"/>
    <w:rPr>
      <w:rFonts w:ascii="Times New Roman" w:hAnsi="Times New Roman" w:cs="Times New Roman"/>
      <w:spacing w:val="-30"/>
      <w:sz w:val="30"/>
      <w:szCs w:val="30"/>
    </w:rPr>
  </w:style>
  <w:style w:type="character" w:customStyle="1" w:styleId="FontStyle92">
    <w:name w:val="Font Style92"/>
    <w:basedOn w:val="DefaultParagraphFont"/>
    <w:uiPriority w:val="99"/>
    <w:rsid w:val="00076E72"/>
    <w:rPr>
      <w:rFonts w:ascii="Consolas" w:hAnsi="Consolas" w:cs="Consolas"/>
      <w:sz w:val="14"/>
      <w:szCs w:val="14"/>
    </w:rPr>
  </w:style>
  <w:style w:type="character" w:customStyle="1" w:styleId="FontStyle93">
    <w:name w:val="Font Style93"/>
    <w:basedOn w:val="DefaultParagraphFont"/>
    <w:uiPriority w:val="99"/>
    <w:rsid w:val="00076E72"/>
    <w:rPr>
      <w:rFonts w:ascii="Franklin Gothic Demi Cond" w:hAnsi="Franklin Gothic Demi Cond" w:cs="Franklin Gothic Demi Cond"/>
      <w:sz w:val="16"/>
      <w:szCs w:val="16"/>
    </w:rPr>
  </w:style>
  <w:style w:type="character" w:customStyle="1" w:styleId="FontStyle94">
    <w:name w:val="Font Style94"/>
    <w:basedOn w:val="DefaultParagraphFont"/>
    <w:uiPriority w:val="99"/>
    <w:rsid w:val="00076E72"/>
    <w:rPr>
      <w:rFonts w:ascii="Times New Roman" w:hAnsi="Times New Roman" w:cs="Times New Roman"/>
      <w:sz w:val="22"/>
      <w:szCs w:val="22"/>
    </w:rPr>
  </w:style>
  <w:style w:type="character" w:customStyle="1" w:styleId="FontStyle95">
    <w:name w:val="Font Style95"/>
    <w:basedOn w:val="DefaultParagraphFont"/>
    <w:uiPriority w:val="99"/>
    <w:rsid w:val="00076E72"/>
    <w:rPr>
      <w:rFonts w:ascii="Times New Roman" w:hAnsi="Times New Roman" w:cs="Times New Roman"/>
      <w:b/>
      <w:bCs/>
      <w:i/>
      <w:iCs/>
      <w:spacing w:val="20"/>
      <w:sz w:val="16"/>
      <w:szCs w:val="16"/>
    </w:rPr>
  </w:style>
  <w:style w:type="character" w:customStyle="1" w:styleId="FontStyle38">
    <w:name w:val="Font Style38"/>
    <w:basedOn w:val="DefaultParagraphFont"/>
    <w:uiPriority w:val="99"/>
    <w:rsid w:val="00076E72"/>
    <w:rPr>
      <w:rFonts w:ascii="Times New Roman" w:hAnsi="Times New Roman" w:cs="Times New Roman"/>
      <w:sz w:val="24"/>
      <w:szCs w:val="24"/>
    </w:rPr>
  </w:style>
  <w:style w:type="character" w:customStyle="1" w:styleId="FontStyle54">
    <w:name w:val="Font Style54"/>
    <w:basedOn w:val="DefaultParagraphFont"/>
    <w:uiPriority w:val="99"/>
    <w:rsid w:val="00076E72"/>
    <w:rPr>
      <w:rFonts w:ascii="Bookman Old Style" w:hAnsi="Bookman Old Style" w:cs="Bookman Old Style"/>
      <w:sz w:val="20"/>
      <w:szCs w:val="20"/>
    </w:rPr>
  </w:style>
  <w:style w:type="character" w:customStyle="1" w:styleId="FontStyle28">
    <w:name w:val="Font Style28"/>
    <w:basedOn w:val="DefaultParagraphFont"/>
    <w:uiPriority w:val="99"/>
    <w:rsid w:val="00076E72"/>
    <w:rPr>
      <w:rFonts w:ascii="Times New Roman" w:hAnsi="Times New Roman" w:cs="Times New Roman"/>
      <w:sz w:val="22"/>
      <w:szCs w:val="22"/>
    </w:rPr>
  </w:style>
  <w:style w:type="paragraph" w:customStyle="1" w:styleId="Standard">
    <w:name w:val="Standard"/>
    <w:rsid w:val="00076E72"/>
    <w:pPr>
      <w:widowControl w:val="0"/>
      <w:suppressAutoHyphens/>
      <w:autoSpaceDE w:val="0"/>
      <w:autoSpaceDN w:val="0"/>
      <w:spacing w:after="0" w:line="240" w:lineRule="auto"/>
      <w:textAlignment w:val="baseline"/>
    </w:pPr>
    <w:rPr>
      <w:rFonts w:ascii="Bookman Old Style" w:eastAsia="Times New Roman" w:hAnsi="Bookman Old Style" w:cs="Bookman Old Style"/>
      <w:kern w:val="3"/>
      <w:sz w:val="24"/>
      <w:szCs w:val="24"/>
      <w:lang w:val="en-US" w:eastAsia="zh-CN" w:bidi="hi-IN"/>
    </w:rPr>
  </w:style>
  <w:style w:type="character" w:customStyle="1" w:styleId="FontStyle39">
    <w:name w:val="Font Style39"/>
    <w:basedOn w:val="DefaultParagraphFont"/>
    <w:uiPriority w:val="99"/>
    <w:rsid w:val="00076E72"/>
    <w:rPr>
      <w:rFonts w:ascii="Bookman Old Style" w:hAnsi="Bookman Old Style" w:cs="Bookman Old Style"/>
      <w:b/>
      <w:bCs/>
      <w:i/>
      <w:iCs/>
      <w:sz w:val="20"/>
      <w:szCs w:val="20"/>
    </w:rPr>
  </w:style>
  <w:style w:type="character" w:customStyle="1" w:styleId="FontStyle112">
    <w:name w:val="Font Style112"/>
    <w:basedOn w:val="DefaultParagraphFont"/>
    <w:uiPriority w:val="99"/>
    <w:rsid w:val="00076E72"/>
    <w:rPr>
      <w:rFonts w:ascii="Times New Roman" w:hAnsi="Times New Roman" w:cs="Times New Roman"/>
      <w:sz w:val="20"/>
      <w:szCs w:val="20"/>
    </w:rPr>
  </w:style>
  <w:style w:type="character" w:customStyle="1" w:styleId="FontStyle129">
    <w:name w:val="Font Style129"/>
    <w:basedOn w:val="DefaultParagraphFont"/>
    <w:uiPriority w:val="99"/>
    <w:rsid w:val="00076E72"/>
    <w:rPr>
      <w:rFonts w:ascii="Times New Roman" w:hAnsi="Times New Roman" w:cs="Times New Roman"/>
      <w:b/>
      <w:bCs/>
      <w:sz w:val="24"/>
      <w:szCs w:val="24"/>
    </w:rPr>
  </w:style>
  <w:style w:type="character" w:customStyle="1" w:styleId="FontStyle130">
    <w:name w:val="Font Style130"/>
    <w:basedOn w:val="DefaultParagraphFont"/>
    <w:uiPriority w:val="99"/>
    <w:rsid w:val="00076E72"/>
    <w:rPr>
      <w:rFonts w:ascii="Times New Roman" w:hAnsi="Times New Roman" w:cs="Times New Roman"/>
      <w:sz w:val="24"/>
      <w:szCs w:val="24"/>
    </w:rPr>
  </w:style>
  <w:style w:type="character" w:customStyle="1" w:styleId="FontStyle132">
    <w:name w:val="Font Style132"/>
    <w:basedOn w:val="DefaultParagraphFont"/>
    <w:uiPriority w:val="99"/>
    <w:rsid w:val="00076E72"/>
    <w:rPr>
      <w:rFonts w:ascii="Times New Roman" w:hAnsi="Times New Roman" w:cs="Times New Roman"/>
      <w:sz w:val="20"/>
      <w:szCs w:val="20"/>
    </w:rPr>
  </w:style>
  <w:style w:type="character" w:customStyle="1" w:styleId="FontStyle133">
    <w:name w:val="Font Style133"/>
    <w:basedOn w:val="DefaultParagraphFont"/>
    <w:uiPriority w:val="99"/>
    <w:rsid w:val="00076E72"/>
    <w:rPr>
      <w:rFonts w:ascii="Times New Roman" w:hAnsi="Times New Roman" w:cs="Times New Roman"/>
      <w:sz w:val="22"/>
      <w:szCs w:val="22"/>
    </w:rPr>
  </w:style>
  <w:style w:type="character" w:customStyle="1" w:styleId="FontStyle134">
    <w:name w:val="Font Style134"/>
    <w:basedOn w:val="DefaultParagraphFont"/>
    <w:uiPriority w:val="99"/>
    <w:rsid w:val="00076E72"/>
    <w:rPr>
      <w:rFonts w:ascii="Times New Roman" w:hAnsi="Times New Roman" w:cs="Times New Roman"/>
      <w:i/>
      <w:iCs/>
      <w:sz w:val="24"/>
      <w:szCs w:val="24"/>
    </w:rPr>
  </w:style>
  <w:style w:type="character" w:customStyle="1" w:styleId="FontStyle135">
    <w:name w:val="Font Style135"/>
    <w:basedOn w:val="DefaultParagraphFont"/>
    <w:uiPriority w:val="99"/>
    <w:rsid w:val="00076E72"/>
    <w:rPr>
      <w:rFonts w:ascii="Times New Roman" w:hAnsi="Times New Roman" w:cs="Times New Roman"/>
      <w:b/>
      <w:bCs/>
      <w:sz w:val="22"/>
      <w:szCs w:val="22"/>
    </w:rPr>
  </w:style>
  <w:style w:type="character" w:customStyle="1" w:styleId="FontStyle136">
    <w:name w:val="Font Style136"/>
    <w:basedOn w:val="DefaultParagraphFont"/>
    <w:uiPriority w:val="99"/>
    <w:rsid w:val="00076E72"/>
    <w:rPr>
      <w:rFonts w:ascii="Times New Roman" w:hAnsi="Times New Roman" w:cs="Times New Roman"/>
      <w:i/>
      <w:iCs/>
      <w:sz w:val="24"/>
      <w:szCs w:val="24"/>
    </w:rPr>
  </w:style>
  <w:style w:type="character" w:customStyle="1" w:styleId="FontStyle108">
    <w:name w:val="Font Style108"/>
    <w:basedOn w:val="DefaultParagraphFont"/>
    <w:uiPriority w:val="99"/>
    <w:rsid w:val="00076E72"/>
    <w:rPr>
      <w:rFonts w:ascii="Times New Roman" w:hAnsi="Times New Roman" w:cs="Times New Roman"/>
      <w:b/>
      <w:bCs/>
      <w:sz w:val="20"/>
      <w:szCs w:val="20"/>
    </w:rPr>
  </w:style>
  <w:style w:type="character" w:customStyle="1" w:styleId="FontStyle110">
    <w:name w:val="Font Style110"/>
    <w:basedOn w:val="DefaultParagraphFont"/>
    <w:uiPriority w:val="99"/>
    <w:rsid w:val="00076E72"/>
    <w:rPr>
      <w:rFonts w:ascii="Times New Roman" w:hAnsi="Times New Roman" w:cs="Times New Roman"/>
      <w:sz w:val="20"/>
      <w:szCs w:val="20"/>
    </w:rPr>
  </w:style>
  <w:style w:type="character" w:customStyle="1" w:styleId="FontStyle111">
    <w:name w:val="Font Style111"/>
    <w:basedOn w:val="DefaultParagraphFont"/>
    <w:uiPriority w:val="99"/>
    <w:rsid w:val="00076E72"/>
    <w:rPr>
      <w:rFonts w:ascii="Times New Roman" w:hAnsi="Times New Roman" w:cs="Times New Roman"/>
      <w:b/>
      <w:bCs/>
      <w:i/>
      <w:iCs/>
      <w:sz w:val="20"/>
      <w:szCs w:val="20"/>
    </w:rPr>
  </w:style>
  <w:style w:type="character" w:customStyle="1" w:styleId="FontStyle113">
    <w:name w:val="Font Style113"/>
    <w:basedOn w:val="DefaultParagraphFont"/>
    <w:uiPriority w:val="99"/>
    <w:rsid w:val="00076E72"/>
    <w:rPr>
      <w:rFonts w:ascii="Times New Roman" w:hAnsi="Times New Roman" w:cs="Times New Roman"/>
      <w:i/>
      <w:iCs/>
      <w:sz w:val="20"/>
      <w:szCs w:val="20"/>
    </w:rPr>
  </w:style>
  <w:style w:type="character" w:customStyle="1" w:styleId="FontStyle127">
    <w:name w:val="Font Style127"/>
    <w:basedOn w:val="DefaultParagraphFont"/>
    <w:uiPriority w:val="99"/>
    <w:rsid w:val="00076E72"/>
    <w:rPr>
      <w:rFonts w:ascii="Times New Roman" w:hAnsi="Times New Roman" w:cs="Times New Roman"/>
      <w:b/>
      <w:bCs/>
      <w:sz w:val="16"/>
      <w:szCs w:val="16"/>
    </w:rPr>
  </w:style>
  <w:style w:type="paragraph" w:styleId="Subtitle">
    <w:name w:val="Subtitle"/>
    <w:basedOn w:val="Normal"/>
    <w:link w:val="SubtitleChar"/>
    <w:uiPriority w:val="11"/>
    <w:qFormat/>
    <w:rsid w:val="00076E72"/>
    <w:pPr>
      <w:jc w:val="center"/>
    </w:pPr>
    <w:rPr>
      <w:sz w:val="28"/>
      <w:szCs w:val="24"/>
      <w:lang w:eastAsia="sq-AL"/>
    </w:rPr>
  </w:style>
  <w:style w:type="character" w:customStyle="1" w:styleId="SubtitleChar">
    <w:name w:val="Subtitle Char"/>
    <w:basedOn w:val="DefaultParagraphFont"/>
    <w:link w:val="Subtitle"/>
    <w:uiPriority w:val="11"/>
    <w:rsid w:val="00076E72"/>
    <w:rPr>
      <w:rFonts w:ascii="Times New Roman" w:eastAsia="Times New Roman" w:hAnsi="Times New Roman" w:cs="Times New Roman"/>
      <w:sz w:val="28"/>
      <w:szCs w:val="24"/>
      <w:lang w:val="en-US" w:eastAsia="sq-AL"/>
    </w:rPr>
  </w:style>
  <w:style w:type="character" w:customStyle="1" w:styleId="BodytextSpacing-1pt0">
    <w:name w:val="Body text + Spacing -1 pt"/>
    <w:basedOn w:val="DefaultParagraphFont"/>
    <w:rsid w:val="00076E72"/>
    <w:rPr>
      <w:rFonts w:ascii="Times New Roman" w:hAnsi="Times New Roman" w:cs="Times New Roman"/>
      <w:spacing w:val="-30"/>
      <w:sz w:val="27"/>
      <w:szCs w:val="27"/>
      <w:shd w:val="clear" w:color="auto" w:fill="FFFFFF"/>
    </w:rPr>
  </w:style>
  <w:style w:type="character" w:customStyle="1" w:styleId="FontStyle250">
    <w:name w:val="Font Style25"/>
    <w:basedOn w:val="DefaultParagraphFont"/>
    <w:uiPriority w:val="99"/>
    <w:rsid w:val="00076E72"/>
    <w:rPr>
      <w:rFonts w:ascii="Times New Roman" w:hAnsi="Times New Roman" w:cs="Times New Roman"/>
      <w:sz w:val="22"/>
      <w:szCs w:val="22"/>
    </w:rPr>
  </w:style>
  <w:style w:type="character" w:customStyle="1" w:styleId="FontStyle52">
    <w:name w:val="Font Style52"/>
    <w:basedOn w:val="DefaultParagraphFont"/>
    <w:rsid w:val="00076E72"/>
    <w:rPr>
      <w:rFonts w:ascii="Bookman Old Style" w:hAnsi="Bookman Old Style" w:cs="Bookman Old Style"/>
      <w:b/>
      <w:bCs/>
      <w:spacing w:val="-10"/>
      <w:sz w:val="30"/>
      <w:szCs w:val="30"/>
    </w:rPr>
  </w:style>
  <w:style w:type="paragraph" w:styleId="z-TopofForm">
    <w:name w:val="HTML Top of Form"/>
    <w:basedOn w:val="Normal"/>
    <w:next w:val="Normal"/>
    <w:link w:val="z-TopofFormChar"/>
    <w:hidden/>
    <w:uiPriority w:val="99"/>
    <w:semiHidden/>
    <w:unhideWhenUsed/>
    <w:rsid w:val="00076E72"/>
    <w:pPr>
      <w:pBdr>
        <w:bottom w:val="single" w:sz="6" w:space="1" w:color="auto"/>
      </w:pBdr>
      <w:jc w:val="center"/>
    </w:pPr>
    <w:rPr>
      <w:rFonts w:ascii="Arial" w:hAnsi="Arial" w:cs="Arial"/>
      <w:vanish/>
      <w:sz w:val="16"/>
      <w:szCs w:val="16"/>
      <w:lang w:eastAsia="sq-AL"/>
    </w:rPr>
  </w:style>
  <w:style w:type="character" w:customStyle="1" w:styleId="z-TopofFormChar">
    <w:name w:val="z-Top of Form Char"/>
    <w:basedOn w:val="DefaultParagraphFont"/>
    <w:link w:val="z-TopofForm"/>
    <w:uiPriority w:val="99"/>
    <w:semiHidden/>
    <w:rsid w:val="00076E72"/>
    <w:rPr>
      <w:rFonts w:ascii="Arial" w:eastAsia="Times New Roman" w:hAnsi="Arial" w:cs="Arial"/>
      <w:vanish/>
      <w:sz w:val="16"/>
      <w:szCs w:val="16"/>
      <w:lang w:val="en-US" w:eastAsia="sq-AL"/>
    </w:rPr>
  </w:style>
  <w:style w:type="paragraph" w:styleId="z-BottomofForm">
    <w:name w:val="HTML Bottom of Form"/>
    <w:basedOn w:val="Normal"/>
    <w:next w:val="Normal"/>
    <w:link w:val="z-BottomofFormChar"/>
    <w:hidden/>
    <w:uiPriority w:val="99"/>
    <w:semiHidden/>
    <w:unhideWhenUsed/>
    <w:rsid w:val="00076E72"/>
    <w:pPr>
      <w:pBdr>
        <w:top w:val="single" w:sz="6" w:space="1" w:color="auto"/>
      </w:pBdr>
      <w:jc w:val="center"/>
    </w:pPr>
    <w:rPr>
      <w:rFonts w:ascii="Arial" w:hAnsi="Arial" w:cs="Arial"/>
      <w:vanish/>
      <w:sz w:val="16"/>
      <w:szCs w:val="16"/>
      <w:lang w:eastAsia="sq-AL"/>
    </w:rPr>
  </w:style>
  <w:style w:type="character" w:customStyle="1" w:styleId="z-BottomofFormChar">
    <w:name w:val="z-Bottom of Form Char"/>
    <w:basedOn w:val="DefaultParagraphFont"/>
    <w:link w:val="z-BottomofForm"/>
    <w:uiPriority w:val="99"/>
    <w:semiHidden/>
    <w:rsid w:val="00076E72"/>
    <w:rPr>
      <w:rFonts w:ascii="Arial" w:eastAsia="Times New Roman" w:hAnsi="Arial" w:cs="Arial"/>
      <w:vanish/>
      <w:sz w:val="16"/>
      <w:szCs w:val="16"/>
      <w:lang w:val="en-US" w:eastAsia="sq-AL"/>
    </w:rPr>
  </w:style>
  <w:style w:type="character" w:customStyle="1" w:styleId="bodytextbold0">
    <w:name w:val="bodytextbold"/>
    <w:basedOn w:val="DefaultParagraphFont"/>
    <w:rsid w:val="00076E72"/>
  </w:style>
  <w:style w:type="character" w:customStyle="1" w:styleId="bodytext24">
    <w:name w:val="bodytext2"/>
    <w:basedOn w:val="DefaultParagraphFont"/>
    <w:rsid w:val="00076E72"/>
  </w:style>
  <w:style w:type="paragraph" w:customStyle="1" w:styleId="other0">
    <w:name w:val="other0"/>
    <w:basedOn w:val="Normal"/>
    <w:rsid w:val="00076E72"/>
    <w:pPr>
      <w:spacing w:before="100" w:beforeAutospacing="1" w:after="100" w:afterAutospacing="1"/>
    </w:pPr>
    <w:rPr>
      <w:sz w:val="24"/>
      <w:szCs w:val="24"/>
      <w:lang w:eastAsia="sq-AL"/>
    </w:rPr>
  </w:style>
  <w:style w:type="paragraph" w:customStyle="1" w:styleId="style210">
    <w:name w:val="style21"/>
    <w:basedOn w:val="Normal"/>
    <w:rsid w:val="00076E72"/>
    <w:pPr>
      <w:spacing w:before="100" w:beforeAutospacing="1" w:after="100" w:afterAutospacing="1"/>
    </w:pPr>
    <w:rPr>
      <w:sz w:val="24"/>
      <w:szCs w:val="24"/>
      <w:lang w:eastAsia="sq-AL"/>
    </w:rPr>
  </w:style>
  <w:style w:type="character" w:customStyle="1" w:styleId="fontstyle223">
    <w:name w:val="fontstyle223"/>
    <w:basedOn w:val="DefaultParagraphFont"/>
    <w:rsid w:val="00076E72"/>
  </w:style>
  <w:style w:type="character" w:customStyle="1" w:styleId="fontstyle254">
    <w:name w:val="fontstyle254"/>
    <w:basedOn w:val="DefaultParagraphFont"/>
    <w:rsid w:val="00076E72"/>
  </w:style>
  <w:style w:type="character" w:customStyle="1" w:styleId="fontstyle219">
    <w:name w:val="fontstyle219"/>
    <w:basedOn w:val="DefaultParagraphFont"/>
    <w:rsid w:val="00076E72"/>
  </w:style>
  <w:style w:type="character" w:customStyle="1" w:styleId="fontstyle251">
    <w:name w:val="fontstyle251"/>
    <w:basedOn w:val="DefaultParagraphFont"/>
    <w:rsid w:val="00076E72"/>
  </w:style>
  <w:style w:type="paragraph" w:customStyle="1" w:styleId="style76">
    <w:name w:val="style76"/>
    <w:basedOn w:val="Normal"/>
    <w:rsid w:val="00076E72"/>
    <w:pPr>
      <w:spacing w:before="100" w:beforeAutospacing="1" w:after="100" w:afterAutospacing="1"/>
    </w:pPr>
    <w:rPr>
      <w:sz w:val="24"/>
      <w:szCs w:val="24"/>
      <w:lang w:eastAsia="sq-AL"/>
    </w:rPr>
  </w:style>
  <w:style w:type="character" w:customStyle="1" w:styleId="fontstyle252">
    <w:name w:val="fontstyle252"/>
    <w:basedOn w:val="DefaultParagraphFont"/>
    <w:rsid w:val="00076E72"/>
  </w:style>
  <w:style w:type="paragraph" w:customStyle="1" w:styleId="style62">
    <w:name w:val="style6"/>
    <w:basedOn w:val="Normal"/>
    <w:rsid w:val="00076E72"/>
    <w:pPr>
      <w:spacing w:before="100" w:beforeAutospacing="1" w:after="100" w:afterAutospacing="1"/>
    </w:pPr>
    <w:rPr>
      <w:sz w:val="24"/>
      <w:szCs w:val="24"/>
      <w:lang w:eastAsia="sq-AL"/>
    </w:rPr>
  </w:style>
  <w:style w:type="character" w:customStyle="1" w:styleId="fontstyle253">
    <w:name w:val="fontstyle253"/>
    <w:basedOn w:val="DefaultParagraphFont"/>
    <w:rsid w:val="00076E72"/>
  </w:style>
  <w:style w:type="paragraph" w:customStyle="1" w:styleId="style79">
    <w:name w:val="style79"/>
    <w:basedOn w:val="Normal"/>
    <w:rsid w:val="00076E72"/>
    <w:pPr>
      <w:spacing w:before="100" w:beforeAutospacing="1" w:after="100" w:afterAutospacing="1"/>
    </w:pPr>
    <w:rPr>
      <w:sz w:val="24"/>
      <w:szCs w:val="24"/>
      <w:lang w:eastAsia="sq-AL"/>
    </w:rPr>
  </w:style>
  <w:style w:type="character" w:customStyle="1" w:styleId="fontstyle220">
    <w:name w:val="fontstyle220"/>
    <w:basedOn w:val="DefaultParagraphFont"/>
    <w:rsid w:val="00076E72"/>
  </w:style>
  <w:style w:type="paragraph" w:customStyle="1" w:styleId="style85">
    <w:name w:val="style85"/>
    <w:basedOn w:val="Normal"/>
    <w:rsid w:val="00076E72"/>
    <w:pPr>
      <w:spacing w:before="100" w:beforeAutospacing="1" w:after="100" w:afterAutospacing="1"/>
    </w:pPr>
    <w:rPr>
      <w:sz w:val="24"/>
      <w:szCs w:val="24"/>
      <w:lang w:eastAsia="sq-AL"/>
    </w:rPr>
  </w:style>
  <w:style w:type="character" w:customStyle="1" w:styleId="fontstyle326">
    <w:name w:val="fontstyle326"/>
    <w:basedOn w:val="DefaultParagraphFont"/>
    <w:rsid w:val="00076E72"/>
  </w:style>
  <w:style w:type="paragraph" w:customStyle="1" w:styleId="style180">
    <w:name w:val="style18"/>
    <w:basedOn w:val="Normal"/>
    <w:rsid w:val="00076E72"/>
    <w:pPr>
      <w:spacing w:before="100" w:beforeAutospacing="1" w:after="100" w:afterAutospacing="1"/>
    </w:pPr>
    <w:rPr>
      <w:sz w:val="24"/>
      <w:szCs w:val="24"/>
      <w:lang w:eastAsia="sq-AL"/>
    </w:rPr>
  </w:style>
  <w:style w:type="character" w:customStyle="1" w:styleId="fontstyle221">
    <w:name w:val="fontstyle221"/>
    <w:basedOn w:val="DefaultParagraphFont"/>
    <w:rsid w:val="00076E72"/>
  </w:style>
  <w:style w:type="paragraph" w:customStyle="1" w:styleId="style80">
    <w:name w:val="style8"/>
    <w:basedOn w:val="Normal"/>
    <w:rsid w:val="00076E72"/>
    <w:pPr>
      <w:spacing w:before="100" w:beforeAutospacing="1" w:after="100" w:afterAutospacing="1"/>
    </w:pPr>
    <w:rPr>
      <w:sz w:val="24"/>
      <w:szCs w:val="24"/>
      <w:lang w:eastAsia="sq-AL"/>
    </w:rPr>
  </w:style>
  <w:style w:type="character" w:customStyle="1" w:styleId="fontstyle257">
    <w:name w:val="fontstyle257"/>
    <w:basedOn w:val="DefaultParagraphFont"/>
    <w:rsid w:val="00076E72"/>
  </w:style>
  <w:style w:type="character" w:customStyle="1" w:styleId="fontstyle256">
    <w:name w:val="fontstyle256"/>
    <w:basedOn w:val="DefaultParagraphFont"/>
    <w:rsid w:val="00076E72"/>
  </w:style>
  <w:style w:type="character" w:customStyle="1" w:styleId="fontstyle234">
    <w:name w:val="fontstyle234"/>
    <w:basedOn w:val="DefaultParagraphFont"/>
    <w:rsid w:val="00076E72"/>
  </w:style>
  <w:style w:type="paragraph" w:customStyle="1" w:styleId="style460">
    <w:name w:val="style46"/>
    <w:basedOn w:val="Normal"/>
    <w:rsid w:val="00076E72"/>
    <w:pPr>
      <w:spacing w:before="100" w:beforeAutospacing="1" w:after="100" w:afterAutospacing="1"/>
    </w:pPr>
    <w:rPr>
      <w:sz w:val="24"/>
      <w:szCs w:val="24"/>
      <w:lang w:eastAsia="sq-AL"/>
    </w:rPr>
  </w:style>
  <w:style w:type="character" w:customStyle="1" w:styleId="fontstyle276">
    <w:name w:val="fontstyle276"/>
    <w:basedOn w:val="DefaultParagraphFont"/>
    <w:rsid w:val="00076E72"/>
  </w:style>
  <w:style w:type="paragraph" w:customStyle="1" w:styleId="style120">
    <w:name w:val="style12"/>
    <w:basedOn w:val="Normal"/>
    <w:rsid w:val="00076E72"/>
    <w:pPr>
      <w:spacing w:before="100" w:beforeAutospacing="1" w:after="100" w:afterAutospacing="1"/>
    </w:pPr>
    <w:rPr>
      <w:sz w:val="24"/>
      <w:szCs w:val="24"/>
      <w:lang w:eastAsia="sq-AL"/>
    </w:rPr>
  </w:style>
  <w:style w:type="paragraph" w:customStyle="1" w:styleId="style101">
    <w:name w:val="style101"/>
    <w:basedOn w:val="Normal"/>
    <w:rsid w:val="00076E72"/>
    <w:pPr>
      <w:spacing w:before="100" w:beforeAutospacing="1" w:after="100" w:afterAutospacing="1"/>
    </w:pPr>
    <w:rPr>
      <w:sz w:val="24"/>
      <w:szCs w:val="24"/>
      <w:lang w:eastAsia="sq-AL"/>
    </w:rPr>
  </w:style>
  <w:style w:type="character" w:customStyle="1" w:styleId="fontstyle228">
    <w:name w:val="fontstyle228"/>
    <w:basedOn w:val="DefaultParagraphFont"/>
    <w:rsid w:val="00076E72"/>
  </w:style>
  <w:style w:type="character" w:customStyle="1" w:styleId="fontstyle259">
    <w:name w:val="fontstyle259"/>
    <w:basedOn w:val="DefaultParagraphFont"/>
    <w:rsid w:val="00076E72"/>
  </w:style>
  <w:style w:type="paragraph" w:customStyle="1" w:styleId="style1a">
    <w:name w:val="style1"/>
    <w:basedOn w:val="Normal"/>
    <w:rsid w:val="00076E72"/>
    <w:pPr>
      <w:spacing w:before="100" w:beforeAutospacing="1" w:after="100" w:afterAutospacing="1"/>
    </w:pPr>
    <w:rPr>
      <w:sz w:val="24"/>
      <w:szCs w:val="24"/>
      <w:lang w:eastAsia="sq-AL"/>
    </w:rPr>
  </w:style>
  <w:style w:type="paragraph" w:customStyle="1" w:styleId="style104">
    <w:name w:val="style104"/>
    <w:basedOn w:val="Normal"/>
    <w:rsid w:val="00076E72"/>
    <w:pPr>
      <w:spacing w:before="100" w:beforeAutospacing="1" w:after="100" w:afterAutospacing="1"/>
    </w:pPr>
    <w:rPr>
      <w:sz w:val="24"/>
      <w:szCs w:val="24"/>
      <w:lang w:eastAsia="sq-AL"/>
    </w:rPr>
  </w:style>
  <w:style w:type="paragraph" w:customStyle="1" w:styleId="style105">
    <w:name w:val="style105"/>
    <w:basedOn w:val="Normal"/>
    <w:rsid w:val="00076E72"/>
    <w:pPr>
      <w:spacing w:before="100" w:beforeAutospacing="1" w:after="100" w:afterAutospacing="1"/>
    </w:pPr>
    <w:rPr>
      <w:sz w:val="24"/>
      <w:szCs w:val="24"/>
      <w:lang w:eastAsia="sq-AL"/>
    </w:rPr>
  </w:style>
  <w:style w:type="character" w:customStyle="1" w:styleId="fontstyle241">
    <w:name w:val="fontstyle241"/>
    <w:basedOn w:val="DefaultParagraphFont"/>
    <w:rsid w:val="00076E72"/>
  </w:style>
  <w:style w:type="paragraph" w:customStyle="1" w:styleId="style86">
    <w:name w:val="style86"/>
    <w:basedOn w:val="Normal"/>
    <w:rsid w:val="00076E72"/>
    <w:pPr>
      <w:spacing w:before="100" w:beforeAutospacing="1" w:after="100" w:afterAutospacing="1"/>
    </w:pPr>
    <w:rPr>
      <w:sz w:val="24"/>
      <w:szCs w:val="24"/>
      <w:lang w:eastAsia="sq-AL"/>
    </w:rPr>
  </w:style>
  <w:style w:type="paragraph" w:customStyle="1" w:styleId="style109">
    <w:name w:val="style109"/>
    <w:basedOn w:val="Normal"/>
    <w:rsid w:val="00076E72"/>
    <w:pPr>
      <w:spacing w:before="100" w:beforeAutospacing="1" w:after="100" w:afterAutospacing="1"/>
    </w:pPr>
    <w:rPr>
      <w:sz w:val="24"/>
      <w:szCs w:val="24"/>
      <w:lang w:eastAsia="sq-AL"/>
    </w:rPr>
  </w:style>
  <w:style w:type="character" w:customStyle="1" w:styleId="fontstyle260">
    <w:name w:val="fontstyle260"/>
    <w:basedOn w:val="DefaultParagraphFont"/>
    <w:rsid w:val="00076E72"/>
  </w:style>
  <w:style w:type="paragraph" w:customStyle="1" w:styleId="style78">
    <w:name w:val="style78"/>
    <w:basedOn w:val="Normal"/>
    <w:rsid w:val="00076E72"/>
    <w:pPr>
      <w:spacing w:before="100" w:beforeAutospacing="1" w:after="100" w:afterAutospacing="1"/>
    </w:pPr>
    <w:rPr>
      <w:sz w:val="24"/>
      <w:szCs w:val="24"/>
      <w:lang w:eastAsia="sq-AL"/>
    </w:rPr>
  </w:style>
  <w:style w:type="paragraph" w:customStyle="1" w:styleId="style113">
    <w:name w:val="style113"/>
    <w:basedOn w:val="Normal"/>
    <w:rsid w:val="00076E72"/>
    <w:pPr>
      <w:spacing w:before="100" w:beforeAutospacing="1" w:after="100" w:afterAutospacing="1"/>
    </w:pPr>
    <w:rPr>
      <w:sz w:val="24"/>
      <w:szCs w:val="24"/>
      <w:lang w:eastAsia="sq-AL"/>
    </w:rPr>
  </w:style>
  <w:style w:type="character" w:customStyle="1" w:styleId="fontstyle236">
    <w:name w:val="fontstyle236"/>
    <w:basedOn w:val="DefaultParagraphFont"/>
    <w:rsid w:val="00076E72"/>
  </w:style>
  <w:style w:type="paragraph" w:customStyle="1" w:styleId="style115">
    <w:name w:val="style115"/>
    <w:basedOn w:val="Normal"/>
    <w:rsid w:val="00076E72"/>
    <w:pPr>
      <w:spacing w:before="100" w:beforeAutospacing="1" w:after="100" w:afterAutospacing="1"/>
    </w:pPr>
    <w:rPr>
      <w:sz w:val="24"/>
      <w:szCs w:val="24"/>
      <w:lang w:eastAsia="sq-AL"/>
    </w:rPr>
  </w:style>
  <w:style w:type="paragraph" w:customStyle="1" w:styleId="style108">
    <w:name w:val="style108"/>
    <w:basedOn w:val="Normal"/>
    <w:rsid w:val="00076E72"/>
    <w:pPr>
      <w:spacing w:before="100" w:beforeAutospacing="1" w:after="100" w:afterAutospacing="1"/>
    </w:pPr>
    <w:rPr>
      <w:sz w:val="24"/>
      <w:szCs w:val="24"/>
      <w:lang w:eastAsia="sq-AL"/>
    </w:rPr>
  </w:style>
  <w:style w:type="character" w:customStyle="1" w:styleId="fontstyle262">
    <w:name w:val="fontstyle262"/>
    <w:basedOn w:val="DefaultParagraphFont"/>
    <w:rsid w:val="00076E72"/>
  </w:style>
  <w:style w:type="paragraph" w:customStyle="1" w:styleId="style410">
    <w:name w:val="style41"/>
    <w:basedOn w:val="Normal"/>
    <w:rsid w:val="00076E72"/>
    <w:pPr>
      <w:spacing w:before="100" w:beforeAutospacing="1" w:after="100" w:afterAutospacing="1"/>
    </w:pPr>
    <w:rPr>
      <w:sz w:val="24"/>
      <w:szCs w:val="24"/>
      <w:lang w:eastAsia="sq-AL"/>
    </w:rPr>
  </w:style>
  <w:style w:type="character" w:customStyle="1" w:styleId="fontstyle237">
    <w:name w:val="fontstyle237"/>
    <w:basedOn w:val="DefaultParagraphFont"/>
    <w:rsid w:val="00076E72"/>
  </w:style>
  <w:style w:type="paragraph" w:customStyle="1" w:styleId="style470">
    <w:name w:val="style47"/>
    <w:basedOn w:val="Normal"/>
    <w:rsid w:val="00076E72"/>
    <w:pPr>
      <w:spacing w:before="100" w:beforeAutospacing="1" w:after="100" w:afterAutospacing="1"/>
    </w:pPr>
    <w:rPr>
      <w:sz w:val="24"/>
      <w:szCs w:val="24"/>
      <w:lang w:eastAsia="sq-AL"/>
    </w:rPr>
  </w:style>
  <w:style w:type="paragraph" w:customStyle="1" w:styleId="style90">
    <w:name w:val="style9"/>
    <w:basedOn w:val="Normal"/>
    <w:rsid w:val="00076E72"/>
    <w:pPr>
      <w:spacing w:before="100" w:beforeAutospacing="1" w:after="100" w:afterAutospacing="1"/>
    </w:pPr>
    <w:rPr>
      <w:sz w:val="24"/>
      <w:szCs w:val="24"/>
      <w:lang w:eastAsia="sq-AL"/>
    </w:rPr>
  </w:style>
  <w:style w:type="character" w:customStyle="1" w:styleId="fontstyle302">
    <w:name w:val="fontstyle302"/>
    <w:basedOn w:val="DefaultParagraphFont"/>
    <w:rsid w:val="00076E72"/>
  </w:style>
  <w:style w:type="character" w:customStyle="1" w:styleId="fontstyle267">
    <w:name w:val="fontstyle267"/>
    <w:basedOn w:val="DefaultParagraphFont"/>
    <w:rsid w:val="00076E72"/>
  </w:style>
  <w:style w:type="paragraph" w:customStyle="1" w:styleId="style100">
    <w:name w:val="style10"/>
    <w:basedOn w:val="Normal"/>
    <w:rsid w:val="00076E72"/>
    <w:pPr>
      <w:spacing w:before="100" w:beforeAutospacing="1" w:after="100" w:afterAutospacing="1"/>
    </w:pPr>
    <w:rPr>
      <w:sz w:val="24"/>
      <w:szCs w:val="24"/>
      <w:lang w:eastAsia="sq-AL"/>
    </w:rPr>
  </w:style>
  <w:style w:type="paragraph" w:customStyle="1" w:styleId="style141">
    <w:name w:val="style141"/>
    <w:basedOn w:val="Normal"/>
    <w:rsid w:val="00076E72"/>
    <w:pPr>
      <w:spacing w:before="100" w:beforeAutospacing="1" w:after="100" w:afterAutospacing="1"/>
    </w:pPr>
    <w:rPr>
      <w:sz w:val="24"/>
      <w:szCs w:val="24"/>
      <w:lang w:eastAsia="sq-AL"/>
    </w:rPr>
  </w:style>
  <w:style w:type="paragraph" w:customStyle="1" w:styleId="style5a">
    <w:name w:val="style5"/>
    <w:basedOn w:val="Normal"/>
    <w:rsid w:val="00076E72"/>
    <w:pPr>
      <w:spacing w:before="100" w:beforeAutospacing="1" w:after="100" w:afterAutospacing="1"/>
    </w:pPr>
    <w:rPr>
      <w:sz w:val="24"/>
      <w:szCs w:val="24"/>
      <w:lang w:eastAsia="sq-AL"/>
    </w:rPr>
  </w:style>
  <w:style w:type="character" w:customStyle="1" w:styleId="fontstyle247">
    <w:name w:val="fontstyle247"/>
    <w:basedOn w:val="DefaultParagraphFont"/>
    <w:rsid w:val="00076E72"/>
  </w:style>
  <w:style w:type="paragraph" w:customStyle="1" w:styleId="style150">
    <w:name w:val="style15"/>
    <w:basedOn w:val="Normal"/>
    <w:rsid w:val="00076E72"/>
    <w:pPr>
      <w:spacing w:before="100" w:beforeAutospacing="1" w:after="100" w:afterAutospacing="1"/>
    </w:pPr>
    <w:rPr>
      <w:sz w:val="24"/>
      <w:szCs w:val="24"/>
      <w:lang w:eastAsia="sq-AL"/>
    </w:rPr>
  </w:style>
  <w:style w:type="paragraph" w:customStyle="1" w:styleId="style169">
    <w:name w:val="style169"/>
    <w:basedOn w:val="Normal"/>
    <w:rsid w:val="00076E72"/>
    <w:pPr>
      <w:spacing w:before="100" w:beforeAutospacing="1" w:after="100" w:afterAutospacing="1"/>
    </w:pPr>
    <w:rPr>
      <w:sz w:val="24"/>
      <w:szCs w:val="24"/>
      <w:lang w:eastAsia="sq-AL"/>
    </w:rPr>
  </w:style>
  <w:style w:type="character" w:customStyle="1" w:styleId="fontstyle271">
    <w:name w:val="fontstyle271"/>
    <w:basedOn w:val="DefaultParagraphFont"/>
    <w:rsid w:val="00076E72"/>
  </w:style>
  <w:style w:type="character" w:customStyle="1" w:styleId="fontstyle270">
    <w:name w:val="fontstyle270"/>
    <w:basedOn w:val="DefaultParagraphFont"/>
    <w:rsid w:val="00076E72"/>
  </w:style>
  <w:style w:type="character" w:customStyle="1" w:styleId="fontstyle274">
    <w:name w:val="fontstyle274"/>
    <w:basedOn w:val="DefaultParagraphFont"/>
    <w:rsid w:val="00076E72"/>
  </w:style>
  <w:style w:type="paragraph" w:customStyle="1" w:styleId="style183">
    <w:name w:val="style183"/>
    <w:basedOn w:val="Normal"/>
    <w:rsid w:val="00076E72"/>
    <w:pPr>
      <w:spacing w:before="100" w:beforeAutospacing="1" w:after="100" w:afterAutospacing="1"/>
    </w:pPr>
    <w:rPr>
      <w:sz w:val="24"/>
      <w:szCs w:val="24"/>
      <w:lang w:eastAsia="sq-AL"/>
    </w:rPr>
  </w:style>
  <w:style w:type="character" w:customStyle="1" w:styleId="fontstyle45">
    <w:name w:val="fontstyle45"/>
    <w:basedOn w:val="DefaultParagraphFont"/>
    <w:rsid w:val="00076E72"/>
  </w:style>
  <w:style w:type="paragraph" w:customStyle="1" w:styleId="style156">
    <w:name w:val="style156"/>
    <w:basedOn w:val="Normal"/>
    <w:rsid w:val="00076E72"/>
    <w:pPr>
      <w:spacing w:before="100" w:beforeAutospacing="1" w:after="100" w:afterAutospacing="1"/>
    </w:pPr>
    <w:rPr>
      <w:sz w:val="24"/>
      <w:szCs w:val="24"/>
      <w:lang w:eastAsia="sq-AL"/>
    </w:rPr>
  </w:style>
  <w:style w:type="character" w:customStyle="1" w:styleId="fontstyle290">
    <w:name w:val="fontstyle29"/>
    <w:basedOn w:val="DefaultParagraphFont"/>
    <w:rsid w:val="00076E72"/>
  </w:style>
  <w:style w:type="character" w:customStyle="1" w:styleId="fontstyle239">
    <w:name w:val="fontstyle239"/>
    <w:basedOn w:val="DefaultParagraphFont"/>
    <w:rsid w:val="00076E72"/>
  </w:style>
  <w:style w:type="paragraph" w:customStyle="1" w:styleId="style240">
    <w:name w:val="style24"/>
    <w:basedOn w:val="Normal"/>
    <w:rsid w:val="00076E72"/>
    <w:pPr>
      <w:spacing w:before="100" w:beforeAutospacing="1" w:after="100" w:afterAutospacing="1"/>
    </w:pPr>
    <w:rPr>
      <w:sz w:val="24"/>
      <w:szCs w:val="24"/>
      <w:lang w:eastAsia="sq-AL"/>
    </w:rPr>
  </w:style>
  <w:style w:type="character" w:customStyle="1" w:styleId="fontstyle30">
    <w:name w:val="fontstyle30"/>
    <w:basedOn w:val="DefaultParagraphFont"/>
    <w:rsid w:val="00076E72"/>
  </w:style>
  <w:style w:type="paragraph" w:styleId="BodyTextIndent2">
    <w:name w:val="Body Text Indent 2"/>
    <w:basedOn w:val="Normal"/>
    <w:link w:val="BodyTextIndent2Char"/>
    <w:unhideWhenUsed/>
    <w:rsid w:val="00076E72"/>
    <w:pPr>
      <w:spacing w:after="120" w:line="480" w:lineRule="auto"/>
      <w:ind w:left="360"/>
    </w:pPr>
    <w:rPr>
      <w:sz w:val="24"/>
      <w:szCs w:val="24"/>
      <w:lang w:val="sq-AL" w:eastAsia="sq-AL"/>
    </w:rPr>
  </w:style>
  <w:style w:type="character" w:customStyle="1" w:styleId="BodyTextIndent2Char">
    <w:name w:val="Body Text Indent 2 Char"/>
    <w:basedOn w:val="DefaultParagraphFont"/>
    <w:link w:val="BodyTextIndent2"/>
    <w:rsid w:val="00076E72"/>
    <w:rPr>
      <w:rFonts w:ascii="Times New Roman" w:eastAsia="Times New Roman" w:hAnsi="Times New Roman" w:cs="Times New Roman"/>
      <w:sz w:val="24"/>
      <w:szCs w:val="24"/>
      <w:lang w:eastAsia="sq-AL"/>
    </w:rPr>
  </w:style>
  <w:style w:type="paragraph" w:customStyle="1" w:styleId="bodytext6">
    <w:name w:val="bodytext6"/>
    <w:basedOn w:val="Normal"/>
    <w:rsid w:val="00076E72"/>
    <w:pPr>
      <w:spacing w:before="100" w:beforeAutospacing="1" w:after="100" w:afterAutospacing="1"/>
    </w:pPr>
    <w:rPr>
      <w:sz w:val="24"/>
      <w:szCs w:val="24"/>
    </w:rPr>
  </w:style>
  <w:style w:type="character" w:customStyle="1" w:styleId="bodytext5pt">
    <w:name w:val="bodytext5pt"/>
    <w:basedOn w:val="DefaultParagraphFont"/>
    <w:rsid w:val="00076E72"/>
  </w:style>
  <w:style w:type="paragraph" w:customStyle="1" w:styleId="bodytext51">
    <w:name w:val="bodytext51"/>
    <w:basedOn w:val="Normal"/>
    <w:rsid w:val="00076E72"/>
    <w:pPr>
      <w:spacing w:before="100" w:beforeAutospacing="1" w:after="100" w:afterAutospacing="1"/>
    </w:pPr>
    <w:rPr>
      <w:sz w:val="24"/>
      <w:szCs w:val="24"/>
    </w:rPr>
  </w:style>
  <w:style w:type="character" w:customStyle="1" w:styleId="bodytext105pt">
    <w:name w:val="bodytext105pt"/>
    <w:basedOn w:val="DefaultParagraphFont"/>
    <w:rsid w:val="00076E72"/>
  </w:style>
  <w:style w:type="character" w:customStyle="1" w:styleId="bodytext41">
    <w:name w:val="bodytext41"/>
    <w:basedOn w:val="DefaultParagraphFont"/>
    <w:rsid w:val="00076E72"/>
  </w:style>
  <w:style w:type="paragraph" w:customStyle="1" w:styleId="default0">
    <w:name w:val="default"/>
    <w:basedOn w:val="Normal"/>
    <w:rsid w:val="00076E72"/>
    <w:pPr>
      <w:spacing w:before="100" w:beforeAutospacing="1" w:after="100" w:afterAutospacing="1"/>
    </w:pPr>
    <w:rPr>
      <w:sz w:val="24"/>
      <w:szCs w:val="24"/>
    </w:rPr>
  </w:style>
  <w:style w:type="paragraph" w:customStyle="1" w:styleId="BodyText33">
    <w:name w:val="Body Text3"/>
    <w:basedOn w:val="Normal"/>
    <w:rsid w:val="00076E72"/>
    <w:pPr>
      <w:widowControl w:val="0"/>
      <w:shd w:val="clear" w:color="auto" w:fill="FFFFFF"/>
      <w:spacing w:before="180" w:after="660" w:line="0" w:lineRule="atLeast"/>
      <w:ind w:hanging="840"/>
      <w:jc w:val="both"/>
    </w:pPr>
    <w:rPr>
      <w:color w:val="000000"/>
      <w:sz w:val="21"/>
      <w:szCs w:val="21"/>
      <w:lang w:val="sq-AL" w:eastAsia="sq-AL" w:bidi="he-IL"/>
    </w:rPr>
  </w:style>
  <w:style w:type="character" w:customStyle="1" w:styleId="Bodytext5Bold">
    <w:name w:val="Body text (5) + Bold"/>
    <w:basedOn w:val="DefaultParagraphFont"/>
    <w:rsid w:val="00076E72"/>
    <w:rPr>
      <w:rFonts w:ascii="Times New Roman" w:eastAsia="Times New Roman" w:hAnsi="Times New Roman" w:cs="Times New Roman"/>
      <w:b/>
      <w:bCs/>
      <w:i/>
      <w:iCs/>
      <w:smallCaps w:val="0"/>
      <w:strike w:val="0"/>
      <w:color w:val="000000"/>
      <w:spacing w:val="0"/>
      <w:w w:val="100"/>
      <w:position w:val="0"/>
      <w:sz w:val="23"/>
      <w:szCs w:val="23"/>
      <w:u w:val="none"/>
      <w:lang w:val="sq-AL"/>
    </w:rPr>
  </w:style>
  <w:style w:type="character" w:customStyle="1" w:styleId="Bodytext7">
    <w:name w:val="Body text (7)_"/>
    <w:basedOn w:val="DefaultParagraphFont"/>
    <w:link w:val="Bodytext70"/>
    <w:rsid w:val="00076E72"/>
    <w:rPr>
      <w:rFonts w:eastAsia="Times New Roman"/>
      <w:b/>
      <w:bCs/>
      <w:sz w:val="23"/>
      <w:szCs w:val="23"/>
      <w:shd w:val="clear" w:color="auto" w:fill="FFFFFF"/>
    </w:rPr>
  </w:style>
  <w:style w:type="paragraph" w:customStyle="1" w:styleId="BodyText42">
    <w:name w:val="Body Text4"/>
    <w:basedOn w:val="Normal"/>
    <w:rsid w:val="00076E72"/>
    <w:pPr>
      <w:widowControl w:val="0"/>
      <w:shd w:val="clear" w:color="auto" w:fill="FFFFFF"/>
      <w:spacing w:before="120" w:after="240" w:line="274" w:lineRule="exact"/>
      <w:ind w:hanging="700"/>
    </w:pPr>
    <w:rPr>
      <w:color w:val="000000"/>
      <w:sz w:val="23"/>
      <w:szCs w:val="23"/>
      <w:lang w:val="sq-AL"/>
    </w:rPr>
  </w:style>
  <w:style w:type="paragraph" w:customStyle="1" w:styleId="Bodytext70">
    <w:name w:val="Body text (7)"/>
    <w:basedOn w:val="Normal"/>
    <w:link w:val="Bodytext7"/>
    <w:rsid w:val="00076E72"/>
    <w:pPr>
      <w:widowControl w:val="0"/>
      <w:shd w:val="clear" w:color="auto" w:fill="FFFFFF"/>
      <w:spacing w:before="480" w:after="240" w:line="277" w:lineRule="exact"/>
      <w:ind w:hanging="380"/>
      <w:jc w:val="both"/>
    </w:pPr>
    <w:rPr>
      <w:rFonts w:asciiTheme="minorHAnsi" w:hAnsiTheme="minorHAnsi" w:cstheme="minorBidi"/>
      <w:b/>
      <w:bCs/>
      <w:sz w:val="23"/>
      <w:szCs w:val="23"/>
      <w:lang w:val="sq-AL"/>
    </w:rPr>
  </w:style>
  <w:style w:type="character" w:customStyle="1" w:styleId="Bodytext7NotBold">
    <w:name w:val="Body text (7) + Not Bold"/>
    <w:basedOn w:val="Bodytext7"/>
    <w:rsid w:val="00076E72"/>
    <w:rPr>
      <w:i w:val="0"/>
      <w:iCs w:val="0"/>
      <w:smallCaps w:val="0"/>
      <w:strike w:val="0"/>
      <w:color w:val="000000"/>
      <w:spacing w:val="0"/>
      <w:w w:val="100"/>
      <w:position w:val="0"/>
      <w:u w:val="none"/>
      <w:lang w:val="sq-AL"/>
    </w:rPr>
  </w:style>
  <w:style w:type="character" w:customStyle="1" w:styleId="Heading3NotBold">
    <w:name w:val="Heading #3 + Not Bold"/>
    <w:basedOn w:val="DefaultParagraphFont"/>
    <w:rsid w:val="00076E72"/>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sq-AL"/>
    </w:rPr>
  </w:style>
  <w:style w:type="character" w:customStyle="1" w:styleId="BodytextNotItalic">
    <w:name w:val="Body text + Not Italic"/>
    <w:basedOn w:val="DefaultParagraphFont"/>
    <w:rsid w:val="00076E72"/>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q-AL"/>
    </w:rPr>
  </w:style>
  <w:style w:type="character" w:customStyle="1" w:styleId="Bodytext3NotBold">
    <w:name w:val="Body text (3) + Not Bold"/>
    <w:rsid w:val="00076E72"/>
    <w:rPr>
      <w:rFonts w:ascii="Bookman Old Style" w:eastAsia="Bookman Old Style" w:hAnsi="Bookman Old Style" w:cs="Bookman Old Style"/>
      <w:b/>
      <w:bCs/>
      <w:i w:val="0"/>
      <w:iCs w:val="0"/>
      <w:smallCaps w:val="0"/>
      <w:strike w:val="0"/>
      <w:color w:val="000000"/>
      <w:spacing w:val="0"/>
      <w:w w:val="100"/>
      <w:position w:val="0"/>
      <w:sz w:val="22"/>
      <w:szCs w:val="22"/>
      <w:u w:val="none"/>
      <w:shd w:val="clear" w:color="auto" w:fill="FFFFFF"/>
      <w:lang w:val="en-GB" w:eastAsia="en-GB" w:bidi="en-GB"/>
    </w:rPr>
  </w:style>
  <w:style w:type="character" w:styleId="PageNumber">
    <w:name w:val="page number"/>
    <w:basedOn w:val="DefaultParagraphFont"/>
    <w:rsid w:val="00076E72"/>
  </w:style>
  <w:style w:type="paragraph" w:customStyle="1" w:styleId="Pa14">
    <w:name w:val="Pa14"/>
    <w:basedOn w:val="Normal"/>
    <w:next w:val="Normal"/>
    <w:uiPriority w:val="99"/>
    <w:rsid w:val="00076E72"/>
    <w:pPr>
      <w:autoSpaceDE w:val="0"/>
      <w:autoSpaceDN w:val="0"/>
      <w:adjustRightInd w:val="0"/>
      <w:spacing w:line="161" w:lineRule="atLeast"/>
    </w:pPr>
    <w:rPr>
      <w:rFonts w:ascii="Futura Std" w:hAnsi="Futura Std"/>
      <w:noProof/>
      <w:sz w:val="24"/>
      <w:szCs w:val="24"/>
      <w:lang w:val="sq-AL"/>
    </w:rPr>
  </w:style>
  <w:style w:type="character" w:customStyle="1" w:styleId="arial141">
    <w:name w:val="arial141"/>
    <w:rsid w:val="00076E72"/>
    <w:rPr>
      <w:rFonts w:ascii="Arial" w:hAnsi="Arial" w:cs="Arial" w:hint="default"/>
      <w:sz w:val="21"/>
      <w:szCs w:val="21"/>
    </w:rPr>
  </w:style>
  <w:style w:type="paragraph" w:customStyle="1" w:styleId="Paragrafi0">
    <w:name w:val="Paragrafi"/>
    <w:link w:val="ParagrafiChar"/>
    <w:rsid w:val="00076E72"/>
    <w:pPr>
      <w:widowControl w:val="0"/>
      <w:spacing w:after="0" w:line="240" w:lineRule="auto"/>
      <w:ind w:firstLine="720"/>
      <w:jc w:val="both"/>
    </w:pPr>
    <w:rPr>
      <w:rFonts w:ascii="CG Times" w:eastAsia="Times New Roman" w:hAnsi="CG Times" w:cs="Times New Roman"/>
      <w:szCs w:val="20"/>
      <w:lang w:val="en-US"/>
    </w:rPr>
  </w:style>
  <w:style w:type="character" w:customStyle="1" w:styleId="normalchar">
    <w:name w:val="normal__char"/>
    <w:rsid w:val="00076E72"/>
  </w:style>
  <w:style w:type="paragraph" w:styleId="BodyText25">
    <w:name w:val="Body Text 2"/>
    <w:basedOn w:val="Normal"/>
    <w:link w:val="BodyText2Char"/>
    <w:uiPriority w:val="99"/>
    <w:rsid w:val="00076E72"/>
    <w:pPr>
      <w:spacing w:after="120" w:line="480" w:lineRule="auto"/>
    </w:pPr>
    <w:rPr>
      <w:noProof/>
      <w:sz w:val="24"/>
      <w:szCs w:val="24"/>
      <w:lang w:val="sq-AL"/>
    </w:rPr>
  </w:style>
  <w:style w:type="character" w:customStyle="1" w:styleId="BodyText2Char">
    <w:name w:val="Body Text 2 Char"/>
    <w:basedOn w:val="DefaultParagraphFont"/>
    <w:link w:val="BodyText25"/>
    <w:uiPriority w:val="99"/>
    <w:rsid w:val="00076E72"/>
    <w:rPr>
      <w:rFonts w:ascii="Times New Roman" w:eastAsia="Times New Roman" w:hAnsi="Times New Roman" w:cs="Times New Roman"/>
      <w:noProof/>
      <w:sz w:val="24"/>
      <w:szCs w:val="24"/>
    </w:rPr>
  </w:style>
  <w:style w:type="character" w:customStyle="1" w:styleId="cicname">
    <w:name w:val="c_ic_name"/>
    <w:basedOn w:val="DefaultParagraphFont"/>
    <w:rsid w:val="00076E72"/>
  </w:style>
  <w:style w:type="character" w:customStyle="1" w:styleId="BodytextBoldItalic">
    <w:name w:val="Body text + Bold;Italic"/>
    <w:basedOn w:val="DefaultParagraphFont"/>
    <w:rsid w:val="00076E72"/>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sq-AL"/>
    </w:rPr>
  </w:style>
  <w:style w:type="character" w:customStyle="1" w:styleId="BodytextArialNarrow11pt">
    <w:name w:val="Body text + Arial Narrow;11 pt"/>
    <w:basedOn w:val="DefaultParagraphFont"/>
    <w:rsid w:val="00076E72"/>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FFFFFF"/>
    </w:rPr>
  </w:style>
  <w:style w:type="character" w:customStyle="1" w:styleId="Bodytext10pt">
    <w:name w:val="Body text + 10 pt"/>
    <w:basedOn w:val="DefaultParagraphFont"/>
    <w:rsid w:val="00076E72"/>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style>
  <w:style w:type="character" w:customStyle="1" w:styleId="Bodytext9">
    <w:name w:val="Body text (9)_"/>
    <w:basedOn w:val="DefaultParagraphFont"/>
    <w:link w:val="Bodytext90"/>
    <w:rsid w:val="00076E72"/>
    <w:rPr>
      <w:rFonts w:eastAsia="Times New Roman"/>
      <w:b/>
      <w:bCs/>
      <w:i/>
      <w:iCs/>
      <w:sz w:val="21"/>
      <w:szCs w:val="21"/>
      <w:shd w:val="clear" w:color="auto" w:fill="FFFFFF"/>
    </w:rPr>
  </w:style>
  <w:style w:type="character" w:customStyle="1" w:styleId="Bodytext9NotBoldNotItalic">
    <w:name w:val="Body text (9) + Not Bold;Not Italic"/>
    <w:basedOn w:val="Bodytext9"/>
    <w:rsid w:val="00076E72"/>
    <w:rPr>
      <w:color w:val="000000"/>
      <w:spacing w:val="0"/>
      <w:w w:val="100"/>
      <w:position w:val="0"/>
      <w:lang w:val="sq-AL"/>
    </w:rPr>
  </w:style>
  <w:style w:type="paragraph" w:customStyle="1" w:styleId="Bodytext90">
    <w:name w:val="Body text (9)"/>
    <w:basedOn w:val="Normal"/>
    <w:link w:val="Bodytext9"/>
    <w:rsid w:val="00076E72"/>
    <w:pPr>
      <w:widowControl w:val="0"/>
      <w:shd w:val="clear" w:color="auto" w:fill="FFFFFF"/>
      <w:spacing w:line="0" w:lineRule="atLeast"/>
      <w:ind w:hanging="660"/>
    </w:pPr>
    <w:rPr>
      <w:rFonts w:asciiTheme="minorHAnsi" w:hAnsiTheme="minorHAnsi" w:cstheme="minorBidi"/>
      <w:b/>
      <w:bCs/>
      <w:i/>
      <w:iCs/>
      <w:sz w:val="21"/>
      <w:szCs w:val="21"/>
      <w:lang w:val="sq-AL"/>
    </w:rPr>
  </w:style>
  <w:style w:type="character" w:customStyle="1" w:styleId="Bodytext17">
    <w:name w:val="Body text (17)_"/>
    <w:basedOn w:val="DefaultParagraphFont"/>
    <w:link w:val="Bodytext170"/>
    <w:rsid w:val="00076E72"/>
    <w:rPr>
      <w:rFonts w:eastAsia="Times New Roman"/>
      <w:b/>
      <w:bCs/>
      <w:spacing w:val="20"/>
      <w:sz w:val="12"/>
      <w:szCs w:val="12"/>
      <w:shd w:val="clear" w:color="auto" w:fill="FFFFFF"/>
    </w:rPr>
  </w:style>
  <w:style w:type="character" w:customStyle="1" w:styleId="Bodytext17TrebuchetMS105ptNotBoldSpacing0pt">
    <w:name w:val="Body text (17) + Trebuchet MS;10;5 pt;Not Bold;Spacing 0 pt"/>
    <w:basedOn w:val="Bodytext17"/>
    <w:rsid w:val="00076E72"/>
    <w:rPr>
      <w:rFonts w:ascii="Trebuchet MS" w:eastAsia="Trebuchet MS" w:hAnsi="Trebuchet MS" w:cs="Trebuchet MS"/>
      <w:color w:val="000000"/>
      <w:spacing w:val="0"/>
      <w:w w:val="100"/>
      <w:position w:val="0"/>
      <w:sz w:val="21"/>
      <w:szCs w:val="21"/>
    </w:rPr>
  </w:style>
  <w:style w:type="paragraph" w:customStyle="1" w:styleId="Bodytext170">
    <w:name w:val="Body text (17)"/>
    <w:basedOn w:val="Normal"/>
    <w:link w:val="Bodytext17"/>
    <w:rsid w:val="00076E72"/>
    <w:pPr>
      <w:widowControl w:val="0"/>
      <w:shd w:val="clear" w:color="auto" w:fill="FFFFFF"/>
      <w:spacing w:line="264" w:lineRule="exact"/>
      <w:jc w:val="both"/>
    </w:pPr>
    <w:rPr>
      <w:rFonts w:asciiTheme="minorHAnsi" w:hAnsiTheme="minorHAnsi" w:cstheme="minorBidi"/>
      <w:b/>
      <w:bCs/>
      <w:spacing w:val="20"/>
      <w:sz w:val="12"/>
      <w:szCs w:val="12"/>
      <w:lang w:val="sq-AL"/>
    </w:rPr>
  </w:style>
  <w:style w:type="character" w:customStyle="1" w:styleId="Footnote7ptBoldItalic">
    <w:name w:val="Footnote + 7 pt;Bold;Italic"/>
    <w:basedOn w:val="Footnote"/>
    <w:rsid w:val="00076E72"/>
    <w:rPr>
      <w:rFonts w:eastAsia="Times New Roman"/>
      <w:b/>
      <w:bCs/>
      <w:smallCaps w:val="0"/>
      <w:strike w:val="0"/>
      <w:color w:val="000000"/>
      <w:spacing w:val="0"/>
      <w:w w:val="100"/>
      <w:position w:val="0"/>
      <w:sz w:val="14"/>
      <w:szCs w:val="14"/>
      <w:u w:val="none"/>
      <w:shd w:val="clear" w:color="auto" w:fill="FFFFFF"/>
      <w:lang w:val="sq-AL"/>
    </w:rPr>
  </w:style>
  <w:style w:type="character" w:customStyle="1" w:styleId="Bodytext12">
    <w:name w:val="Body text (12)_"/>
    <w:basedOn w:val="DefaultParagraphFont"/>
    <w:link w:val="Bodytext120"/>
    <w:rsid w:val="00076E72"/>
    <w:rPr>
      <w:rFonts w:eastAsia="Times New Roman"/>
      <w:i/>
      <w:iCs/>
      <w:sz w:val="21"/>
      <w:szCs w:val="21"/>
      <w:shd w:val="clear" w:color="auto" w:fill="FFFFFF"/>
    </w:rPr>
  </w:style>
  <w:style w:type="character" w:customStyle="1" w:styleId="Bodytext12NotItalic">
    <w:name w:val="Body text (12) + Not Italic"/>
    <w:basedOn w:val="Bodytext12"/>
    <w:rsid w:val="00076E72"/>
    <w:rPr>
      <w:color w:val="000000"/>
      <w:spacing w:val="0"/>
      <w:w w:val="100"/>
      <w:position w:val="0"/>
      <w:lang w:val="sq-AL"/>
    </w:rPr>
  </w:style>
  <w:style w:type="character" w:customStyle="1" w:styleId="Bodytext12ArialNarrow11ptNotItalic">
    <w:name w:val="Body text (12) + Arial Narrow;11 pt;Not Italic"/>
    <w:basedOn w:val="Bodytext12"/>
    <w:rsid w:val="00076E72"/>
    <w:rPr>
      <w:rFonts w:ascii="Arial Narrow" w:eastAsia="Arial Narrow" w:hAnsi="Arial Narrow" w:cs="Arial Narrow"/>
      <w:color w:val="000000"/>
      <w:spacing w:val="0"/>
      <w:w w:val="100"/>
      <w:position w:val="0"/>
      <w:sz w:val="22"/>
      <w:szCs w:val="22"/>
      <w:lang w:val="sq-AL"/>
    </w:rPr>
  </w:style>
  <w:style w:type="paragraph" w:customStyle="1" w:styleId="Bodytext120">
    <w:name w:val="Body text (12)"/>
    <w:basedOn w:val="Normal"/>
    <w:link w:val="Bodytext12"/>
    <w:rsid w:val="00076E72"/>
    <w:pPr>
      <w:widowControl w:val="0"/>
      <w:shd w:val="clear" w:color="auto" w:fill="FFFFFF"/>
      <w:spacing w:line="264" w:lineRule="exact"/>
      <w:ind w:hanging="660"/>
      <w:jc w:val="both"/>
    </w:pPr>
    <w:rPr>
      <w:rFonts w:asciiTheme="minorHAnsi" w:hAnsiTheme="minorHAnsi" w:cstheme="minorBidi"/>
      <w:i/>
      <w:iCs/>
      <w:sz w:val="21"/>
      <w:szCs w:val="21"/>
      <w:lang w:val="sq-AL"/>
    </w:rPr>
  </w:style>
  <w:style w:type="character" w:customStyle="1" w:styleId="iceouttxt">
    <w:name w:val="iceouttxt"/>
    <w:rsid w:val="00076E72"/>
  </w:style>
  <w:style w:type="character" w:customStyle="1" w:styleId="FootnoteBold">
    <w:name w:val="Footnote + Bold"/>
    <w:rsid w:val="00076E72"/>
    <w:rPr>
      <w:rFonts w:ascii="Bookman Old Style" w:eastAsia="Bookman Old Style" w:hAnsi="Bookman Old Style" w:cs="Bookman Old Style"/>
      <w:b/>
      <w:bCs/>
      <w:i w:val="0"/>
      <w:iCs w:val="0"/>
      <w:smallCaps w:val="0"/>
      <w:strike w:val="0"/>
      <w:color w:val="000000"/>
      <w:spacing w:val="0"/>
      <w:w w:val="100"/>
      <w:position w:val="0"/>
      <w:sz w:val="20"/>
      <w:szCs w:val="20"/>
      <w:u w:val="none"/>
      <w:lang w:val="en-US" w:eastAsia="en-US" w:bidi="en-US"/>
    </w:rPr>
  </w:style>
  <w:style w:type="paragraph" w:customStyle="1" w:styleId="Normal3">
    <w:name w:val="Normal3"/>
    <w:basedOn w:val="Normal"/>
    <w:rsid w:val="00076E72"/>
    <w:pPr>
      <w:spacing w:before="100" w:beforeAutospacing="1" w:after="100" w:afterAutospacing="1"/>
    </w:pPr>
    <w:rPr>
      <w:sz w:val="24"/>
      <w:szCs w:val="24"/>
      <w:lang w:val="en-GB" w:eastAsia="en-GB"/>
    </w:rPr>
  </w:style>
  <w:style w:type="character" w:customStyle="1" w:styleId="BodytextFranklinGothicBook">
    <w:name w:val="Body text + Franklin Gothic Book"/>
    <w:aliases w:val="28 pt"/>
    <w:basedOn w:val="Bodytext"/>
    <w:rsid w:val="00076E72"/>
    <w:rPr>
      <w:rFonts w:ascii="Franklin Gothic Book" w:eastAsia="Franklin Gothic Book" w:hAnsi="Franklin Gothic Book" w:cs="Franklin Gothic Book"/>
      <w:b w:val="0"/>
      <w:bCs w:val="0"/>
      <w:i w:val="0"/>
      <w:iCs w:val="0"/>
      <w:smallCaps w:val="0"/>
      <w:strike w:val="0"/>
      <w:color w:val="000000"/>
      <w:spacing w:val="0"/>
      <w:w w:val="100"/>
      <w:position w:val="0"/>
      <w:sz w:val="56"/>
      <w:szCs w:val="56"/>
      <w:u w:val="none"/>
      <w:shd w:val="clear" w:color="auto" w:fill="FFFFFF"/>
      <w:lang w:val="sq-AL"/>
    </w:rPr>
  </w:style>
  <w:style w:type="character" w:customStyle="1" w:styleId="Bodytext5NotItalic">
    <w:name w:val="Body text (5) + Not Italic"/>
    <w:basedOn w:val="Bodytext5"/>
    <w:rsid w:val="00076E72"/>
    <w:rPr>
      <w:rFonts w:eastAsia="Times New Roman"/>
      <w:b w:val="0"/>
      <w:bCs w:val="0"/>
      <w:i/>
      <w:iCs/>
      <w:color w:val="000000"/>
      <w:spacing w:val="0"/>
      <w:w w:val="100"/>
      <w:position w:val="0"/>
      <w:lang w:val="sq-AL"/>
    </w:rPr>
  </w:style>
  <w:style w:type="character" w:customStyle="1" w:styleId="FontStyle18">
    <w:name w:val="Font Style18"/>
    <w:basedOn w:val="DefaultParagraphFont"/>
    <w:uiPriority w:val="99"/>
    <w:rsid w:val="00076E72"/>
    <w:rPr>
      <w:rFonts w:ascii="Times New Roman" w:hAnsi="Times New Roman" w:cs="Times New Roman"/>
      <w:i/>
      <w:iCs/>
      <w:sz w:val="22"/>
      <w:szCs w:val="22"/>
    </w:rPr>
  </w:style>
  <w:style w:type="character" w:customStyle="1" w:styleId="TitleChar1">
    <w:name w:val="Title Char1"/>
    <w:basedOn w:val="DefaultParagraphFont"/>
    <w:uiPriority w:val="10"/>
    <w:rsid w:val="00076E72"/>
    <w:rPr>
      <w:rFonts w:asciiTheme="majorHAnsi" w:eastAsiaTheme="majorEastAsia" w:hAnsiTheme="majorHAnsi" w:cstheme="majorBidi"/>
      <w:spacing w:val="-10"/>
      <w:kern w:val="28"/>
      <w:sz w:val="56"/>
      <w:szCs w:val="56"/>
    </w:rPr>
  </w:style>
  <w:style w:type="paragraph" w:customStyle="1" w:styleId="StyleStyleJustifiedLeft1Left1">
    <w:name w:val="Style Style Justified Left:  1&quot; + Left:  1&quot;"/>
    <w:basedOn w:val="Normal"/>
    <w:autoRedefine/>
    <w:uiPriority w:val="99"/>
    <w:qFormat/>
    <w:rsid w:val="00076E72"/>
    <w:pPr>
      <w:numPr>
        <w:numId w:val="30"/>
      </w:numPr>
      <w:tabs>
        <w:tab w:val="left" w:pos="360"/>
      </w:tabs>
      <w:ind w:left="0" w:firstLine="0"/>
      <w:jc w:val="both"/>
    </w:pPr>
    <w:rPr>
      <w:i/>
      <w:sz w:val="24"/>
      <w:szCs w:val="24"/>
      <w:lang w:val="it-IT" w:bidi="ar-DZ"/>
    </w:rPr>
  </w:style>
  <w:style w:type="paragraph" w:customStyle="1" w:styleId="Style12ptCentered">
    <w:name w:val="Style 12 pt Centered"/>
    <w:basedOn w:val="Normal"/>
    <w:qFormat/>
    <w:rsid w:val="00076E72"/>
    <w:pPr>
      <w:suppressAutoHyphens/>
      <w:autoSpaceDN w:val="0"/>
      <w:spacing w:after="80"/>
      <w:jc w:val="center"/>
    </w:pPr>
    <w:rPr>
      <w:sz w:val="24"/>
      <w:szCs w:val="24"/>
      <w:lang w:val="sq-AL"/>
    </w:rPr>
  </w:style>
  <w:style w:type="character" w:customStyle="1" w:styleId="Headerorfooter2">
    <w:name w:val="Header or footer (2)_"/>
    <w:basedOn w:val="DefaultParagraphFont"/>
    <w:link w:val="Headerorfooter20"/>
    <w:rsid w:val="00076E72"/>
    <w:rPr>
      <w:rFonts w:eastAsia="Times New Roman"/>
      <w:shd w:val="clear" w:color="auto" w:fill="FFFFFF"/>
    </w:rPr>
  </w:style>
  <w:style w:type="paragraph" w:customStyle="1" w:styleId="Headerorfooter20">
    <w:name w:val="Header or footer (2)"/>
    <w:basedOn w:val="Normal"/>
    <w:link w:val="Headerorfooter2"/>
    <w:rsid w:val="00076E72"/>
    <w:pPr>
      <w:widowControl w:val="0"/>
      <w:shd w:val="clear" w:color="auto" w:fill="FFFFFF"/>
    </w:pPr>
    <w:rPr>
      <w:rFonts w:asciiTheme="minorHAnsi" w:hAnsiTheme="minorHAnsi" w:cstheme="minorBidi"/>
      <w:sz w:val="22"/>
      <w:szCs w:val="22"/>
      <w:lang w:val="sq-AL"/>
    </w:rPr>
  </w:style>
  <w:style w:type="character" w:customStyle="1" w:styleId="FontStyle15">
    <w:name w:val="Font Style15"/>
    <w:uiPriority w:val="99"/>
    <w:rsid w:val="00076E72"/>
    <w:rPr>
      <w:rFonts w:ascii="Book Antiqua" w:hAnsi="Book Antiqua" w:cs="Book Antiqua" w:hint="default"/>
      <w:sz w:val="22"/>
      <w:szCs w:val="22"/>
    </w:rPr>
  </w:style>
  <w:style w:type="character" w:customStyle="1" w:styleId="Bodytext411pt1">
    <w:name w:val="Body text (4) + 11 pt1"/>
    <w:basedOn w:val="Bodytext40"/>
    <w:uiPriority w:val="99"/>
    <w:rsid w:val="00076E72"/>
    <w:rPr>
      <w:rFonts w:ascii="Bookman Old Style" w:hAnsi="Bookman Old Style" w:cs="Bookman Old Style"/>
      <w:sz w:val="22"/>
      <w:szCs w:val="22"/>
      <w:shd w:val="clear" w:color="auto" w:fill="FFFFFF"/>
    </w:rPr>
  </w:style>
  <w:style w:type="character" w:customStyle="1" w:styleId="Bodytext4Italic">
    <w:name w:val="Body text (4) + Italic"/>
    <w:basedOn w:val="Bodytext40"/>
    <w:uiPriority w:val="99"/>
    <w:rsid w:val="00076E72"/>
    <w:rPr>
      <w:rFonts w:ascii="Bookman Old Style" w:hAnsi="Bookman Old Style" w:cs="Bookman Old Style"/>
      <w:noProof/>
      <w:sz w:val="21"/>
      <w:szCs w:val="21"/>
      <w:shd w:val="clear" w:color="auto" w:fill="FFFFFF"/>
    </w:rPr>
  </w:style>
  <w:style w:type="character" w:customStyle="1" w:styleId="FontStyle140">
    <w:name w:val="Font Style14"/>
    <w:uiPriority w:val="99"/>
    <w:rsid w:val="00076E72"/>
    <w:rPr>
      <w:rFonts w:ascii="Times New Roman" w:hAnsi="Times New Roman" w:cs="Times New Roman" w:hint="default"/>
      <w:sz w:val="26"/>
      <w:szCs w:val="26"/>
    </w:rPr>
  </w:style>
  <w:style w:type="character" w:customStyle="1" w:styleId="FontStyle22">
    <w:name w:val="Font Style22"/>
    <w:basedOn w:val="DefaultParagraphFont"/>
    <w:uiPriority w:val="99"/>
    <w:rsid w:val="00076E72"/>
    <w:rPr>
      <w:rFonts w:ascii="Times New Roman" w:hAnsi="Times New Roman" w:cs="Times New Roman" w:hint="default"/>
      <w:sz w:val="22"/>
      <w:szCs w:val="22"/>
    </w:rPr>
  </w:style>
  <w:style w:type="character" w:customStyle="1" w:styleId="BodytextSpacing1pt">
    <w:name w:val="Body text + Spacing 1 pt"/>
    <w:rsid w:val="00076E72"/>
    <w:rPr>
      <w:rFonts w:ascii="Bookman Old Style" w:eastAsia="Bookman Old Style" w:hAnsi="Bookman Old Style" w:cs="Bookman Old Style"/>
      <w:b w:val="0"/>
      <w:bCs w:val="0"/>
      <w:i w:val="0"/>
      <w:iCs w:val="0"/>
      <w:smallCaps w:val="0"/>
      <w:strike w:val="0"/>
      <w:color w:val="000000"/>
      <w:spacing w:val="30"/>
      <w:w w:val="100"/>
      <w:position w:val="0"/>
      <w:sz w:val="21"/>
      <w:szCs w:val="21"/>
      <w:u w:val="none"/>
      <w:shd w:val="clear" w:color="auto" w:fill="FFFFFF"/>
      <w:lang w:val="en-GB" w:eastAsia="en-GB" w:bidi="en-GB"/>
    </w:rPr>
  </w:style>
  <w:style w:type="character" w:customStyle="1" w:styleId="Bodytext2105pt">
    <w:name w:val="Body text (2) + 10.5 pt"/>
    <w:rsid w:val="00076E72"/>
    <w:rPr>
      <w:rFonts w:ascii="Bookman Old Style" w:eastAsia="Bookman Old Style" w:hAnsi="Bookman Old Style" w:cs="Bookman Old Style"/>
      <w:color w:val="000000"/>
      <w:spacing w:val="0"/>
      <w:w w:val="100"/>
      <w:position w:val="0"/>
      <w:sz w:val="21"/>
      <w:szCs w:val="21"/>
      <w:shd w:val="clear" w:color="auto" w:fill="FFFFFF"/>
      <w:lang w:val="en-GB" w:eastAsia="en-GB" w:bidi="en-GB"/>
    </w:rPr>
  </w:style>
  <w:style w:type="character" w:customStyle="1" w:styleId="Bodytext3NotItalic">
    <w:name w:val="Body text (3) + Not Italic"/>
    <w:rsid w:val="00076E72"/>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en-GB" w:eastAsia="en-GB" w:bidi="en-GB"/>
    </w:rPr>
  </w:style>
  <w:style w:type="character" w:customStyle="1" w:styleId="Picturecaption">
    <w:name w:val="Picture caption_"/>
    <w:link w:val="Picturecaption0"/>
    <w:rsid w:val="00076E72"/>
    <w:rPr>
      <w:rFonts w:ascii="Bookman Old Style" w:eastAsia="Bookman Old Style" w:hAnsi="Bookman Old Style" w:cs="Bookman Old Style"/>
      <w:sz w:val="21"/>
      <w:szCs w:val="21"/>
      <w:shd w:val="clear" w:color="auto" w:fill="FFFFFF"/>
      <w:lang w:eastAsia="sq-AL" w:bidi="sq-AL"/>
    </w:rPr>
  </w:style>
  <w:style w:type="paragraph" w:customStyle="1" w:styleId="Picturecaption0">
    <w:name w:val="Picture caption"/>
    <w:basedOn w:val="Normal"/>
    <w:link w:val="Picturecaption"/>
    <w:rsid w:val="00076E72"/>
    <w:pPr>
      <w:widowControl w:val="0"/>
      <w:shd w:val="clear" w:color="auto" w:fill="FFFFFF"/>
      <w:spacing w:line="312" w:lineRule="exact"/>
      <w:ind w:hanging="700"/>
    </w:pPr>
    <w:rPr>
      <w:rFonts w:ascii="Bookman Old Style" w:eastAsia="Bookman Old Style" w:hAnsi="Bookman Old Style" w:cs="Bookman Old Style"/>
      <w:sz w:val="21"/>
      <w:szCs w:val="21"/>
      <w:lang w:val="sq-AL" w:eastAsia="sq-AL" w:bidi="sq-AL"/>
    </w:rPr>
  </w:style>
  <w:style w:type="character" w:customStyle="1" w:styleId="Tablecaption">
    <w:name w:val="Table caption_"/>
    <w:link w:val="Tablecaption0"/>
    <w:rsid w:val="00076E72"/>
    <w:rPr>
      <w:rFonts w:ascii="Bookman Old Style" w:eastAsia="Bookman Old Style" w:hAnsi="Bookman Old Style" w:cs="Bookman Old Style"/>
      <w:sz w:val="18"/>
      <w:szCs w:val="18"/>
      <w:shd w:val="clear" w:color="auto" w:fill="FFFFFF"/>
    </w:rPr>
  </w:style>
  <w:style w:type="character" w:customStyle="1" w:styleId="TablecaptionBold">
    <w:name w:val="Table caption + Bold"/>
    <w:rsid w:val="00076E72"/>
    <w:rPr>
      <w:rFonts w:ascii="Bookman Old Style" w:eastAsia="Bookman Old Style" w:hAnsi="Bookman Old Style" w:cs="Bookman Old Style"/>
      <w:b/>
      <w:bCs/>
      <w:color w:val="000000"/>
      <w:spacing w:val="0"/>
      <w:w w:val="100"/>
      <w:position w:val="0"/>
      <w:sz w:val="18"/>
      <w:szCs w:val="18"/>
      <w:shd w:val="clear" w:color="auto" w:fill="FFFFFF"/>
      <w:lang w:val="en-GB" w:eastAsia="en-GB" w:bidi="en-GB"/>
    </w:rPr>
  </w:style>
  <w:style w:type="paragraph" w:customStyle="1" w:styleId="Tablecaption0">
    <w:name w:val="Table caption"/>
    <w:basedOn w:val="Normal"/>
    <w:link w:val="Tablecaption"/>
    <w:rsid w:val="00076E72"/>
    <w:pPr>
      <w:widowControl w:val="0"/>
      <w:shd w:val="clear" w:color="auto" w:fill="FFFFFF"/>
      <w:spacing w:line="0" w:lineRule="atLeast"/>
      <w:ind w:hanging="680"/>
    </w:pPr>
    <w:rPr>
      <w:rFonts w:ascii="Bookman Old Style" w:eastAsia="Bookman Old Style" w:hAnsi="Bookman Old Style" w:cs="Bookman Old Style"/>
      <w:sz w:val="18"/>
      <w:szCs w:val="18"/>
      <w:lang w:val="sq-AL"/>
    </w:rPr>
  </w:style>
  <w:style w:type="character" w:customStyle="1" w:styleId="Bodytext2Bold">
    <w:name w:val="Body text (2) + Bold"/>
    <w:rsid w:val="00076E72"/>
    <w:rPr>
      <w:rFonts w:ascii="Bookman Old Style" w:eastAsia="Bookman Old Style" w:hAnsi="Bookman Old Style" w:cs="Bookman Old Style"/>
      <w:b/>
      <w:bCs/>
      <w:i w:val="0"/>
      <w:iCs w:val="0"/>
      <w:smallCaps w:val="0"/>
      <w:strike w:val="0"/>
      <w:color w:val="000000"/>
      <w:spacing w:val="0"/>
      <w:w w:val="100"/>
      <w:position w:val="0"/>
      <w:sz w:val="18"/>
      <w:szCs w:val="18"/>
      <w:u w:val="none"/>
      <w:shd w:val="clear" w:color="auto" w:fill="FFFFFF"/>
      <w:lang w:val="en-GB" w:eastAsia="en-GB" w:bidi="en-GB"/>
    </w:rPr>
  </w:style>
  <w:style w:type="character" w:customStyle="1" w:styleId="Bodytext2Exact">
    <w:name w:val="Body text (2) Exact"/>
    <w:rsid w:val="00076E72"/>
    <w:rPr>
      <w:rFonts w:ascii="Bookman Old Style" w:eastAsia="Bookman Old Style" w:hAnsi="Bookman Old Style" w:cs="Bookman Old Style"/>
      <w:b w:val="0"/>
      <w:bCs w:val="0"/>
      <w:i w:val="0"/>
      <w:iCs w:val="0"/>
      <w:smallCaps w:val="0"/>
      <w:strike w:val="0"/>
      <w:spacing w:val="1"/>
      <w:sz w:val="17"/>
      <w:szCs w:val="17"/>
      <w:u w:val="none"/>
    </w:rPr>
  </w:style>
  <w:style w:type="character" w:customStyle="1" w:styleId="Bodytext2NotBold">
    <w:name w:val="Body text (2) + Not Bold"/>
    <w:rsid w:val="00076E72"/>
    <w:rPr>
      <w:rFonts w:ascii="Bookman Old Style" w:eastAsia="Bookman Old Style" w:hAnsi="Bookman Old Style" w:cs="Bookman Old Style"/>
      <w:b/>
      <w:bCs/>
      <w:i w:val="0"/>
      <w:iCs w:val="0"/>
      <w:smallCaps w:val="0"/>
      <w:strike w:val="0"/>
      <w:color w:val="000000"/>
      <w:spacing w:val="0"/>
      <w:w w:val="100"/>
      <w:position w:val="0"/>
      <w:sz w:val="22"/>
      <w:szCs w:val="22"/>
      <w:u w:val="none"/>
      <w:shd w:val="clear" w:color="auto" w:fill="FFFFFF"/>
      <w:lang w:val="en-GB" w:eastAsia="en-GB" w:bidi="en-GB"/>
    </w:rPr>
  </w:style>
  <w:style w:type="character" w:customStyle="1" w:styleId="Bodytext11Exact">
    <w:name w:val="Body text (11) Exact"/>
    <w:link w:val="Bodytext11"/>
    <w:rsid w:val="00076E72"/>
    <w:rPr>
      <w:rFonts w:ascii="Tahoma" w:eastAsia="Tahoma" w:hAnsi="Tahoma" w:cs="Tahoma"/>
      <w:b/>
      <w:bCs/>
      <w:spacing w:val="10"/>
      <w:sz w:val="17"/>
      <w:szCs w:val="17"/>
      <w:shd w:val="clear" w:color="auto" w:fill="FFFFFF"/>
    </w:rPr>
  </w:style>
  <w:style w:type="paragraph" w:customStyle="1" w:styleId="Bodytext11">
    <w:name w:val="Body text (11)"/>
    <w:basedOn w:val="Normal"/>
    <w:link w:val="Bodytext11Exact"/>
    <w:rsid w:val="00076E72"/>
    <w:pPr>
      <w:widowControl w:val="0"/>
      <w:shd w:val="clear" w:color="auto" w:fill="FFFFFF"/>
      <w:spacing w:line="0" w:lineRule="atLeast"/>
    </w:pPr>
    <w:rPr>
      <w:rFonts w:ascii="Tahoma" w:eastAsia="Tahoma" w:hAnsi="Tahoma" w:cs="Tahoma"/>
      <w:b/>
      <w:bCs/>
      <w:spacing w:val="10"/>
      <w:sz w:val="17"/>
      <w:szCs w:val="17"/>
      <w:lang w:val="sq-AL"/>
    </w:rPr>
  </w:style>
  <w:style w:type="character" w:customStyle="1" w:styleId="Headerorfooter">
    <w:name w:val="Header or footer_"/>
    <w:rsid w:val="00076E72"/>
    <w:rPr>
      <w:rFonts w:ascii="Franklin Gothic Demi" w:eastAsia="Franklin Gothic Demi" w:hAnsi="Franklin Gothic Demi" w:cs="Franklin Gothic Demi"/>
      <w:b w:val="0"/>
      <w:bCs w:val="0"/>
      <w:i w:val="0"/>
      <w:iCs w:val="0"/>
      <w:smallCaps w:val="0"/>
      <w:strike w:val="0"/>
      <w:sz w:val="18"/>
      <w:szCs w:val="18"/>
      <w:u w:val="none"/>
    </w:rPr>
  </w:style>
  <w:style w:type="character" w:customStyle="1" w:styleId="Headerorfooter0">
    <w:name w:val="Header or footer"/>
    <w:rsid w:val="00076E72"/>
    <w:rPr>
      <w:rFonts w:ascii="Franklin Gothic Demi" w:eastAsia="Franklin Gothic Demi" w:hAnsi="Franklin Gothic Demi" w:cs="Franklin Gothic Demi"/>
      <w:b w:val="0"/>
      <w:bCs w:val="0"/>
      <w:i w:val="0"/>
      <w:iCs w:val="0"/>
      <w:smallCaps w:val="0"/>
      <w:strike w:val="0"/>
      <w:color w:val="000000"/>
      <w:spacing w:val="0"/>
      <w:w w:val="100"/>
      <w:position w:val="0"/>
      <w:sz w:val="18"/>
      <w:szCs w:val="18"/>
      <w:u w:val="none"/>
      <w:lang w:val="en-GB" w:eastAsia="en-GB" w:bidi="en-GB"/>
    </w:rPr>
  </w:style>
  <w:style w:type="character" w:customStyle="1" w:styleId="Bodytext8">
    <w:name w:val="Body text (8)_"/>
    <w:link w:val="Bodytext80"/>
    <w:rsid w:val="00076E72"/>
    <w:rPr>
      <w:rFonts w:ascii="MS Reference Sans Serif" w:eastAsia="MS Reference Sans Serif" w:hAnsi="MS Reference Sans Serif" w:cs="MS Reference Sans Serif"/>
      <w:sz w:val="17"/>
      <w:szCs w:val="17"/>
      <w:shd w:val="clear" w:color="auto" w:fill="FFFFFF"/>
    </w:rPr>
  </w:style>
  <w:style w:type="paragraph" w:customStyle="1" w:styleId="Bodytext80">
    <w:name w:val="Body text (8)"/>
    <w:basedOn w:val="Normal"/>
    <w:link w:val="Bodytext8"/>
    <w:rsid w:val="00076E72"/>
    <w:pPr>
      <w:widowControl w:val="0"/>
      <w:shd w:val="clear" w:color="auto" w:fill="FFFFFF"/>
      <w:spacing w:after="60" w:line="0" w:lineRule="atLeast"/>
    </w:pPr>
    <w:rPr>
      <w:rFonts w:ascii="MS Reference Sans Serif" w:eastAsia="MS Reference Sans Serif" w:hAnsi="MS Reference Sans Serif" w:cs="MS Reference Sans Serif"/>
      <w:sz w:val="17"/>
      <w:szCs w:val="17"/>
      <w:lang w:val="sq-AL"/>
    </w:rPr>
  </w:style>
  <w:style w:type="character" w:customStyle="1" w:styleId="Tablecaption4">
    <w:name w:val="Table caption (4)_"/>
    <w:link w:val="Tablecaption40"/>
    <w:rsid w:val="00076E72"/>
    <w:rPr>
      <w:rFonts w:ascii="Bookman Old Style" w:eastAsia="Bookman Old Style" w:hAnsi="Bookman Old Style" w:cs="Bookman Old Style"/>
      <w:shd w:val="clear" w:color="auto" w:fill="FFFFFF"/>
    </w:rPr>
  </w:style>
  <w:style w:type="paragraph" w:customStyle="1" w:styleId="Tablecaption40">
    <w:name w:val="Table caption (4)"/>
    <w:basedOn w:val="Normal"/>
    <w:link w:val="Tablecaption4"/>
    <w:rsid w:val="00076E72"/>
    <w:pPr>
      <w:widowControl w:val="0"/>
      <w:shd w:val="clear" w:color="auto" w:fill="FFFFFF"/>
      <w:spacing w:line="274" w:lineRule="exact"/>
      <w:ind w:firstLine="140"/>
    </w:pPr>
    <w:rPr>
      <w:rFonts w:ascii="Bookman Old Style" w:eastAsia="Bookman Old Style" w:hAnsi="Bookman Old Style" w:cs="Bookman Old Style"/>
      <w:sz w:val="22"/>
      <w:szCs w:val="22"/>
      <w:lang w:val="sq-AL"/>
    </w:rPr>
  </w:style>
  <w:style w:type="character" w:customStyle="1" w:styleId="Tablecaption4Bold">
    <w:name w:val="Table caption (4) + Bold"/>
    <w:rsid w:val="00076E72"/>
    <w:rPr>
      <w:rFonts w:ascii="Bookman Old Style" w:eastAsia="Bookman Old Style" w:hAnsi="Bookman Old Style" w:cs="Bookman Old Style"/>
      <w:b/>
      <w:bCs/>
      <w:i w:val="0"/>
      <w:iCs w:val="0"/>
      <w:smallCaps w:val="0"/>
      <w:strike w:val="0"/>
      <w:color w:val="000000"/>
      <w:spacing w:val="0"/>
      <w:w w:val="100"/>
      <w:position w:val="0"/>
      <w:sz w:val="22"/>
      <w:szCs w:val="22"/>
      <w:u w:val="none"/>
      <w:shd w:val="clear" w:color="auto" w:fill="FFFFFF"/>
      <w:lang w:val="en-GB" w:eastAsia="en-GB" w:bidi="en-GB"/>
    </w:rPr>
  </w:style>
  <w:style w:type="character" w:customStyle="1" w:styleId="Bodytext5Exact">
    <w:name w:val="Body text (5) Exact"/>
    <w:rsid w:val="00076E72"/>
    <w:rPr>
      <w:rFonts w:ascii="Tahoma" w:eastAsia="Tahoma" w:hAnsi="Tahoma" w:cs="Tahoma"/>
      <w:b w:val="0"/>
      <w:bCs w:val="0"/>
      <w:i/>
      <w:iCs/>
      <w:smallCaps w:val="0"/>
      <w:strike w:val="0"/>
      <w:sz w:val="17"/>
      <w:szCs w:val="17"/>
      <w:u w:val="none"/>
    </w:rPr>
  </w:style>
  <w:style w:type="character" w:customStyle="1" w:styleId="Bodytext5Impact">
    <w:name w:val="Body text (5) + Impact"/>
    <w:aliases w:val="11.5 pt Exact"/>
    <w:rsid w:val="00076E72"/>
    <w:rPr>
      <w:rFonts w:ascii="Impact" w:eastAsia="Impact" w:hAnsi="Impact" w:cs="Impact"/>
      <w:b w:val="0"/>
      <w:bCs w:val="0"/>
      <w:i/>
      <w:iCs/>
      <w:smallCaps w:val="0"/>
      <w:strike w:val="0"/>
      <w:color w:val="000000"/>
      <w:spacing w:val="0"/>
      <w:w w:val="100"/>
      <w:position w:val="0"/>
      <w:sz w:val="23"/>
      <w:szCs w:val="23"/>
      <w:u w:val="none"/>
      <w:lang w:val="en-GB" w:eastAsia="en-GB" w:bidi="en-GB"/>
    </w:rPr>
  </w:style>
  <w:style w:type="character" w:customStyle="1" w:styleId="Heading2Exact">
    <w:name w:val="Heading #2 Exact"/>
    <w:link w:val="Heading20"/>
    <w:rsid w:val="00076E72"/>
    <w:rPr>
      <w:rFonts w:ascii="Franklin Gothic Heavy" w:eastAsia="Franklin Gothic Heavy" w:hAnsi="Franklin Gothic Heavy" w:cs="Franklin Gothic Heavy"/>
      <w:spacing w:val="-22"/>
      <w:sz w:val="56"/>
      <w:szCs w:val="56"/>
      <w:shd w:val="clear" w:color="auto" w:fill="FFFFFF"/>
    </w:rPr>
  </w:style>
  <w:style w:type="paragraph" w:customStyle="1" w:styleId="Heading20">
    <w:name w:val="Heading #2"/>
    <w:basedOn w:val="Normal"/>
    <w:link w:val="Heading2Exact"/>
    <w:rsid w:val="00076E72"/>
    <w:pPr>
      <w:widowControl w:val="0"/>
      <w:shd w:val="clear" w:color="auto" w:fill="FFFFFF"/>
      <w:spacing w:line="0" w:lineRule="atLeast"/>
      <w:outlineLvl w:val="1"/>
    </w:pPr>
    <w:rPr>
      <w:rFonts w:ascii="Franklin Gothic Heavy" w:eastAsia="Franklin Gothic Heavy" w:hAnsi="Franklin Gothic Heavy" w:cs="Franklin Gothic Heavy"/>
      <w:spacing w:val="-22"/>
      <w:sz w:val="56"/>
      <w:szCs w:val="56"/>
      <w:lang w:val="sq-AL"/>
    </w:rPr>
  </w:style>
  <w:style w:type="character" w:customStyle="1" w:styleId="Heading11">
    <w:name w:val="Heading #11_"/>
    <w:link w:val="Heading110"/>
    <w:rsid w:val="00076E72"/>
    <w:rPr>
      <w:rFonts w:ascii="Bookman Old Style" w:eastAsia="Bookman Old Style" w:hAnsi="Bookman Old Style" w:cs="Bookman Old Style"/>
      <w:b/>
      <w:bCs/>
      <w:shd w:val="clear" w:color="auto" w:fill="FFFFFF"/>
    </w:rPr>
  </w:style>
  <w:style w:type="character" w:customStyle="1" w:styleId="Heading11NotBold">
    <w:name w:val="Heading #11 + Not Bold"/>
    <w:rsid w:val="00076E72"/>
    <w:rPr>
      <w:rFonts w:ascii="Bookman Old Style" w:eastAsia="Bookman Old Style" w:hAnsi="Bookman Old Style" w:cs="Bookman Old Style"/>
      <w:b/>
      <w:bCs/>
      <w:color w:val="000000"/>
      <w:spacing w:val="0"/>
      <w:w w:val="100"/>
      <w:position w:val="0"/>
      <w:shd w:val="clear" w:color="auto" w:fill="FFFFFF"/>
      <w:lang w:val="en-GB" w:eastAsia="en-GB" w:bidi="en-GB"/>
    </w:rPr>
  </w:style>
  <w:style w:type="paragraph" w:customStyle="1" w:styleId="Heading110">
    <w:name w:val="Heading #11"/>
    <w:basedOn w:val="Normal"/>
    <w:link w:val="Heading11"/>
    <w:rsid w:val="00076E72"/>
    <w:pPr>
      <w:widowControl w:val="0"/>
      <w:shd w:val="clear" w:color="auto" w:fill="FFFFFF"/>
      <w:spacing w:after="1020" w:line="0" w:lineRule="atLeast"/>
    </w:pPr>
    <w:rPr>
      <w:rFonts w:ascii="Bookman Old Style" w:eastAsia="Bookman Old Style" w:hAnsi="Bookman Old Style" w:cs="Bookman Old Style"/>
      <w:b/>
      <w:bCs/>
      <w:sz w:val="22"/>
      <w:szCs w:val="22"/>
      <w:lang w:val="sq-AL"/>
    </w:rPr>
  </w:style>
  <w:style w:type="character" w:customStyle="1" w:styleId="Bodytext60">
    <w:name w:val="Body text (6)_"/>
    <w:link w:val="Bodytext61"/>
    <w:rsid w:val="00076E72"/>
    <w:rPr>
      <w:rFonts w:ascii="Franklin Gothic Medium" w:eastAsia="Franklin Gothic Medium" w:hAnsi="Franklin Gothic Medium" w:cs="Franklin Gothic Medium"/>
      <w:i/>
      <w:iCs/>
      <w:sz w:val="178"/>
      <w:szCs w:val="178"/>
      <w:shd w:val="clear" w:color="auto" w:fill="FFFFFF"/>
    </w:rPr>
  </w:style>
  <w:style w:type="paragraph" w:customStyle="1" w:styleId="Bodytext61">
    <w:name w:val="Body text (6)"/>
    <w:basedOn w:val="Normal"/>
    <w:link w:val="Bodytext60"/>
    <w:rsid w:val="00076E72"/>
    <w:pPr>
      <w:widowControl w:val="0"/>
      <w:shd w:val="clear" w:color="auto" w:fill="FFFFFF"/>
      <w:spacing w:after="180" w:line="0" w:lineRule="atLeast"/>
      <w:jc w:val="center"/>
    </w:pPr>
    <w:rPr>
      <w:rFonts w:ascii="Franklin Gothic Medium" w:eastAsia="Franklin Gothic Medium" w:hAnsi="Franklin Gothic Medium" w:cs="Franklin Gothic Medium"/>
      <w:i/>
      <w:iCs/>
      <w:sz w:val="178"/>
      <w:szCs w:val="178"/>
      <w:lang w:val="sq-AL"/>
    </w:rPr>
  </w:style>
  <w:style w:type="character" w:customStyle="1" w:styleId="Heading50">
    <w:name w:val="Heading #5_"/>
    <w:link w:val="Heading51"/>
    <w:rsid w:val="00076E72"/>
    <w:rPr>
      <w:rFonts w:cs="Calibri"/>
      <w:b/>
      <w:bCs/>
      <w:spacing w:val="-140"/>
      <w:sz w:val="90"/>
      <w:szCs w:val="90"/>
      <w:shd w:val="clear" w:color="auto" w:fill="FFFFFF"/>
    </w:rPr>
  </w:style>
  <w:style w:type="paragraph" w:customStyle="1" w:styleId="Heading51">
    <w:name w:val="Heading #5"/>
    <w:basedOn w:val="Normal"/>
    <w:link w:val="Heading50"/>
    <w:rsid w:val="00076E72"/>
    <w:pPr>
      <w:widowControl w:val="0"/>
      <w:shd w:val="clear" w:color="auto" w:fill="FFFFFF"/>
      <w:spacing w:after="180" w:line="0" w:lineRule="atLeast"/>
      <w:jc w:val="both"/>
      <w:outlineLvl w:val="4"/>
    </w:pPr>
    <w:rPr>
      <w:rFonts w:asciiTheme="minorHAnsi" w:eastAsiaTheme="minorHAnsi" w:hAnsiTheme="minorHAnsi" w:cs="Calibri"/>
      <w:b/>
      <w:bCs/>
      <w:spacing w:val="-140"/>
      <w:sz w:val="90"/>
      <w:szCs w:val="90"/>
      <w:lang w:val="sq-AL"/>
    </w:rPr>
  </w:style>
  <w:style w:type="character" w:customStyle="1" w:styleId="ParagrafiChar">
    <w:name w:val="Paragrafi Char"/>
    <w:link w:val="Paragrafi0"/>
    <w:locked/>
    <w:rsid w:val="00076E72"/>
    <w:rPr>
      <w:rFonts w:ascii="CG Times" w:eastAsia="Times New Roman" w:hAnsi="CG Times" w:cs="Times New Roman"/>
      <w:szCs w:val="20"/>
      <w:lang w:val="en-US"/>
    </w:rPr>
  </w:style>
  <w:style w:type="paragraph" w:customStyle="1" w:styleId="Akti">
    <w:name w:val="Akti"/>
    <w:rsid w:val="00076E72"/>
    <w:pPr>
      <w:keepNext/>
      <w:widowControl w:val="0"/>
      <w:spacing w:after="0" w:line="240" w:lineRule="auto"/>
      <w:jc w:val="center"/>
      <w:outlineLvl w:val="0"/>
    </w:pPr>
    <w:rPr>
      <w:rFonts w:ascii="CG Times" w:eastAsia="Times New Roman" w:hAnsi="CG Times" w:cs="Times New Roman"/>
      <w:b/>
      <w:caps/>
      <w:color w:val="000000"/>
      <w:lang w:val="en-GB"/>
    </w:rPr>
  </w:style>
  <w:style w:type="paragraph" w:customStyle="1" w:styleId="NeniNr">
    <w:name w:val="Neni_Nr"/>
    <w:next w:val="Normal"/>
    <w:rsid w:val="00076E72"/>
    <w:pPr>
      <w:keepNext/>
      <w:widowControl w:val="0"/>
      <w:spacing w:after="0" w:line="240" w:lineRule="auto"/>
      <w:jc w:val="center"/>
    </w:pPr>
    <w:rPr>
      <w:rFonts w:ascii="CG Times" w:eastAsia="Times New Roman" w:hAnsi="CG Times" w:cs="Times New Roman"/>
      <w:szCs w:val="20"/>
      <w:lang w:val="en-GB"/>
    </w:rPr>
  </w:style>
  <w:style w:type="paragraph" w:styleId="BlockText">
    <w:name w:val="Block Text"/>
    <w:basedOn w:val="Normal"/>
    <w:rsid w:val="00076E72"/>
    <w:pPr>
      <w:ind w:left="-360" w:right="-540" w:hanging="180"/>
    </w:pPr>
    <w:rPr>
      <w:sz w:val="24"/>
      <w:szCs w:val="24"/>
    </w:rPr>
  </w:style>
  <w:style w:type="numbering" w:customStyle="1" w:styleId="NoList2">
    <w:name w:val="No List2"/>
    <w:next w:val="NoList"/>
    <w:uiPriority w:val="99"/>
    <w:semiHidden/>
    <w:unhideWhenUsed/>
    <w:rsid w:val="00076E72"/>
  </w:style>
  <w:style w:type="paragraph" w:customStyle="1" w:styleId="EndnoteText1">
    <w:name w:val="Endnote Text1"/>
    <w:basedOn w:val="Normal"/>
    <w:next w:val="EndnoteText"/>
    <w:link w:val="EndnoteTextChar"/>
    <w:uiPriority w:val="99"/>
    <w:semiHidden/>
    <w:unhideWhenUsed/>
    <w:rsid w:val="00076E72"/>
    <w:pPr>
      <w:widowControl w:val="0"/>
      <w:jc w:val="both"/>
    </w:pPr>
    <w:rPr>
      <w:rFonts w:asciiTheme="minorHAnsi" w:eastAsia="MS Mincho" w:hAnsiTheme="minorHAnsi"/>
      <w:lang w:val="en-GB"/>
    </w:rPr>
  </w:style>
  <w:style w:type="character" w:customStyle="1" w:styleId="EndnoteTextChar">
    <w:name w:val="Endnote Text Char"/>
    <w:basedOn w:val="DefaultParagraphFont"/>
    <w:link w:val="EndnoteText1"/>
    <w:uiPriority w:val="99"/>
    <w:semiHidden/>
    <w:locked/>
    <w:rsid w:val="00076E72"/>
    <w:rPr>
      <w:rFonts w:eastAsia="MS Mincho" w:cs="Times New Roman"/>
      <w:sz w:val="20"/>
      <w:szCs w:val="20"/>
      <w:lang w:val="en-GB"/>
    </w:rPr>
  </w:style>
  <w:style w:type="character" w:styleId="EndnoteReference">
    <w:name w:val="endnote reference"/>
    <w:basedOn w:val="DefaultParagraphFont"/>
    <w:uiPriority w:val="99"/>
    <w:semiHidden/>
    <w:unhideWhenUsed/>
    <w:rsid w:val="00076E72"/>
    <w:rPr>
      <w:rFonts w:cs="Times New Roman"/>
      <w:vertAlign w:val="superscript"/>
    </w:rPr>
  </w:style>
  <w:style w:type="paragraph" w:customStyle="1" w:styleId="IntenseQuote1">
    <w:name w:val="Intense Quote1"/>
    <w:basedOn w:val="Normal"/>
    <w:next w:val="Normal"/>
    <w:uiPriority w:val="30"/>
    <w:qFormat/>
    <w:rsid w:val="00076E72"/>
    <w:pPr>
      <w:widowControl w:val="0"/>
      <w:pBdr>
        <w:bottom w:val="single" w:sz="4" w:space="4" w:color="4F81BD"/>
      </w:pBdr>
      <w:spacing w:before="200" w:after="280" w:line="276" w:lineRule="auto"/>
      <w:ind w:left="936" w:right="936"/>
      <w:jc w:val="both"/>
    </w:pPr>
    <w:rPr>
      <w:rFonts w:asciiTheme="minorHAnsi" w:hAnsiTheme="minorHAnsi"/>
      <w:b/>
      <w:bCs/>
      <w:i/>
      <w:iCs/>
      <w:color w:val="4F81BD"/>
      <w:sz w:val="22"/>
      <w:szCs w:val="22"/>
    </w:rPr>
  </w:style>
  <w:style w:type="character" w:customStyle="1" w:styleId="IntenseQuoteChar">
    <w:name w:val="Intense Quote Char"/>
    <w:basedOn w:val="DefaultParagraphFont"/>
    <w:link w:val="IntenseQuote"/>
    <w:uiPriority w:val="30"/>
    <w:locked/>
    <w:rsid w:val="00076E72"/>
    <w:rPr>
      <w:b/>
      <w:bCs/>
      <w:i/>
      <w:iCs/>
      <w:color w:val="4F81BD"/>
    </w:rPr>
  </w:style>
  <w:style w:type="paragraph" w:styleId="EndnoteText">
    <w:name w:val="endnote text"/>
    <w:basedOn w:val="Normal"/>
    <w:link w:val="EndnoteTextChar1"/>
    <w:uiPriority w:val="99"/>
    <w:semiHidden/>
    <w:unhideWhenUsed/>
    <w:rsid w:val="00076E72"/>
    <w:pPr>
      <w:jc w:val="both"/>
    </w:pPr>
    <w:rPr>
      <w:rFonts w:asciiTheme="minorHAnsi" w:eastAsia="MS Mincho" w:hAnsiTheme="minorHAnsi" w:cstheme="minorBidi"/>
      <w:lang w:val="en-GB"/>
    </w:rPr>
  </w:style>
  <w:style w:type="character" w:customStyle="1" w:styleId="EndnoteTextChar1">
    <w:name w:val="Endnote Text Char1"/>
    <w:basedOn w:val="DefaultParagraphFont"/>
    <w:link w:val="EndnoteText"/>
    <w:uiPriority w:val="99"/>
    <w:semiHidden/>
    <w:rsid w:val="00076E72"/>
    <w:rPr>
      <w:rFonts w:eastAsia="MS Mincho"/>
      <w:sz w:val="20"/>
      <w:szCs w:val="20"/>
      <w:lang w:val="en-GB"/>
    </w:rPr>
  </w:style>
  <w:style w:type="paragraph" w:styleId="IntenseQuote">
    <w:name w:val="Intense Quote"/>
    <w:basedOn w:val="Normal"/>
    <w:next w:val="Normal"/>
    <w:link w:val="IntenseQuoteChar"/>
    <w:uiPriority w:val="30"/>
    <w:qFormat/>
    <w:rsid w:val="00076E72"/>
    <w:pPr>
      <w:pBdr>
        <w:top w:val="single" w:sz="4" w:space="10" w:color="4F81BD" w:themeColor="accent1"/>
        <w:bottom w:val="single" w:sz="4" w:space="10" w:color="4F81BD" w:themeColor="accent1"/>
      </w:pBdr>
      <w:spacing w:before="360" w:after="360" w:line="276" w:lineRule="auto"/>
      <w:ind w:left="864" w:right="864"/>
      <w:jc w:val="center"/>
    </w:pPr>
    <w:rPr>
      <w:rFonts w:asciiTheme="minorHAnsi" w:eastAsiaTheme="minorHAnsi" w:hAnsiTheme="minorHAnsi" w:cstheme="minorBidi"/>
      <w:b/>
      <w:bCs/>
      <w:i/>
      <w:iCs/>
      <w:color w:val="4F81BD"/>
      <w:sz w:val="22"/>
      <w:szCs w:val="22"/>
      <w:lang w:val="sq-AL"/>
    </w:rPr>
  </w:style>
  <w:style w:type="character" w:customStyle="1" w:styleId="IntenseQuoteChar1">
    <w:name w:val="Intense Quote Char1"/>
    <w:basedOn w:val="DefaultParagraphFont"/>
    <w:link w:val="IntenseQuote"/>
    <w:uiPriority w:val="30"/>
    <w:rsid w:val="00076E72"/>
    <w:rPr>
      <w:rFonts w:ascii="Times New Roman" w:eastAsia="Times New Roman" w:hAnsi="Times New Roman" w:cs="Times New Roman"/>
      <w:b/>
      <w:bCs/>
      <w:i/>
      <w:iCs/>
      <w:color w:val="4F81BD" w:themeColor="accent1"/>
      <w:sz w:val="20"/>
      <w:szCs w:val="20"/>
      <w:lang w:val="en-US"/>
    </w:rPr>
  </w:style>
  <w:style w:type="character" w:customStyle="1" w:styleId="ThonjzattheksuaraKarakter1">
    <w:name w:val="Thonjëza të theksuara Karakter1"/>
    <w:basedOn w:val="DefaultParagraphFont"/>
    <w:uiPriority w:val="30"/>
    <w:rsid w:val="00076E72"/>
    <w:rPr>
      <w:rFonts w:ascii="Calibri" w:eastAsia="Times New Roman" w:hAnsi="Calibri"/>
      <w:i/>
      <w:iCs/>
      <w:color w:val="4F81BD" w:themeColor="accent1"/>
      <w:sz w:val="24"/>
      <w:szCs w:val="24"/>
      <w:lang w:bidi="en-US"/>
    </w:rPr>
  </w:style>
  <w:style w:type="numbering" w:customStyle="1" w:styleId="NoList21">
    <w:name w:val="No List21"/>
    <w:next w:val="NoList"/>
    <w:uiPriority w:val="99"/>
    <w:semiHidden/>
    <w:unhideWhenUsed/>
    <w:rsid w:val="00076E72"/>
  </w:style>
  <w:style w:type="character" w:customStyle="1" w:styleId="apple-converted-space">
    <w:name w:val="apple-converted-space"/>
    <w:basedOn w:val="DefaultParagraphFont"/>
    <w:rsid w:val="00076E72"/>
    <w:rPr>
      <w:rFonts w:cs="Times New Roman"/>
    </w:rPr>
  </w:style>
  <w:style w:type="character" w:customStyle="1" w:styleId="no0020spacingchar">
    <w:name w:val="no_0020spacing__char"/>
    <w:basedOn w:val="DefaultParagraphFont"/>
    <w:rsid w:val="00076E72"/>
    <w:rPr>
      <w:rFonts w:cs="Times New Roman"/>
    </w:rPr>
  </w:style>
  <w:style w:type="character" w:customStyle="1" w:styleId="emphasischar">
    <w:name w:val="emphasis__char"/>
    <w:basedOn w:val="DefaultParagraphFont"/>
    <w:rsid w:val="00076E72"/>
    <w:rPr>
      <w:rFonts w:cs="Times New Roman"/>
    </w:rPr>
  </w:style>
  <w:style w:type="character" w:customStyle="1" w:styleId="no0020spacingcharchar">
    <w:name w:val="no__0020spacing____char__char"/>
    <w:basedOn w:val="DefaultParagraphFont"/>
    <w:rsid w:val="00076E72"/>
    <w:rPr>
      <w:rFonts w:cs="Times New Roman"/>
    </w:rPr>
  </w:style>
  <w:style w:type="character" w:customStyle="1" w:styleId="body0020text0020indentchar">
    <w:name w:val="body_0020text_0020indent__char"/>
    <w:basedOn w:val="DefaultParagraphFont"/>
    <w:rsid w:val="00076E72"/>
    <w:rPr>
      <w:rFonts w:cs="Times New Roman"/>
    </w:rPr>
  </w:style>
  <w:style w:type="character" w:customStyle="1" w:styleId="normalcharchar">
    <w:name w:val="normalchar__char"/>
    <w:basedOn w:val="DefaultParagraphFont"/>
    <w:rsid w:val="00076E72"/>
    <w:rPr>
      <w:rFonts w:cs="Times New Roman"/>
    </w:rPr>
  </w:style>
  <w:style w:type="character" w:customStyle="1" w:styleId="body0020text00202char">
    <w:name w:val="body_0020text_00202__char"/>
    <w:basedOn w:val="DefaultParagraphFont"/>
    <w:rsid w:val="00076E72"/>
    <w:rPr>
      <w:rFonts w:cs="Times New Roman"/>
    </w:rPr>
  </w:style>
  <w:style w:type="paragraph" w:customStyle="1" w:styleId="no0020spacing">
    <w:name w:val="no_0020spacing"/>
    <w:basedOn w:val="Normal"/>
    <w:rsid w:val="00076E72"/>
    <w:pPr>
      <w:spacing w:before="100" w:beforeAutospacing="1" w:after="100" w:afterAutospacing="1"/>
      <w:jc w:val="both"/>
    </w:pPr>
    <w:rPr>
      <w:sz w:val="24"/>
      <w:szCs w:val="24"/>
      <w:lang w:val="sq-AL" w:eastAsia="sq-AL"/>
    </w:rPr>
  </w:style>
  <w:style w:type="character" w:customStyle="1" w:styleId="no0020spacingcharchar0">
    <w:name w:val="no0020spacingchar__char"/>
    <w:basedOn w:val="DefaultParagraphFont"/>
    <w:rsid w:val="00076E72"/>
    <w:rPr>
      <w:rFonts w:cs="Times New Roman"/>
    </w:rPr>
  </w:style>
  <w:style w:type="character" w:customStyle="1" w:styleId="normalchar1char">
    <w:name w:val="normal____char1__char"/>
    <w:basedOn w:val="DefaultParagraphFont"/>
    <w:rsid w:val="00076E72"/>
    <w:rPr>
      <w:rFonts w:cs="Times New Roman"/>
    </w:rPr>
  </w:style>
  <w:style w:type="character" w:styleId="BookTitle">
    <w:name w:val="Book Title"/>
    <w:basedOn w:val="DefaultParagraphFont"/>
    <w:uiPriority w:val="33"/>
    <w:qFormat/>
    <w:rsid w:val="00076E72"/>
    <w:rPr>
      <w:rFonts w:cs="Times New Roman"/>
      <w:b/>
      <w:bCs/>
      <w:smallCaps/>
      <w:spacing w:val="5"/>
    </w:rPr>
  </w:style>
  <w:style w:type="character" w:styleId="FollowedHyperlink">
    <w:name w:val="FollowedHyperlink"/>
    <w:basedOn w:val="DefaultParagraphFont"/>
    <w:uiPriority w:val="99"/>
    <w:unhideWhenUsed/>
    <w:rsid w:val="00076E72"/>
    <w:rPr>
      <w:rFonts w:cs="Times New Roman"/>
      <w:color w:val="800080" w:themeColor="followedHyperlink"/>
      <w:u w:val="single"/>
    </w:rPr>
  </w:style>
  <w:style w:type="character" w:customStyle="1" w:styleId="sb8d990e2">
    <w:name w:val="sb8d990e2"/>
    <w:basedOn w:val="DefaultParagraphFont"/>
    <w:rsid w:val="00076E72"/>
  </w:style>
  <w:style w:type="character" w:customStyle="1" w:styleId="UnresolvedMention2">
    <w:name w:val="Unresolved Mention2"/>
    <w:uiPriority w:val="99"/>
    <w:semiHidden/>
    <w:unhideWhenUsed/>
    <w:rsid w:val="00076E72"/>
    <w:rPr>
      <w:color w:val="605E5C"/>
      <w:shd w:val="clear" w:color="auto" w:fill="E1DFDD"/>
    </w:rPr>
  </w:style>
  <w:style w:type="paragraph" w:customStyle="1" w:styleId="Style">
    <w:name w:val="Style"/>
    <w:rsid w:val="00076E72"/>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Field">
    <w:name w:val="Field"/>
    <w:basedOn w:val="Normal"/>
    <w:rsid w:val="00076E72"/>
    <w:pPr>
      <w:spacing w:before="120" w:after="60"/>
    </w:pPr>
    <w:rPr>
      <w:b/>
      <w:noProof/>
      <w:spacing w:val="-6"/>
      <w:lang w:val="en-GB"/>
    </w:rPr>
  </w:style>
  <w:style w:type="numbering" w:customStyle="1" w:styleId="NoList3">
    <w:name w:val="No List3"/>
    <w:next w:val="NoList"/>
    <w:uiPriority w:val="99"/>
    <w:semiHidden/>
    <w:unhideWhenUsed/>
    <w:rsid w:val="00076E72"/>
  </w:style>
  <w:style w:type="numbering" w:customStyle="1" w:styleId="NoList12">
    <w:name w:val="No List12"/>
    <w:next w:val="NoList"/>
    <w:uiPriority w:val="99"/>
    <w:semiHidden/>
    <w:unhideWhenUsed/>
    <w:rsid w:val="00076E72"/>
  </w:style>
  <w:style w:type="character" w:customStyle="1" w:styleId="HeaderChar1">
    <w:name w:val="Header Char1"/>
    <w:rsid w:val="00076E72"/>
    <w:rPr>
      <w:rFonts w:ascii="Times New Roman" w:eastAsia="Times New Roman" w:hAnsi="Times New Roman" w:cs="Times New Roman"/>
      <w:sz w:val="24"/>
      <w:szCs w:val="20"/>
    </w:rPr>
  </w:style>
  <w:style w:type="paragraph" w:customStyle="1" w:styleId="CM9">
    <w:name w:val="CM9"/>
    <w:basedOn w:val="Default"/>
    <w:next w:val="Default"/>
    <w:uiPriority w:val="99"/>
    <w:rsid w:val="00076E72"/>
    <w:rPr>
      <w:rFonts w:ascii="Times New Roman" w:eastAsia="Times New Roman" w:hAnsi="Times New Roman" w:cs="Times New Roman"/>
      <w:color w:val="auto"/>
      <w:lang w:val="sq-AL" w:eastAsia="sq-AL"/>
    </w:rPr>
  </w:style>
  <w:style w:type="paragraph" w:customStyle="1" w:styleId="CM7">
    <w:name w:val="CM7"/>
    <w:basedOn w:val="Default"/>
    <w:next w:val="Default"/>
    <w:uiPriority w:val="99"/>
    <w:rsid w:val="00076E72"/>
    <w:rPr>
      <w:rFonts w:ascii="Times New Roman" w:eastAsia="Times New Roman" w:hAnsi="Times New Roman" w:cs="Times New Roman"/>
      <w:color w:val="auto"/>
      <w:lang w:val="sq-AL" w:eastAsia="sq-AL"/>
    </w:rPr>
  </w:style>
  <w:style w:type="character" w:customStyle="1" w:styleId="Heading62">
    <w:name w:val="Heading #6 (2)_"/>
    <w:link w:val="Heading620"/>
    <w:rsid w:val="00076E72"/>
    <w:rPr>
      <w:rFonts w:ascii="FrankRuehl" w:eastAsia="FrankRuehl" w:hAnsi="FrankRuehl" w:cs="FrankRuehl"/>
      <w:shd w:val="clear" w:color="auto" w:fill="FFFFFF"/>
    </w:rPr>
  </w:style>
  <w:style w:type="paragraph" w:customStyle="1" w:styleId="Heading620">
    <w:name w:val="Heading #6 (2)"/>
    <w:basedOn w:val="Normal"/>
    <w:link w:val="Heading62"/>
    <w:rsid w:val="00076E72"/>
    <w:pPr>
      <w:widowControl w:val="0"/>
      <w:shd w:val="clear" w:color="auto" w:fill="FFFFFF"/>
      <w:spacing w:before="120" w:after="120" w:line="0" w:lineRule="atLeast"/>
      <w:jc w:val="center"/>
      <w:outlineLvl w:val="5"/>
    </w:pPr>
    <w:rPr>
      <w:rFonts w:ascii="FrankRuehl" w:eastAsia="FrankRuehl" w:hAnsi="FrankRuehl" w:cs="FrankRuehl"/>
      <w:sz w:val="22"/>
      <w:szCs w:val="22"/>
      <w:lang w:val="sq-AL"/>
    </w:rPr>
  </w:style>
  <w:style w:type="character" w:customStyle="1" w:styleId="Bodytext2Verdana95pt">
    <w:name w:val="Body text (2) + Verdana.9.5 pt"/>
    <w:rsid w:val="00076E72"/>
    <w:rPr>
      <w:rFonts w:ascii="Verdana" w:eastAsia="Verdana" w:hAnsi="Verdana" w:cs="Verdana"/>
      <w:color w:val="000000"/>
      <w:spacing w:val="0"/>
      <w:w w:val="100"/>
      <w:position w:val="0"/>
      <w:sz w:val="19"/>
      <w:szCs w:val="19"/>
      <w:shd w:val="clear" w:color="auto" w:fill="FFFFFF"/>
      <w:lang w:val="en-US" w:eastAsia="en-US" w:bidi="en-US"/>
    </w:rPr>
  </w:style>
  <w:style w:type="character" w:customStyle="1" w:styleId="Bodytext2Verdana8ptBold">
    <w:name w:val="Body text (2) + Verdana.8 pt.Bold"/>
    <w:rsid w:val="00076E72"/>
    <w:rPr>
      <w:rFonts w:ascii="Verdana" w:eastAsia="Verdana" w:hAnsi="Verdana" w:cs="Verdana"/>
      <w:b/>
      <w:bCs/>
      <w:color w:val="000000"/>
      <w:spacing w:val="0"/>
      <w:w w:val="100"/>
      <w:position w:val="0"/>
      <w:sz w:val="16"/>
      <w:szCs w:val="16"/>
      <w:shd w:val="clear" w:color="auto" w:fill="FFFFFF"/>
      <w:lang w:val="en-US" w:eastAsia="en-US" w:bidi="en-US"/>
    </w:rPr>
  </w:style>
  <w:style w:type="character" w:customStyle="1" w:styleId="Heading42">
    <w:name w:val="Heading #4 (2)_"/>
    <w:link w:val="Heading420"/>
    <w:rsid w:val="00076E72"/>
    <w:rPr>
      <w:rFonts w:ascii="Bookman Old Style" w:eastAsia="Bookman Old Style" w:hAnsi="Bookman Old Style" w:cs="Bookman Old Style"/>
      <w:b/>
      <w:bCs/>
      <w:sz w:val="21"/>
      <w:szCs w:val="21"/>
      <w:shd w:val="clear" w:color="auto" w:fill="FFFFFF"/>
    </w:rPr>
  </w:style>
  <w:style w:type="paragraph" w:customStyle="1" w:styleId="Heading420">
    <w:name w:val="Heading #4 (2)"/>
    <w:basedOn w:val="Normal"/>
    <w:link w:val="Heading42"/>
    <w:rsid w:val="00076E72"/>
    <w:pPr>
      <w:widowControl w:val="0"/>
      <w:shd w:val="clear" w:color="auto" w:fill="FFFFFF"/>
      <w:spacing w:line="270" w:lineRule="exact"/>
      <w:outlineLvl w:val="3"/>
    </w:pPr>
    <w:rPr>
      <w:rFonts w:ascii="Bookman Old Style" w:eastAsia="Bookman Old Style" w:hAnsi="Bookman Old Style" w:cs="Bookman Old Style"/>
      <w:b/>
      <w:bCs/>
      <w:sz w:val="21"/>
      <w:szCs w:val="21"/>
      <w:lang w:val="sq-AL"/>
    </w:rPr>
  </w:style>
  <w:style w:type="character" w:customStyle="1" w:styleId="Heading42Verdana">
    <w:name w:val="Heading #4 (2) + Verdana"/>
    <w:rsid w:val="00076E72"/>
    <w:rPr>
      <w:rFonts w:ascii="Verdana" w:eastAsia="Verdana" w:hAnsi="Verdana" w:cs="Verdana"/>
      <w:b/>
      <w:bCs/>
      <w:color w:val="000000"/>
      <w:w w:val="100"/>
      <w:position w:val="0"/>
      <w:sz w:val="21"/>
      <w:szCs w:val="21"/>
      <w:shd w:val="clear" w:color="auto" w:fill="FFFFFF"/>
      <w:lang w:val="en-US" w:eastAsia="en-US" w:bidi="en-US"/>
    </w:rPr>
  </w:style>
  <w:style w:type="character" w:customStyle="1" w:styleId="Heading4211ptNotBold">
    <w:name w:val="Heading #4 (2) + 11 pt.Not Bold"/>
    <w:rsid w:val="00076E72"/>
    <w:rPr>
      <w:rFonts w:ascii="Bookman Old Style" w:eastAsia="Bookman Old Style" w:hAnsi="Bookman Old Style" w:cs="Bookman Old Style"/>
      <w:b/>
      <w:bCs/>
      <w:color w:val="000000"/>
      <w:w w:val="100"/>
      <w:position w:val="0"/>
      <w:sz w:val="22"/>
      <w:szCs w:val="22"/>
      <w:shd w:val="clear" w:color="auto" w:fill="FFFFFF"/>
      <w:lang w:val="en-US" w:eastAsia="en-US" w:bidi="en-US"/>
    </w:rPr>
  </w:style>
  <w:style w:type="character" w:customStyle="1" w:styleId="Bodytext2105ptBold">
    <w:name w:val="Body text (2) + 10.5 pt.Bold"/>
    <w:rsid w:val="00076E72"/>
    <w:rPr>
      <w:rFonts w:ascii="Bookman Old Style" w:eastAsia="Bookman Old Style" w:hAnsi="Bookman Old Style" w:cs="Bookman Old Style"/>
      <w:b/>
      <w:bCs/>
      <w:i w:val="0"/>
      <w:iCs w:val="0"/>
      <w:smallCaps w:val="0"/>
      <w:strike w:val="0"/>
      <w:color w:val="000000"/>
      <w:spacing w:val="0"/>
      <w:w w:val="100"/>
      <w:position w:val="0"/>
      <w:sz w:val="21"/>
      <w:szCs w:val="21"/>
      <w:u w:val="none"/>
      <w:shd w:val="clear" w:color="auto" w:fill="FFFFFF"/>
      <w:lang w:val="en-US" w:eastAsia="en-US" w:bidi="en-US"/>
    </w:rPr>
  </w:style>
  <w:style w:type="character" w:customStyle="1" w:styleId="Bodytext6NotBold">
    <w:name w:val="Body text (6) + Not Bold"/>
    <w:rsid w:val="00076E72"/>
    <w:rPr>
      <w:rFonts w:ascii="Bookman Old Style" w:eastAsia="Bookman Old Style" w:hAnsi="Bookman Old Style" w:cs="Bookman Old Style"/>
      <w:b/>
      <w:bCs/>
      <w:color w:val="000000"/>
      <w:spacing w:val="0"/>
      <w:position w:val="0"/>
      <w:shd w:val="clear" w:color="auto" w:fill="FFFFFF"/>
      <w:lang w:val="en-US" w:eastAsia="en-US" w:bidi="en-US"/>
    </w:rPr>
  </w:style>
  <w:style w:type="character" w:customStyle="1" w:styleId="Bodytext2Verdana105ptBold">
    <w:name w:val="Body text (2) + Verdana.10.5 pt.Bold"/>
    <w:rsid w:val="00076E72"/>
    <w:rPr>
      <w:rFonts w:ascii="Verdana" w:eastAsia="Verdana" w:hAnsi="Verdana" w:cs="Verdana"/>
      <w:b/>
      <w:bCs/>
      <w:i w:val="0"/>
      <w:iCs w:val="0"/>
      <w:smallCaps w:val="0"/>
      <w:strike w:val="0"/>
      <w:color w:val="000000"/>
      <w:spacing w:val="0"/>
      <w:w w:val="100"/>
      <w:position w:val="0"/>
      <w:sz w:val="21"/>
      <w:szCs w:val="21"/>
      <w:u w:val="none"/>
      <w:shd w:val="clear" w:color="auto" w:fill="FFFFFF"/>
      <w:lang w:val="en-US" w:eastAsia="en-US" w:bidi="en-US"/>
    </w:rPr>
  </w:style>
  <w:style w:type="character" w:customStyle="1" w:styleId="Heading40">
    <w:name w:val="Heading #4_"/>
    <w:link w:val="Heading41"/>
    <w:rsid w:val="00076E72"/>
    <w:rPr>
      <w:rFonts w:ascii="Bookman Old Style" w:eastAsia="Bookman Old Style" w:hAnsi="Bookman Old Style" w:cs="Bookman Old Style"/>
      <w:shd w:val="clear" w:color="auto" w:fill="FFFFFF"/>
    </w:rPr>
  </w:style>
  <w:style w:type="paragraph" w:customStyle="1" w:styleId="Heading41">
    <w:name w:val="Heading #4"/>
    <w:basedOn w:val="Normal"/>
    <w:link w:val="Heading40"/>
    <w:rsid w:val="00076E72"/>
    <w:pPr>
      <w:widowControl w:val="0"/>
      <w:shd w:val="clear" w:color="auto" w:fill="FFFFFF"/>
      <w:spacing w:line="270" w:lineRule="exact"/>
      <w:outlineLvl w:val="3"/>
    </w:pPr>
    <w:rPr>
      <w:rFonts w:ascii="Bookman Old Style" w:eastAsia="Bookman Old Style" w:hAnsi="Bookman Old Style" w:cs="Bookman Old Style"/>
      <w:sz w:val="22"/>
      <w:szCs w:val="22"/>
      <w:lang w:val="sq-AL"/>
    </w:rPr>
  </w:style>
  <w:style w:type="character" w:customStyle="1" w:styleId="Heading4105ptBold">
    <w:name w:val="Heading #4 + 10.5 pt.Bold"/>
    <w:rsid w:val="00076E72"/>
    <w:rPr>
      <w:rFonts w:ascii="Bookman Old Style" w:eastAsia="Bookman Old Style" w:hAnsi="Bookman Old Style" w:cs="Bookman Old Style"/>
      <w:b/>
      <w:bCs/>
      <w:color w:val="000000"/>
      <w:spacing w:val="0"/>
      <w:w w:val="100"/>
      <w:position w:val="0"/>
      <w:sz w:val="21"/>
      <w:szCs w:val="21"/>
      <w:shd w:val="clear" w:color="auto" w:fill="FFFFFF"/>
      <w:lang w:val="en-US" w:eastAsia="en-US" w:bidi="en-US"/>
    </w:rPr>
  </w:style>
  <w:style w:type="character" w:customStyle="1" w:styleId="Heading4Bold">
    <w:name w:val="Heading #4 + Bold"/>
    <w:rsid w:val="00076E72"/>
    <w:rPr>
      <w:rFonts w:ascii="Bookman Old Style" w:eastAsia="Bookman Old Style" w:hAnsi="Bookman Old Style" w:cs="Bookman Old Style"/>
      <w:b/>
      <w:bCs/>
      <w:color w:val="000000"/>
      <w:spacing w:val="0"/>
      <w:w w:val="100"/>
      <w:position w:val="0"/>
      <w:shd w:val="clear" w:color="auto" w:fill="FFFFFF"/>
      <w:lang w:val="en-US" w:eastAsia="en-US" w:bidi="en-US"/>
    </w:rPr>
  </w:style>
  <w:style w:type="character" w:customStyle="1" w:styleId="Bodytext6Exact">
    <w:name w:val="Body text (6) Exact"/>
    <w:rsid w:val="00076E72"/>
    <w:rPr>
      <w:rFonts w:ascii="Bookman Old Style" w:eastAsia="Bookman Old Style" w:hAnsi="Bookman Old Style" w:cs="Bookman Old Style"/>
      <w:b/>
      <w:bCs/>
      <w:i w:val="0"/>
      <w:iCs w:val="0"/>
      <w:smallCaps w:val="0"/>
      <w:strike w:val="0"/>
      <w:w w:val="100"/>
      <w:sz w:val="22"/>
      <w:szCs w:val="22"/>
      <w:u w:val="none"/>
    </w:rPr>
  </w:style>
  <w:style w:type="character" w:customStyle="1" w:styleId="Heading60">
    <w:name w:val="Heading #6_"/>
    <w:link w:val="Heading61"/>
    <w:rsid w:val="00076E72"/>
    <w:rPr>
      <w:rFonts w:ascii="Bookman Old Style" w:eastAsia="Bookman Old Style" w:hAnsi="Bookman Old Style" w:cs="Bookman Old Style"/>
      <w:b/>
      <w:bCs/>
      <w:shd w:val="clear" w:color="auto" w:fill="FFFFFF"/>
    </w:rPr>
  </w:style>
  <w:style w:type="paragraph" w:customStyle="1" w:styleId="Heading61">
    <w:name w:val="Heading #6"/>
    <w:basedOn w:val="Normal"/>
    <w:link w:val="Heading60"/>
    <w:rsid w:val="00076E72"/>
    <w:pPr>
      <w:widowControl w:val="0"/>
      <w:shd w:val="clear" w:color="auto" w:fill="FFFFFF"/>
      <w:spacing w:after="360" w:line="0" w:lineRule="atLeast"/>
      <w:outlineLvl w:val="5"/>
    </w:pPr>
    <w:rPr>
      <w:rFonts w:ascii="Bookman Old Style" w:eastAsia="Bookman Old Style" w:hAnsi="Bookman Old Style" w:cs="Bookman Old Style"/>
      <w:b/>
      <w:bCs/>
      <w:sz w:val="22"/>
      <w:szCs w:val="22"/>
      <w:lang w:val="sq-AL"/>
    </w:rPr>
  </w:style>
  <w:style w:type="character" w:customStyle="1" w:styleId="Heading6NotBold">
    <w:name w:val="Heading #6 + Not Bold"/>
    <w:rsid w:val="00076E72"/>
    <w:rPr>
      <w:rFonts w:ascii="Bookman Old Style" w:eastAsia="Bookman Old Style" w:hAnsi="Bookman Old Style" w:cs="Bookman Old Style"/>
      <w:b/>
      <w:bCs/>
      <w:color w:val="000000"/>
      <w:spacing w:val="0"/>
      <w:position w:val="0"/>
      <w:shd w:val="clear" w:color="auto" w:fill="FFFFFF"/>
      <w:lang w:val="en-US" w:eastAsia="en-US" w:bidi="en-US"/>
    </w:rPr>
  </w:style>
  <w:style w:type="character" w:customStyle="1" w:styleId="Heading43">
    <w:name w:val="Heading #4 (3)_"/>
    <w:link w:val="Heading430"/>
    <w:rsid w:val="00076E72"/>
    <w:rPr>
      <w:rFonts w:ascii="Bookman Old Style" w:eastAsia="Bookman Old Style" w:hAnsi="Bookman Old Style" w:cs="Bookman Old Style"/>
      <w:b/>
      <w:bCs/>
      <w:sz w:val="21"/>
      <w:szCs w:val="21"/>
      <w:shd w:val="clear" w:color="auto" w:fill="FFFFFF"/>
    </w:rPr>
  </w:style>
  <w:style w:type="paragraph" w:customStyle="1" w:styleId="Heading430">
    <w:name w:val="Heading #4 (3)"/>
    <w:basedOn w:val="Normal"/>
    <w:link w:val="Heading43"/>
    <w:rsid w:val="00076E72"/>
    <w:pPr>
      <w:widowControl w:val="0"/>
      <w:shd w:val="clear" w:color="auto" w:fill="FFFFFF"/>
      <w:spacing w:before="300" w:line="270" w:lineRule="exact"/>
      <w:outlineLvl w:val="3"/>
    </w:pPr>
    <w:rPr>
      <w:rFonts w:ascii="Bookman Old Style" w:eastAsia="Bookman Old Style" w:hAnsi="Bookman Old Style" w:cs="Bookman Old Style"/>
      <w:b/>
      <w:bCs/>
      <w:sz w:val="21"/>
      <w:szCs w:val="21"/>
      <w:lang w:val="sq-AL"/>
    </w:rPr>
  </w:style>
  <w:style w:type="character" w:customStyle="1" w:styleId="Heading4311pt">
    <w:name w:val="Heading #4 (3) + 11 pt"/>
    <w:rsid w:val="00076E72"/>
    <w:rPr>
      <w:rFonts w:ascii="Bookman Old Style" w:eastAsia="Bookman Old Style" w:hAnsi="Bookman Old Style" w:cs="Bookman Old Style"/>
      <w:b/>
      <w:bCs/>
      <w:color w:val="000000"/>
      <w:w w:val="100"/>
      <w:position w:val="0"/>
      <w:sz w:val="22"/>
      <w:szCs w:val="22"/>
      <w:shd w:val="clear" w:color="auto" w:fill="FFFFFF"/>
      <w:lang w:val="en-US" w:eastAsia="en-US" w:bidi="en-US"/>
    </w:rPr>
  </w:style>
  <w:style w:type="character" w:customStyle="1" w:styleId="Heading4311ptNotBold">
    <w:name w:val="Heading #4 (3) + 11 pt.Not Bold"/>
    <w:rsid w:val="00076E72"/>
    <w:rPr>
      <w:rFonts w:ascii="Bookman Old Style" w:eastAsia="Bookman Old Style" w:hAnsi="Bookman Old Style" w:cs="Bookman Old Style"/>
      <w:b/>
      <w:bCs/>
      <w:color w:val="000000"/>
      <w:w w:val="100"/>
      <w:position w:val="0"/>
      <w:sz w:val="22"/>
      <w:szCs w:val="22"/>
      <w:shd w:val="clear" w:color="auto" w:fill="FFFFFF"/>
      <w:lang w:val="en-US" w:eastAsia="en-US" w:bidi="en-US"/>
    </w:rPr>
  </w:style>
  <w:style w:type="character" w:customStyle="1" w:styleId="Bodytext2115ptBold">
    <w:name w:val="Body text (2) + 11.5 pt.Bold"/>
    <w:rsid w:val="00076E72"/>
    <w:rPr>
      <w:rFonts w:ascii="Bookman Old Style" w:eastAsia="Bookman Old Style" w:hAnsi="Bookman Old Style" w:cs="Bookman Old Style"/>
      <w:b/>
      <w:bCs/>
      <w:i w:val="0"/>
      <w:iCs w:val="0"/>
      <w:smallCaps w:val="0"/>
      <w:strike w:val="0"/>
      <w:color w:val="000000"/>
      <w:spacing w:val="0"/>
      <w:w w:val="100"/>
      <w:position w:val="0"/>
      <w:sz w:val="23"/>
      <w:szCs w:val="23"/>
      <w:u w:val="none"/>
      <w:shd w:val="clear" w:color="auto" w:fill="FFFFFF"/>
      <w:lang w:val="en-US" w:eastAsia="en-US" w:bidi="en-US"/>
    </w:rPr>
  </w:style>
  <w:style w:type="character" w:customStyle="1" w:styleId="Heading44">
    <w:name w:val="Heading #4 (4)_"/>
    <w:link w:val="Heading440"/>
    <w:rsid w:val="00076E72"/>
    <w:rPr>
      <w:rFonts w:ascii="Bookman Old Style" w:eastAsia="Bookman Old Style" w:hAnsi="Bookman Old Style" w:cs="Bookman Old Style"/>
      <w:b/>
      <w:bCs/>
      <w:sz w:val="21"/>
      <w:szCs w:val="21"/>
      <w:shd w:val="clear" w:color="auto" w:fill="FFFFFF"/>
    </w:rPr>
  </w:style>
  <w:style w:type="paragraph" w:customStyle="1" w:styleId="Heading440">
    <w:name w:val="Heading #4 (4)"/>
    <w:basedOn w:val="Normal"/>
    <w:link w:val="Heading44"/>
    <w:rsid w:val="00076E72"/>
    <w:pPr>
      <w:widowControl w:val="0"/>
      <w:shd w:val="clear" w:color="auto" w:fill="FFFFFF"/>
      <w:spacing w:after="1020" w:line="270" w:lineRule="exact"/>
      <w:outlineLvl w:val="3"/>
    </w:pPr>
    <w:rPr>
      <w:rFonts w:ascii="Bookman Old Style" w:eastAsia="Bookman Old Style" w:hAnsi="Bookman Old Style" w:cs="Bookman Old Style"/>
      <w:b/>
      <w:bCs/>
      <w:sz w:val="21"/>
      <w:szCs w:val="21"/>
      <w:lang w:val="sq-AL"/>
    </w:rPr>
  </w:style>
  <w:style w:type="character" w:customStyle="1" w:styleId="Heading4411pt">
    <w:name w:val="Heading #4 (4) + 11 pt"/>
    <w:rsid w:val="00076E72"/>
    <w:rPr>
      <w:rFonts w:ascii="Bookman Old Style" w:eastAsia="Bookman Old Style" w:hAnsi="Bookman Old Style" w:cs="Bookman Old Style"/>
      <w:b/>
      <w:bCs/>
      <w:color w:val="000000"/>
      <w:w w:val="100"/>
      <w:position w:val="0"/>
      <w:sz w:val="22"/>
      <w:szCs w:val="22"/>
      <w:shd w:val="clear" w:color="auto" w:fill="FFFFFF"/>
      <w:lang w:val="en-US" w:eastAsia="en-US" w:bidi="en-US"/>
    </w:rPr>
  </w:style>
  <w:style w:type="character" w:customStyle="1" w:styleId="Heading4411ptNotBold">
    <w:name w:val="Heading #4 (4) + 11 pt.Not Bold"/>
    <w:rsid w:val="00076E72"/>
    <w:rPr>
      <w:rFonts w:ascii="Bookman Old Style" w:eastAsia="Bookman Old Style" w:hAnsi="Bookman Old Style" w:cs="Bookman Old Style"/>
      <w:b/>
      <w:bCs/>
      <w:color w:val="000000"/>
      <w:w w:val="100"/>
      <w:position w:val="0"/>
      <w:sz w:val="22"/>
      <w:szCs w:val="22"/>
      <w:shd w:val="clear" w:color="auto" w:fill="FFFFFF"/>
      <w:lang w:val="en-US" w:eastAsia="en-US" w:bidi="en-US"/>
    </w:rPr>
  </w:style>
  <w:style w:type="character" w:customStyle="1" w:styleId="Bodytext3Spacing3pt">
    <w:name w:val="Body text (3) + Spacing 3 pt"/>
    <w:rsid w:val="00076E72"/>
    <w:rPr>
      <w:rFonts w:ascii="Segoe UI" w:eastAsia="Segoe UI" w:hAnsi="Segoe UI" w:cs="Segoe UI"/>
      <w:b w:val="0"/>
      <w:bCs w:val="0"/>
      <w:i w:val="0"/>
      <w:iCs w:val="0"/>
      <w:smallCaps w:val="0"/>
      <w:strike w:val="0"/>
      <w:color w:val="000000"/>
      <w:spacing w:val="60"/>
      <w:w w:val="100"/>
      <w:position w:val="0"/>
      <w:sz w:val="20"/>
      <w:szCs w:val="20"/>
      <w:u w:val="none"/>
      <w:lang w:val="en-US" w:eastAsia="en-US" w:bidi="en-US"/>
    </w:rPr>
  </w:style>
  <w:style w:type="character" w:customStyle="1" w:styleId="Bodytext6Bold">
    <w:name w:val="Body text (6) + Bold"/>
    <w:rsid w:val="00076E72"/>
    <w:rPr>
      <w:rFonts w:ascii="Bookman Old Style" w:eastAsia="Bookman Old Style" w:hAnsi="Bookman Old Style" w:cs="Bookman Old Style"/>
      <w:b/>
      <w:bCs/>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Bodytext6SegoeUI10pt">
    <w:name w:val="Body text (6) + Segoe UI.10 pt"/>
    <w:rsid w:val="00076E72"/>
    <w:rPr>
      <w:rFonts w:ascii="Segoe UI" w:eastAsia="Segoe UI" w:hAnsi="Segoe UI" w:cs="Segoe UI"/>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Heading30">
    <w:name w:val="Heading #3_"/>
    <w:link w:val="Heading31"/>
    <w:rsid w:val="00076E72"/>
    <w:rPr>
      <w:rFonts w:ascii="Verdana" w:eastAsia="Verdana" w:hAnsi="Verdana" w:cs="Verdana"/>
      <w:b/>
      <w:bCs/>
      <w:shd w:val="clear" w:color="auto" w:fill="FFFFFF"/>
    </w:rPr>
  </w:style>
  <w:style w:type="paragraph" w:customStyle="1" w:styleId="Heading31">
    <w:name w:val="Heading #3"/>
    <w:basedOn w:val="Normal"/>
    <w:link w:val="Heading30"/>
    <w:rsid w:val="00076E72"/>
    <w:pPr>
      <w:widowControl w:val="0"/>
      <w:shd w:val="clear" w:color="auto" w:fill="FFFFFF"/>
      <w:spacing w:before="300" w:line="0" w:lineRule="atLeast"/>
      <w:outlineLvl w:val="2"/>
    </w:pPr>
    <w:rPr>
      <w:rFonts w:ascii="Verdana" w:eastAsia="Verdana" w:hAnsi="Verdana" w:cs="Verdana"/>
      <w:b/>
      <w:bCs/>
      <w:sz w:val="22"/>
      <w:szCs w:val="22"/>
      <w:lang w:val="sq-AL"/>
    </w:rPr>
  </w:style>
  <w:style w:type="character" w:customStyle="1" w:styleId="Bodytext100">
    <w:name w:val="Body text (10)_"/>
    <w:link w:val="Bodytext101"/>
    <w:rsid w:val="00076E72"/>
    <w:rPr>
      <w:rFonts w:ascii="Bookman Old Style" w:eastAsia="Bookman Old Style" w:hAnsi="Bookman Old Style" w:cs="Bookman Old Style"/>
      <w:b/>
      <w:bCs/>
      <w:shd w:val="clear" w:color="auto" w:fill="FFFFFF"/>
    </w:rPr>
  </w:style>
  <w:style w:type="paragraph" w:customStyle="1" w:styleId="Bodytext101">
    <w:name w:val="Body text (10)"/>
    <w:basedOn w:val="Normal"/>
    <w:link w:val="Bodytext100"/>
    <w:rsid w:val="00076E72"/>
    <w:pPr>
      <w:widowControl w:val="0"/>
      <w:shd w:val="clear" w:color="auto" w:fill="FFFFFF"/>
      <w:spacing w:before="600" w:line="274" w:lineRule="exact"/>
    </w:pPr>
    <w:rPr>
      <w:rFonts w:ascii="Bookman Old Style" w:eastAsia="Bookman Old Style" w:hAnsi="Bookman Old Style" w:cs="Bookman Old Style"/>
      <w:b/>
      <w:bCs/>
      <w:sz w:val="22"/>
      <w:szCs w:val="22"/>
      <w:lang w:val="sq-AL"/>
    </w:rPr>
  </w:style>
  <w:style w:type="character" w:customStyle="1" w:styleId="Bodytext10NotBold">
    <w:name w:val="Body text (10) + Not Bold"/>
    <w:rsid w:val="00076E72"/>
    <w:rPr>
      <w:rFonts w:ascii="Bookman Old Style" w:eastAsia="Bookman Old Style" w:hAnsi="Bookman Old Style" w:cs="Bookman Old Style"/>
      <w:b/>
      <w:bCs/>
      <w:color w:val="000000"/>
      <w:spacing w:val="0"/>
      <w:position w:val="0"/>
      <w:shd w:val="clear" w:color="auto" w:fill="FFFFFF"/>
      <w:lang w:val="en-US" w:eastAsia="en-US" w:bidi="en-US"/>
    </w:rPr>
  </w:style>
  <w:style w:type="character" w:customStyle="1" w:styleId="Bodytext1012ptNotBold">
    <w:name w:val="Body text (10) + 12 pt.Not Bold"/>
    <w:rsid w:val="00076E72"/>
    <w:rPr>
      <w:rFonts w:ascii="Bookman Old Style" w:eastAsia="Bookman Old Style" w:hAnsi="Bookman Old Style" w:cs="Bookman Old Style"/>
      <w:b/>
      <w:bCs/>
      <w:color w:val="000000"/>
      <w:spacing w:val="0"/>
      <w:position w:val="0"/>
      <w:sz w:val="24"/>
      <w:szCs w:val="24"/>
      <w:shd w:val="clear" w:color="auto" w:fill="FFFFFF"/>
      <w:lang w:val="en-US" w:eastAsia="en-US" w:bidi="en-US"/>
    </w:rPr>
  </w:style>
  <w:style w:type="character" w:customStyle="1" w:styleId="Bodytext611ptBold">
    <w:name w:val="Body text (6) + 11 pt.Bold"/>
    <w:rsid w:val="00076E72"/>
    <w:rPr>
      <w:rFonts w:ascii="Bookman Old Style" w:eastAsia="Bookman Old Style" w:hAnsi="Bookman Old Style" w:cs="Bookman Old Style"/>
      <w:b/>
      <w:bCs/>
      <w:i w:val="0"/>
      <w:iCs w:val="0"/>
      <w:smallCaps w:val="0"/>
      <w:strike w:val="0"/>
      <w:color w:val="000000"/>
      <w:spacing w:val="0"/>
      <w:w w:val="100"/>
      <w:position w:val="0"/>
      <w:sz w:val="22"/>
      <w:szCs w:val="22"/>
      <w:u w:val="none"/>
      <w:shd w:val="clear" w:color="auto" w:fill="FFFFFF"/>
      <w:lang w:val="en-US" w:eastAsia="en-US" w:bidi="en-US"/>
    </w:rPr>
  </w:style>
  <w:style w:type="character" w:customStyle="1" w:styleId="Bodytext611pt">
    <w:name w:val="Body text (6) + 11 pt"/>
    <w:rsid w:val="00076E72"/>
    <w:rPr>
      <w:rFonts w:ascii="Bookman Old Style" w:eastAsia="Bookman Old Style" w:hAnsi="Bookman Old Style" w:cs="Bookman Old Style"/>
      <w:b w:val="0"/>
      <w:bCs w:val="0"/>
      <w:i w:val="0"/>
      <w:iCs w:val="0"/>
      <w:smallCaps w:val="0"/>
      <w:strike w:val="0"/>
      <w:color w:val="000000"/>
      <w:spacing w:val="0"/>
      <w:w w:val="100"/>
      <w:position w:val="0"/>
      <w:sz w:val="22"/>
      <w:szCs w:val="22"/>
      <w:u w:val="none"/>
      <w:shd w:val="clear" w:color="auto" w:fill="FFFFFF"/>
      <w:lang w:val="en-US" w:eastAsia="en-US" w:bidi="en-US"/>
    </w:rPr>
  </w:style>
  <w:style w:type="character" w:customStyle="1" w:styleId="Bodytext2SegoeUI95ptBold">
    <w:name w:val="Body text (2) + Segoe UI.9.5 pt.Bold"/>
    <w:rsid w:val="00076E72"/>
    <w:rPr>
      <w:rFonts w:ascii="Segoe UI" w:eastAsia="Segoe UI" w:hAnsi="Segoe UI" w:cs="Segoe UI"/>
      <w:b/>
      <w:bCs/>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Bodytext2SegoeUI10pt">
    <w:name w:val="Body text (2) + Segoe UI.10 pt"/>
    <w:rsid w:val="00076E72"/>
    <w:rPr>
      <w:rFonts w:ascii="Segoe UI" w:eastAsia="Segoe UI" w:hAnsi="Segoe UI" w:cs="Segoe UI"/>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Bodytext19">
    <w:name w:val="Body text (19)_"/>
    <w:link w:val="Bodytext190"/>
    <w:rsid w:val="00076E72"/>
    <w:rPr>
      <w:rFonts w:ascii="Bookman Old Style" w:eastAsia="Bookman Old Style" w:hAnsi="Bookman Old Style" w:cs="Bookman Old Style"/>
      <w:sz w:val="23"/>
      <w:szCs w:val="23"/>
      <w:shd w:val="clear" w:color="auto" w:fill="FFFFFF"/>
    </w:rPr>
  </w:style>
  <w:style w:type="paragraph" w:customStyle="1" w:styleId="Bodytext190">
    <w:name w:val="Body text (19)"/>
    <w:basedOn w:val="Normal"/>
    <w:link w:val="Bodytext19"/>
    <w:rsid w:val="00076E72"/>
    <w:pPr>
      <w:widowControl w:val="0"/>
      <w:shd w:val="clear" w:color="auto" w:fill="FFFFFF"/>
      <w:spacing w:line="274" w:lineRule="exact"/>
    </w:pPr>
    <w:rPr>
      <w:rFonts w:ascii="Bookman Old Style" w:eastAsia="Bookman Old Style" w:hAnsi="Bookman Old Style" w:cs="Bookman Old Style"/>
      <w:sz w:val="23"/>
      <w:szCs w:val="23"/>
      <w:lang w:val="sq-AL"/>
    </w:rPr>
  </w:style>
  <w:style w:type="character" w:customStyle="1" w:styleId="Bodytext4NotBold">
    <w:name w:val="Body text (4) + Not Bold"/>
    <w:rsid w:val="00076E72"/>
    <w:rPr>
      <w:rFonts w:ascii="Bookman Old Style" w:eastAsia="Bookman Old Style" w:hAnsi="Bookman Old Style" w:cs="Bookman Old Style"/>
      <w:b/>
      <w:bCs/>
      <w:color w:val="000000"/>
      <w:spacing w:val="0"/>
      <w:w w:val="100"/>
      <w:position w:val="0"/>
      <w:shd w:val="clear" w:color="auto" w:fill="FFFFFF"/>
      <w:lang w:val="en-US" w:eastAsia="en-US" w:bidi="en-US"/>
    </w:rPr>
  </w:style>
  <w:style w:type="character" w:customStyle="1" w:styleId="Bodytext12Bold">
    <w:name w:val="Body text (12) + Bold"/>
    <w:rsid w:val="00076E72"/>
    <w:rPr>
      <w:rFonts w:ascii="Bookman Old Style" w:eastAsia="Bookman Old Style" w:hAnsi="Bookman Old Style" w:cs="Bookman Old Style"/>
      <w:b/>
      <w:bCs/>
      <w:i w:val="0"/>
      <w:iCs w:val="0"/>
      <w:smallCaps w:val="0"/>
      <w:strike w:val="0"/>
      <w:color w:val="000000"/>
      <w:spacing w:val="0"/>
      <w:w w:val="100"/>
      <w:position w:val="0"/>
      <w:sz w:val="22"/>
      <w:szCs w:val="22"/>
      <w:u w:val="none"/>
      <w:lang w:val="en-US" w:eastAsia="en-US" w:bidi="en-US"/>
    </w:rPr>
  </w:style>
  <w:style w:type="character" w:customStyle="1" w:styleId="CommentTextChar1">
    <w:name w:val="Comment Text Char1"/>
    <w:basedOn w:val="DefaultParagraphFont"/>
    <w:uiPriority w:val="99"/>
    <w:semiHidden/>
    <w:rsid w:val="00076E72"/>
  </w:style>
  <w:style w:type="character" w:customStyle="1" w:styleId="Picturecaption3">
    <w:name w:val="Picture caption (3)_"/>
    <w:link w:val="Picturecaption30"/>
    <w:rsid w:val="00076E72"/>
    <w:rPr>
      <w:rFonts w:ascii="Verdana" w:eastAsia="Verdana" w:hAnsi="Verdana" w:cs="Verdana"/>
      <w:sz w:val="16"/>
      <w:szCs w:val="16"/>
      <w:shd w:val="clear" w:color="auto" w:fill="FFFFFF"/>
    </w:rPr>
  </w:style>
  <w:style w:type="paragraph" w:customStyle="1" w:styleId="Picturecaption30">
    <w:name w:val="Picture caption (3)"/>
    <w:basedOn w:val="Normal"/>
    <w:link w:val="Picturecaption3"/>
    <w:rsid w:val="00076E72"/>
    <w:pPr>
      <w:widowControl w:val="0"/>
      <w:shd w:val="clear" w:color="auto" w:fill="FFFFFF"/>
      <w:spacing w:line="0" w:lineRule="atLeast"/>
    </w:pPr>
    <w:rPr>
      <w:rFonts w:ascii="Verdana" w:eastAsia="Verdana" w:hAnsi="Verdana" w:cs="Verdana"/>
      <w:sz w:val="16"/>
      <w:szCs w:val="16"/>
      <w:lang w:val="sq-AL"/>
    </w:rPr>
  </w:style>
  <w:style w:type="character" w:customStyle="1" w:styleId="Bodytext2FranklinGothicHeavy13pt">
    <w:name w:val="Body text (2) + Franklin Gothic Heavy.13 pt"/>
    <w:rsid w:val="00076E72"/>
    <w:rPr>
      <w:rFonts w:ascii="Franklin Gothic Heavy" w:eastAsia="Franklin Gothic Heavy" w:hAnsi="Franklin Gothic Heavy" w:cs="Franklin Gothic Heavy"/>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Bodytext2Verdana9pt">
    <w:name w:val="Body text (2) + Verdana.9 pt"/>
    <w:rsid w:val="00076E72"/>
    <w:rPr>
      <w:rFonts w:ascii="Verdana" w:eastAsia="Verdana" w:hAnsi="Verdana" w:cs="Verdana"/>
      <w:b w:val="0"/>
      <w:bCs w:val="0"/>
      <w:i w:val="0"/>
      <w:iCs w:val="0"/>
      <w:smallCaps w:val="0"/>
      <w:strike w:val="0"/>
      <w:color w:val="000000"/>
      <w:spacing w:val="0"/>
      <w:w w:val="100"/>
      <w:position w:val="0"/>
      <w:sz w:val="18"/>
      <w:szCs w:val="18"/>
      <w:u w:val="none"/>
      <w:shd w:val="clear" w:color="auto" w:fill="FFFFFF"/>
      <w:lang w:val="en-US" w:eastAsia="en-US" w:bidi="en-US"/>
    </w:rPr>
  </w:style>
  <w:style w:type="character" w:customStyle="1" w:styleId="Bodytext2FranklinGothicHeavy10pt">
    <w:name w:val="Body text (2) + Franklin Gothic Heavy.10 pt"/>
    <w:rsid w:val="00076E72"/>
    <w:rPr>
      <w:rFonts w:ascii="Franklin Gothic Heavy" w:eastAsia="Franklin Gothic Heavy" w:hAnsi="Franklin Gothic Heavy" w:cs="Franklin Gothic Heavy"/>
      <w:b/>
      <w:bCs/>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Bodytext2Verdana95ptItalic">
    <w:name w:val="Body text (2) + Verdana.9.5 pt.Italic"/>
    <w:rsid w:val="00076E72"/>
    <w:rPr>
      <w:rFonts w:ascii="Verdana" w:eastAsia="Verdana" w:hAnsi="Verdana" w:cs="Verdana"/>
      <w:b w:val="0"/>
      <w:bCs w:val="0"/>
      <w:i/>
      <w:iCs/>
      <w:smallCaps w:val="0"/>
      <w:strike w:val="0"/>
      <w:color w:val="000000"/>
      <w:spacing w:val="0"/>
      <w:w w:val="100"/>
      <w:position w:val="0"/>
      <w:sz w:val="19"/>
      <w:szCs w:val="19"/>
      <w:u w:val="none"/>
      <w:shd w:val="clear" w:color="auto" w:fill="FFFFFF"/>
      <w:lang w:val="en-US" w:eastAsia="en-US" w:bidi="en-US"/>
    </w:rPr>
  </w:style>
  <w:style w:type="character" w:customStyle="1" w:styleId="Heading21">
    <w:name w:val="Heading #2_"/>
    <w:rsid w:val="00076E72"/>
    <w:rPr>
      <w:rFonts w:ascii="Franklin Gothic Heavy" w:eastAsia="Franklin Gothic Heavy" w:hAnsi="Franklin Gothic Heavy" w:cs="Franklin Gothic Heavy"/>
      <w:sz w:val="26"/>
      <w:szCs w:val="26"/>
      <w:shd w:val="clear" w:color="auto" w:fill="FFFFFF"/>
    </w:rPr>
  </w:style>
  <w:style w:type="character" w:customStyle="1" w:styleId="Bodytext2BookmanOldStyleBold">
    <w:name w:val="Body text (2) + Bookman Old Style.Bold"/>
    <w:rsid w:val="00076E72"/>
    <w:rPr>
      <w:rFonts w:ascii="Bookman Old Style" w:eastAsia="Bookman Old Style" w:hAnsi="Bookman Old Style" w:cs="Bookman Old Style"/>
      <w:b/>
      <w:bCs/>
      <w:color w:val="000000"/>
      <w:spacing w:val="0"/>
      <w:w w:val="100"/>
      <w:position w:val="0"/>
      <w:sz w:val="22"/>
      <w:szCs w:val="22"/>
      <w:shd w:val="clear" w:color="auto" w:fill="FFFFFF"/>
      <w:lang w:val="en-US" w:eastAsia="en-US" w:bidi="en-US"/>
    </w:rPr>
  </w:style>
  <w:style w:type="character" w:customStyle="1" w:styleId="Bodytext5BookAntiquaNotBold">
    <w:name w:val="Body text (5) + Book Antiqua.Not Bold"/>
    <w:rsid w:val="00076E72"/>
    <w:rPr>
      <w:rFonts w:ascii="Book Antiqua" w:eastAsia="Book Antiqua" w:hAnsi="Book Antiqua" w:cs="Book Antiqua"/>
      <w:b/>
      <w:bCs/>
      <w:color w:val="000000"/>
      <w:spacing w:val="0"/>
      <w:position w:val="0"/>
      <w:sz w:val="22"/>
      <w:szCs w:val="22"/>
      <w:shd w:val="clear" w:color="auto" w:fill="FFFFFF"/>
      <w:lang w:val="en-US" w:eastAsia="en-US" w:bidi="en-US"/>
    </w:rPr>
  </w:style>
  <w:style w:type="character" w:customStyle="1" w:styleId="Bodytext4BookmanOldStyle11ptBold">
    <w:name w:val="Body text (4) + Bookman Old Style.11 pt.Bold"/>
    <w:rsid w:val="00076E72"/>
    <w:rPr>
      <w:rFonts w:ascii="Bookman Old Style" w:eastAsia="Bookman Old Style" w:hAnsi="Bookman Old Style" w:cs="Bookman Old Style"/>
      <w:b/>
      <w:bCs/>
      <w:i w:val="0"/>
      <w:iCs w:val="0"/>
      <w:smallCaps w:val="0"/>
      <w:strike w:val="0"/>
      <w:color w:val="000000"/>
      <w:spacing w:val="0"/>
      <w:w w:val="100"/>
      <w:position w:val="0"/>
      <w:sz w:val="22"/>
      <w:szCs w:val="22"/>
      <w:u w:val="none"/>
      <w:shd w:val="clear" w:color="auto" w:fill="FFFFFF"/>
      <w:lang w:val="en-US" w:eastAsia="en-US" w:bidi="en-US"/>
    </w:rPr>
  </w:style>
  <w:style w:type="character" w:customStyle="1" w:styleId="Bodytext2Tahoma95ptItalicSpacing0pt">
    <w:name w:val="Body text (2) + Tahoma.9.5 pt.Italic.Spacing 0 pt"/>
    <w:rsid w:val="00076E72"/>
    <w:rPr>
      <w:rFonts w:ascii="Tahoma" w:eastAsia="Tahoma" w:hAnsi="Tahoma" w:cs="Tahoma"/>
      <w:b w:val="0"/>
      <w:bCs w:val="0"/>
      <w:i/>
      <w:iCs/>
      <w:smallCaps w:val="0"/>
      <w:strike w:val="0"/>
      <w:color w:val="000000"/>
      <w:spacing w:val="-10"/>
      <w:w w:val="100"/>
      <w:position w:val="0"/>
      <w:sz w:val="19"/>
      <w:szCs w:val="19"/>
      <w:u w:val="none"/>
      <w:shd w:val="clear" w:color="auto" w:fill="FFFFFF"/>
      <w:lang w:val="en-US" w:eastAsia="en-US" w:bidi="en-US"/>
    </w:rPr>
  </w:style>
  <w:style w:type="character" w:customStyle="1" w:styleId="Bodytext2TimesNewRoman12pt">
    <w:name w:val="Body text (2) + Times New Roman.12 pt"/>
    <w:rsid w:val="00076E72"/>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en-US" w:eastAsia="en-US" w:bidi="en-US"/>
    </w:rPr>
  </w:style>
  <w:style w:type="paragraph" w:customStyle="1" w:styleId="CharCharCharCharCharCharCharChar1Char">
    <w:name w:val="Char Char Char Char Char Char Char Char1 Char"/>
    <w:basedOn w:val="Normal"/>
    <w:rsid w:val="00076E72"/>
    <w:pPr>
      <w:spacing w:after="160" w:line="240" w:lineRule="exact"/>
    </w:pPr>
    <w:rPr>
      <w:lang w:val="de-AT" w:eastAsia="en-GB"/>
    </w:rPr>
  </w:style>
  <w:style w:type="character" w:customStyle="1" w:styleId="Normal1">
    <w:name w:val="Normal1"/>
    <w:qFormat/>
    <w:rsid w:val="00076E72"/>
    <w:rPr>
      <w:rFonts w:ascii="Book Antiqua" w:hAnsi="Book Antiqua" w:cs="Times New Roman" w:hint="default"/>
      <w:sz w:val="24"/>
      <w:szCs w:val="24"/>
      <w:lang w:val="sq-AL"/>
    </w:rPr>
  </w:style>
  <w:style w:type="numbering" w:customStyle="1" w:styleId="NoList111">
    <w:name w:val="No List111"/>
    <w:next w:val="NoList"/>
    <w:uiPriority w:val="99"/>
    <w:semiHidden/>
    <w:unhideWhenUsed/>
    <w:rsid w:val="00076E72"/>
  </w:style>
  <w:style w:type="character" w:customStyle="1" w:styleId="BodytextVerdana">
    <w:name w:val="Body text + Verdana"/>
    <w:aliases w:val="7.5 pt,Body text (2) + Calibri"/>
    <w:rsid w:val="00076E72"/>
    <w:rPr>
      <w:rFonts w:ascii="Verdana" w:eastAsia="Verdana" w:hAnsi="Verdana" w:cs="Verdana"/>
      <w:b w:val="0"/>
      <w:bCs w:val="0"/>
      <w:i w:val="0"/>
      <w:iCs w:val="0"/>
      <w:smallCaps w:val="0"/>
      <w:strike w:val="0"/>
      <w:color w:val="000000"/>
      <w:spacing w:val="0"/>
      <w:w w:val="100"/>
      <w:position w:val="0"/>
      <w:sz w:val="15"/>
      <w:szCs w:val="15"/>
      <w:u w:val="none"/>
      <w:lang w:val="sq-AL"/>
    </w:rPr>
  </w:style>
  <w:style w:type="character" w:customStyle="1" w:styleId="Heading10">
    <w:name w:val="Heading #1_"/>
    <w:link w:val="Heading12"/>
    <w:rsid w:val="00076E72"/>
    <w:rPr>
      <w:rFonts w:ascii="Microsoft Sans Serif" w:eastAsia="Microsoft Sans Serif" w:hAnsi="Microsoft Sans Serif" w:cs="Microsoft Sans Serif"/>
      <w:sz w:val="26"/>
      <w:szCs w:val="26"/>
      <w:shd w:val="clear" w:color="auto" w:fill="FFFFFF"/>
    </w:rPr>
  </w:style>
  <w:style w:type="paragraph" w:customStyle="1" w:styleId="Heading12">
    <w:name w:val="Heading #1"/>
    <w:basedOn w:val="Normal"/>
    <w:link w:val="Heading10"/>
    <w:rsid w:val="00076E72"/>
    <w:pPr>
      <w:widowControl w:val="0"/>
      <w:shd w:val="clear" w:color="auto" w:fill="FFFFFF"/>
      <w:spacing w:before="300" w:after="1260" w:line="322" w:lineRule="exact"/>
      <w:outlineLvl w:val="0"/>
    </w:pPr>
    <w:rPr>
      <w:rFonts w:ascii="Microsoft Sans Serif" w:eastAsia="Microsoft Sans Serif" w:hAnsi="Microsoft Sans Serif" w:cs="Microsoft Sans Serif"/>
      <w:sz w:val="26"/>
      <w:szCs w:val="26"/>
      <w:lang w:val="sq-AL"/>
    </w:rPr>
  </w:style>
  <w:style w:type="paragraph" w:customStyle="1" w:styleId="CharCharCharCharCharCharCharChar1CharCharCharChar">
    <w:name w:val="Char Char Char Char Char Char Char Char1 Char Char Char Char"/>
    <w:basedOn w:val="Normal"/>
    <w:rsid w:val="00076E72"/>
    <w:pPr>
      <w:spacing w:after="160" w:line="240" w:lineRule="exact"/>
    </w:pPr>
    <w:rPr>
      <w:lang w:val="de-AT" w:eastAsia="en-GB"/>
    </w:rPr>
  </w:style>
  <w:style w:type="numbering" w:customStyle="1" w:styleId="NoList1111">
    <w:name w:val="No List1111"/>
    <w:next w:val="NoList"/>
    <w:uiPriority w:val="99"/>
    <w:semiHidden/>
    <w:unhideWhenUsed/>
    <w:rsid w:val="00076E72"/>
  </w:style>
  <w:style w:type="paragraph" w:customStyle="1" w:styleId="msonormal0">
    <w:name w:val="msonormal"/>
    <w:basedOn w:val="Normal"/>
    <w:rsid w:val="00076E72"/>
    <w:pPr>
      <w:spacing w:before="100" w:beforeAutospacing="1" w:after="100" w:afterAutospacing="1"/>
    </w:pPr>
    <w:rPr>
      <w:sz w:val="24"/>
      <w:szCs w:val="24"/>
      <w:lang w:val="en-GB" w:eastAsia="en-GB"/>
    </w:rPr>
  </w:style>
  <w:style w:type="paragraph" w:customStyle="1" w:styleId="font5">
    <w:name w:val="font5"/>
    <w:basedOn w:val="Normal"/>
    <w:rsid w:val="00076E72"/>
    <w:pPr>
      <w:spacing w:before="100" w:beforeAutospacing="1" w:after="100" w:afterAutospacing="1"/>
    </w:pPr>
    <w:rPr>
      <w:b/>
      <w:bCs/>
      <w:color w:val="000000"/>
      <w:sz w:val="24"/>
      <w:szCs w:val="24"/>
      <w:u w:val="single"/>
      <w:lang w:val="en-GB" w:eastAsia="en-GB"/>
    </w:rPr>
  </w:style>
  <w:style w:type="paragraph" w:customStyle="1" w:styleId="font6">
    <w:name w:val="font6"/>
    <w:basedOn w:val="Normal"/>
    <w:rsid w:val="00076E72"/>
    <w:pPr>
      <w:spacing w:before="100" w:beforeAutospacing="1" w:after="100" w:afterAutospacing="1"/>
    </w:pPr>
    <w:rPr>
      <w:b/>
      <w:bCs/>
      <w:color w:val="000000"/>
      <w:sz w:val="24"/>
      <w:szCs w:val="24"/>
      <w:lang w:val="en-GB" w:eastAsia="en-GB"/>
    </w:rPr>
  </w:style>
  <w:style w:type="paragraph" w:customStyle="1" w:styleId="font7">
    <w:name w:val="font7"/>
    <w:basedOn w:val="Normal"/>
    <w:rsid w:val="00076E72"/>
    <w:pPr>
      <w:spacing w:before="100" w:beforeAutospacing="1" w:after="100" w:afterAutospacing="1"/>
    </w:pPr>
    <w:rPr>
      <w:color w:val="000000"/>
      <w:sz w:val="24"/>
      <w:szCs w:val="24"/>
      <w:lang w:val="en-GB" w:eastAsia="en-GB"/>
    </w:rPr>
  </w:style>
  <w:style w:type="paragraph" w:customStyle="1" w:styleId="font8">
    <w:name w:val="font8"/>
    <w:basedOn w:val="Normal"/>
    <w:rsid w:val="00076E72"/>
    <w:pPr>
      <w:spacing w:before="100" w:beforeAutospacing="1" w:after="100" w:afterAutospacing="1"/>
    </w:pPr>
    <w:rPr>
      <w:color w:val="000000"/>
      <w:sz w:val="24"/>
      <w:szCs w:val="24"/>
      <w:u w:val="single"/>
      <w:lang w:val="en-GB" w:eastAsia="en-GB"/>
    </w:rPr>
  </w:style>
  <w:style w:type="paragraph" w:customStyle="1" w:styleId="font9">
    <w:name w:val="font9"/>
    <w:basedOn w:val="Normal"/>
    <w:rsid w:val="00076E72"/>
    <w:pPr>
      <w:spacing w:before="100" w:beforeAutospacing="1" w:after="100" w:afterAutospacing="1"/>
    </w:pPr>
    <w:rPr>
      <w:rFonts w:ascii="Segoe UI Symbol" w:hAnsi="Segoe UI Symbol"/>
      <w:color w:val="000000"/>
      <w:sz w:val="24"/>
      <w:szCs w:val="24"/>
      <w:lang w:val="en-GB" w:eastAsia="en-GB"/>
    </w:rPr>
  </w:style>
  <w:style w:type="paragraph" w:customStyle="1" w:styleId="font10">
    <w:name w:val="font10"/>
    <w:basedOn w:val="Normal"/>
    <w:rsid w:val="00076E72"/>
    <w:pPr>
      <w:spacing w:before="100" w:beforeAutospacing="1" w:after="100" w:afterAutospacing="1"/>
    </w:pPr>
    <w:rPr>
      <w:rFonts w:ascii="Calibri" w:hAnsi="Calibri" w:cs="Calibri"/>
      <w:color w:val="000000"/>
      <w:sz w:val="16"/>
      <w:szCs w:val="16"/>
      <w:lang w:val="en-GB" w:eastAsia="en-GB"/>
    </w:rPr>
  </w:style>
  <w:style w:type="paragraph" w:customStyle="1" w:styleId="xl65">
    <w:name w:val="xl65"/>
    <w:basedOn w:val="Normal"/>
    <w:rsid w:val="00076E72"/>
    <w:pPr>
      <w:spacing w:before="100" w:beforeAutospacing="1" w:after="100" w:afterAutospacing="1"/>
      <w:jc w:val="both"/>
      <w:textAlignment w:val="center"/>
    </w:pPr>
    <w:rPr>
      <w:b/>
      <w:bCs/>
      <w:sz w:val="24"/>
      <w:szCs w:val="24"/>
      <w:u w:val="single"/>
      <w:lang w:val="en-GB" w:eastAsia="en-GB"/>
    </w:rPr>
  </w:style>
  <w:style w:type="paragraph" w:customStyle="1" w:styleId="xl66">
    <w:name w:val="xl66"/>
    <w:basedOn w:val="Normal"/>
    <w:rsid w:val="00076E72"/>
    <w:pPr>
      <w:spacing w:before="100" w:beforeAutospacing="1" w:after="100" w:afterAutospacing="1"/>
      <w:jc w:val="both"/>
      <w:textAlignment w:val="center"/>
    </w:pPr>
    <w:rPr>
      <w:b/>
      <w:bCs/>
      <w:sz w:val="24"/>
      <w:szCs w:val="24"/>
      <w:lang w:val="en-GB" w:eastAsia="en-GB"/>
    </w:rPr>
  </w:style>
  <w:style w:type="paragraph" w:customStyle="1" w:styleId="xl67">
    <w:name w:val="xl67"/>
    <w:basedOn w:val="Normal"/>
    <w:rsid w:val="00076E72"/>
    <w:pPr>
      <w:spacing w:before="100" w:beforeAutospacing="1" w:after="100" w:afterAutospacing="1"/>
      <w:jc w:val="both"/>
      <w:textAlignment w:val="center"/>
    </w:pPr>
    <w:rPr>
      <w:sz w:val="24"/>
      <w:szCs w:val="24"/>
      <w:lang w:val="en-GB" w:eastAsia="en-GB"/>
    </w:rPr>
  </w:style>
  <w:style w:type="paragraph" w:customStyle="1" w:styleId="xl68">
    <w:name w:val="xl68"/>
    <w:basedOn w:val="Normal"/>
    <w:rsid w:val="00076E72"/>
    <w:pPr>
      <w:spacing w:before="100" w:beforeAutospacing="1" w:after="100" w:afterAutospacing="1"/>
    </w:pPr>
    <w:rPr>
      <w:b/>
      <w:bCs/>
      <w:sz w:val="24"/>
      <w:szCs w:val="24"/>
      <w:u w:val="single"/>
      <w:lang w:val="en-GB" w:eastAsia="en-GB"/>
    </w:rPr>
  </w:style>
  <w:style w:type="character" w:styleId="IntenseReference">
    <w:name w:val="Intense Reference"/>
    <w:uiPriority w:val="32"/>
    <w:qFormat/>
    <w:rsid w:val="00076E72"/>
    <w:rPr>
      <w:b/>
      <w:bCs/>
      <w:smallCaps/>
      <w:color w:val="4472C4"/>
      <w:spacing w:val="5"/>
    </w:rPr>
  </w:style>
  <w:style w:type="character" w:customStyle="1" w:styleId="BodytextNotBold">
    <w:name w:val="Body text + Not Bold"/>
    <w:basedOn w:val="Bodytext"/>
    <w:rsid w:val="00076E72"/>
    <w:rPr>
      <w:rFonts w:ascii="Calibri" w:eastAsia="Calibri" w:hAnsi="Calibri" w:cs="Calibri"/>
      <w:b/>
      <w:bCs/>
      <w:i w:val="0"/>
      <w:iCs w:val="0"/>
      <w:smallCaps w:val="0"/>
      <w:strike w:val="0"/>
      <w:color w:val="000000"/>
      <w:spacing w:val="0"/>
      <w:w w:val="100"/>
      <w:position w:val="0"/>
      <w:sz w:val="22"/>
      <w:szCs w:val="22"/>
      <w:u w:val="none"/>
      <w:shd w:val="clear" w:color="auto" w:fill="FFFFFF"/>
      <w:lang w:val="sq-AL"/>
    </w:rPr>
  </w:style>
  <w:style w:type="numbering" w:customStyle="1" w:styleId="NoList4">
    <w:name w:val="No List4"/>
    <w:next w:val="NoList"/>
    <w:uiPriority w:val="99"/>
    <w:semiHidden/>
    <w:unhideWhenUsed/>
    <w:rsid w:val="00076E72"/>
  </w:style>
  <w:style w:type="numbering" w:customStyle="1" w:styleId="NoList13">
    <w:name w:val="No List13"/>
    <w:next w:val="NoList"/>
    <w:uiPriority w:val="99"/>
    <w:semiHidden/>
    <w:unhideWhenUsed/>
    <w:rsid w:val="00076E72"/>
  </w:style>
  <w:style w:type="numbering" w:customStyle="1" w:styleId="NoList112">
    <w:name w:val="No List112"/>
    <w:next w:val="NoList"/>
    <w:uiPriority w:val="99"/>
    <w:semiHidden/>
    <w:unhideWhenUsed/>
    <w:rsid w:val="00076E72"/>
  </w:style>
  <w:style w:type="numbering" w:customStyle="1" w:styleId="NoList1112">
    <w:name w:val="No List1112"/>
    <w:next w:val="NoList"/>
    <w:uiPriority w:val="99"/>
    <w:semiHidden/>
    <w:unhideWhenUsed/>
    <w:rsid w:val="00076E72"/>
  </w:style>
  <w:style w:type="table" w:customStyle="1" w:styleId="TableGrid2">
    <w:name w:val="Table Grid2"/>
    <w:basedOn w:val="TableNormal"/>
    <w:next w:val="TableGrid"/>
    <w:uiPriority w:val="39"/>
    <w:rsid w:val="00076E72"/>
    <w:pPr>
      <w:spacing w:after="0" w:line="240" w:lineRule="auto"/>
    </w:pPr>
    <w:rPr>
      <w:rFonts w:ascii="Calibri" w:eastAsia="Calibri" w:hAnsi="Calibri" w:cs="Times New Roman"/>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076E72"/>
  </w:style>
  <w:style w:type="numbering" w:customStyle="1" w:styleId="NoList5">
    <w:name w:val="No List5"/>
    <w:next w:val="NoList"/>
    <w:uiPriority w:val="99"/>
    <w:semiHidden/>
    <w:unhideWhenUsed/>
    <w:rsid w:val="00076E72"/>
  </w:style>
  <w:style w:type="numbering" w:customStyle="1" w:styleId="NoList14">
    <w:name w:val="No List14"/>
    <w:next w:val="NoList"/>
    <w:uiPriority w:val="99"/>
    <w:semiHidden/>
    <w:unhideWhenUsed/>
    <w:rsid w:val="00076E72"/>
  </w:style>
  <w:style w:type="numbering" w:customStyle="1" w:styleId="NoList23">
    <w:name w:val="No List23"/>
    <w:next w:val="NoList"/>
    <w:uiPriority w:val="99"/>
    <w:semiHidden/>
    <w:unhideWhenUsed/>
    <w:rsid w:val="00076E72"/>
  </w:style>
  <w:style w:type="numbering" w:customStyle="1" w:styleId="NoList113">
    <w:name w:val="No List113"/>
    <w:next w:val="NoList"/>
    <w:uiPriority w:val="99"/>
    <w:semiHidden/>
    <w:unhideWhenUsed/>
    <w:rsid w:val="00076E72"/>
  </w:style>
  <w:style w:type="numbering" w:customStyle="1" w:styleId="NoList1113">
    <w:name w:val="No List1113"/>
    <w:next w:val="NoList"/>
    <w:uiPriority w:val="99"/>
    <w:semiHidden/>
    <w:unhideWhenUsed/>
    <w:rsid w:val="00076E72"/>
  </w:style>
  <w:style w:type="numbering" w:customStyle="1" w:styleId="NoList11111">
    <w:name w:val="No List11111"/>
    <w:next w:val="NoList"/>
    <w:uiPriority w:val="99"/>
    <w:semiHidden/>
    <w:unhideWhenUsed/>
    <w:rsid w:val="00076E72"/>
  </w:style>
  <w:style w:type="table" w:customStyle="1" w:styleId="TableGrid3">
    <w:name w:val="Table Grid3"/>
    <w:basedOn w:val="TableNormal"/>
    <w:next w:val="TableGrid"/>
    <w:uiPriority w:val="39"/>
    <w:rsid w:val="00076E72"/>
    <w:pPr>
      <w:spacing w:after="0" w:line="240" w:lineRule="auto"/>
    </w:pPr>
    <w:rPr>
      <w:rFonts w:ascii="Calibri" w:eastAsia="Calibri" w:hAnsi="Calibri" w:cs="Times New Roman"/>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trefChar">
    <w:name w:val="ftref Char"/>
    <w:aliases w:val="fr Char,Footnote symbol Char,Footnote Reference Arial Char,Car Char Car Char Car Char Char Char Char Char Char Char Char,Footnote Refernece Char Char Char"/>
    <w:basedOn w:val="Normal"/>
    <w:rsid w:val="00076E72"/>
    <w:pPr>
      <w:spacing w:after="160" w:line="240" w:lineRule="exact"/>
    </w:pPr>
    <w:rPr>
      <w:rFonts w:ascii="Calibri" w:hAnsi="Calibri"/>
      <w:vertAlign w:val="superscript"/>
    </w:rPr>
  </w:style>
  <w:style w:type="numbering" w:customStyle="1" w:styleId="NoList31">
    <w:name w:val="No List31"/>
    <w:next w:val="NoList"/>
    <w:uiPriority w:val="99"/>
    <w:semiHidden/>
    <w:unhideWhenUsed/>
    <w:rsid w:val="00076E72"/>
  </w:style>
  <w:style w:type="numbering" w:customStyle="1" w:styleId="NoList121">
    <w:name w:val="No List121"/>
    <w:next w:val="NoList"/>
    <w:uiPriority w:val="99"/>
    <w:semiHidden/>
    <w:unhideWhenUsed/>
    <w:rsid w:val="00076E72"/>
  </w:style>
  <w:style w:type="numbering" w:customStyle="1" w:styleId="NoList1121">
    <w:name w:val="No List1121"/>
    <w:next w:val="NoList"/>
    <w:uiPriority w:val="99"/>
    <w:semiHidden/>
    <w:unhideWhenUsed/>
    <w:rsid w:val="00076E72"/>
  </w:style>
  <w:style w:type="numbering" w:customStyle="1" w:styleId="NoList11121">
    <w:name w:val="No List11121"/>
    <w:next w:val="NoList"/>
    <w:uiPriority w:val="99"/>
    <w:semiHidden/>
    <w:unhideWhenUsed/>
    <w:rsid w:val="00076E72"/>
  </w:style>
  <w:style w:type="table" w:customStyle="1" w:styleId="TableGrid11">
    <w:name w:val="Table Grid11"/>
    <w:basedOn w:val="TableNormal"/>
    <w:next w:val="TableGrid"/>
    <w:uiPriority w:val="39"/>
    <w:rsid w:val="00076E72"/>
    <w:pPr>
      <w:spacing w:after="0" w:line="240" w:lineRule="auto"/>
    </w:pPr>
    <w:rPr>
      <w:rFonts w:ascii="Calibri" w:eastAsia="Calibri" w:hAnsi="Calibri" w:cs="Times New Roman"/>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
    <w:name w:val="No List211"/>
    <w:next w:val="NoList"/>
    <w:uiPriority w:val="99"/>
    <w:semiHidden/>
    <w:unhideWhenUsed/>
    <w:rsid w:val="00076E72"/>
  </w:style>
  <w:style w:type="paragraph" w:customStyle="1" w:styleId="timesnewroman">
    <w:name w:val="times new roman"/>
    <w:basedOn w:val="Normal"/>
    <w:rsid w:val="00076E72"/>
    <w:rPr>
      <w:sz w:val="24"/>
      <w:szCs w:val="24"/>
      <w:lang w:val="en-GB" w:eastAsia="sq-AL"/>
    </w:rPr>
  </w:style>
  <w:style w:type="character" w:customStyle="1" w:styleId="fontstyle21">
    <w:name w:val="fontstyle21"/>
    <w:basedOn w:val="DefaultParagraphFont"/>
    <w:rsid w:val="00076E72"/>
    <w:rPr>
      <w:rFonts w:ascii="TimesNewRomanPS-BoldMT" w:hAnsi="TimesNewRomanPS-BoldMT" w:hint="default"/>
      <w:b/>
      <w:bCs/>
      <w:i w:val="0"/>
      <w:iCs w:val="0"/>
      <w:color w:val="231F20"/>
      <w:sz w:val="22"/>
      <w:szCs w:val="22"/>
    </w:rPr>
  </w:style>
  <w:style w:type="character" w:customStyle="1" w:styleId="fontstyle310">
    <w:name w:val="fontstyle31"/>
    <w:basedOn w:val="DefaultParagraphFont"/>
    <w:rsid w:val="00076E72"/>
    <w:rPr>
      <w:rFonts w:ascii="TimesNewRomanPS-ItalicMT" w:hAnsi="TimesNewRomanPS-ItalicMT" w:hint="default"/>
      <w:b w:val="0"/>
      <w:bCs w:val="0"/>
      <w:i/>
      <w:iCs/>
      <w:color w:val="231F20"/>
      <w:sz w:val="22"/>
      <w:szCs w:val="22"/>
    </w:rPr>
  </w:style>
  <w:style w:type="paragraph" w:customStyle="1" w:styleId="yiv6486041059ydpe4491182msonormal">
    <w:name w:val="yiv6486041059ydpe4491182msonormal"/>
    <w:basedOn w:val="Normal"/>
    <w:rsid w:val="00076E72"/>
    <w:pPr>
      <w:spacing w:before="100" w:beforeAutospacing="1" w:after="100" w:afterAutospacing="1"/>
    </w:pPr>
    <w:rPr>
      <w:sz w:val="24"/>
      <w:szCs w:val="24"/>
    </w:rPr>
  </w:style>
  <w:style w:type="character" w:customStyle="1" w:styleId="Caratterinotaapidipagina">
    <w:name w:val="Caratteri nota a piè di pagina"/>
    <w:qFormat/>
    <w:rsid w:val="00076E72"/>
    <w:rPr>
      <w:vertAlign w:val="superscript"/>
    </w:rPr>
  </w:style>
  <w:style w:type="character" w:customStyle="1" w:styleId="fontstyle23">
    <w:name w:val="fontstyle23"/>
    <w:basedOn w:val="DefaultParagraphFont"/>
    <w:rsid w:val="00076E72"/>
  </w:style>
  <w:style w:type="character" w:customStyle="1" w:styleId="fontstyle520">
    <w:name w:val="fontstyle52"/>
    <w:basedOn w:val="DefaultParagraphFont"/>
    <w:rsid w:val="00076E72"/>
  </w:style>
  <w:style w:type="character" w:customStyle="1" w:styleId="fontstyle480">
    <w:name w:val="fontstyle48"/>
    <w:basedOn w:val="DefaultParagraphFont"/>
    <w:rsid w:val="00076E72"/>
  </w:style>
  <w:style w:type="character" w:customStyle="1" w:styleId="fontstyle41">
    <w:name w:val="fontstyle41"/>
    <w:basedOn w:val="DefaultParagraphFont"/>
    <w:rsid w:val="00076E72"/>
  </w:style>
  <w:style w:type="character" w:customStyle="1" w:styleId="fontstyle420">
    <w:name w:val="fontstyle42"/>
    <w:basedOn w:val="DefaultParagraphFont"/>
    <w:rsid w:val="00076E72"/>
  </w:style>
  <w:style w:type="character" w:customStyle="1" w:styleId="fontstyle430">
    <w:name w:val="fontstyle43"/>
    <w:basedOn w:val="DefaultParagraphFont"/>
    <w:rsid w:val="00076E72"/>
  </w:style>
  <w:style w:type="character" w:customStyle="1" w:styleId="bodytext4notitalic0">
    <w:name w:val="bodytext4notitalic"/>
    <w:basedOn w:val="DefaultParagraphFont"/>
    <w:rsid w:val="00076E72"/>
  </w:style>
  <w:style w:type="character" w:customStyle="1" w:styleId="bodytext4bold">
    <w:name w:val="bodytext4bold"/>
    <w:basedOn w:val="DefaultParagraphFont"/>
    <w:rsid w:val="00076E72"/>
  </w:style>
  <w:style w:type="paragraph" w:customStyle="1" w:styleId="bodytext400">
    <w:name w:val="bodytext40"/>
    <w:basedOn w:val="Normal"/>
    <w:rsid w:val="00076E72"/>
    <w:pPr>
      <w:spacing w:before="100" w:beforeAutospacing="1" w:after="100" w:afterAutospacing="1"/>
    </w:pPr>
    <w:rPr>
      <w:sz w:val="24"/>
      <w:szCs w:val="24"/>
    </w:rPr>
  </w:style>
  <w:style w:type="character" w:customStyle="1" w:styleId="fontstyle860">
    <w:name w:val="fontstyle86"/>
    <w:basedOn w:val="DefaultParagraphFont"/>
    <w:rsid w:val="00076E72"/>
  </w:style>
  <w:style w:type="character" w:customStyle="1" w:styleId="mandatory">
    <w:name w:val="mandatory"/>
    <w:basedOn w:val="DefaultParagraphFont"/>
    <w:rsid w:val="00076E72"/>
  </w:style>
  <w:style w:type="character" w:customStyle="1" w:styleId="lblstyle">
    <w:name w:val="lblstyle"/>
    <w:basedOn w:val="DefaultParagraphFont"/>
    <w:rsid w:val="00076E72"/>
  </w:style>
  <w:style w:type="character" w:customStyle="1" w:styleId="paragraph-point-letter">
    <w:name w:val="paragraph-point-letter"/>
    <w:basedOn w:val="DefaultParagraphFont"/>
    <w:rsid w:val="00076E72"/>
  </w:style>
  <w:style w:type="paragraph" w:customStyle="1" w:styleId="FootnoteReferneceCharChar1">
    <w:name w:val="Footnote Refernece Char Char1"/>
    <w:aliases w:val="Car Char Car Char Car Char Char Char Char Char Char Char Char1"/>
    <w:basedOn w:val="Normal"/>
    <w:rsid w:val="00076E72"/>
    <w:pPr>
      <w:spacing w:after="160" w:line="240" w:lineRule="exact"/>
    </w:pPr>
    <w:rPr>
      <w:rFonts w:eastAsia="Calibri"/>
      <w:vertAlign w:val="superscript"/>
    </w:rPr>
  </w:style>
  <w:style w:type="character" w:customStyle="1" w:styleId="Style1Char">
    <w:name w:val="Style1 Char"/>
    <w:basedOn w:val="DefaultParagraphFont"/>
    <w:link w:val="Style1"/>
    <w:locked/>
    <w:rsid w:val="00076E72"/>
    <w:rPr>
      <w:rFonts w:ascii="Arial Narrow" w:eastAsia="Times New Roman" w:hAnsi="Arial Narrow" w:cs="Times New Roman"/>
      <w:sz w:val="24"/>
      <w:szCs w:val="24"/>
      <w:lang w:val="en-US" w:eastAsia="sq-AL"/>
    </w:rPr>
  </w:style>
  <w:style w:type="character" w:customStyle="1" w:styleId="footnotedescriptionChar">
    <w:name w:val="footnote description Char"/>
    <w:link w:val="footnotedescription"/>
    <w:locked/>
    <w:rsid w:val="00076E72"/>
    <w:rPr>
      <w:color w:val="000000"/>
      <w:lang w:eastAsia="sq-AL"/>
    </w:rPr>
  </w:style>
  <w:style w:type="paragraph" w:customStyle="1" w:styleId="footnotedescription">
    <w:name w:val="footnote description"/>
    <w:next w:val="Normal"/>
    <w:link w:val="footnotedescriptionChar"/>
    <w:rsid w:val="00076E72"/>
    <w:pPr>
      <w:spacing w:after="0" w:line="254" w:lineRule="auto"/>
    </w:pPr>
    <w:rPr>
      <w:color w:val="000000"/>
      <w:lang w:eastAsia="sq-AL"/>
    </w:rPr>
  </w:style>
  <w:style w:type="character" w:customStyle="1" w:styleId="footnotemark">
    <w:name w:val="footnote mark"/>
    <w:rsid w:val="00076E72"/>
    <w:rPr>
      <w:rFonts w:ascii="Times New Roman" w:eastAsia="Times New Roman" w:hAnsi="Times New Roman" w:cs="Times New Roman" w:hint="default"/>
      <w:color w:val="000000"/>
      <w:sz w:val="20"/>
      <w:vertAlign w:val="superscript"/>
    </w:rPr>
  </w:style>
</w:styles>
</file>

<file path=word/webSettings.xml><?xml version="1.0" encoding="utf-8"?>
<w:webSettings xmlns:r="http://schemas.openxmlformats.org/officeDocument/2006/relationships" xmlns:w="http://schemas.openxmlformats.org/wordprocessingml/2006/main">
  <w:divs>
    <w:div w:id="1857959106">
      <w:bodyDiv w:val="1"/>
      <w:marLeft w:val="0"/>
      <w:marRight w:val="0"/>
      <w:marTop w:val="0"/>
      <w:marBottom w:val="0"/>
      <w:divBdr>
        <w:top w:val="none" w:sz="0" w:space="0" w:color="auto"/>
        <w:left w:val="none" w:sz="0" w:space="0" w:color="auto"/>
        <w:bottom w:val="none" w:sz="0" w:space="0" w:color="auto"/>
        <w:right w:val="none" w:sz="0" w:space="0" w:color="auto"/>
      </w:divBdr>
    </w:div>
    <w:div w:id="2051223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9E860F-4B57-4360-8AA8-664823636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16662</Words>
  <Characters>94980</Characters>
  <Application>Microsoft Office Word</Application>
  <DocSecurity>0</DocSecurity>
  <Lines>791</Lines>
  <Paragraphs>222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111420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FLORJAN_</dc:creator>
  <cp:lastModifiedBy>ARKIVA</cp:lastModifiedBy>
  <cp:revision>3</cp:revision>
  <cp:lastPrinted>2026-02-04T09:01:00Z</cp:lastPrinted>
  <dcterms:created xsi:type="dcterms:W3CDTF">2026-05-07T09:49:00Z</dcterms:created>
  <dcterms:modified xsi:type="dcterms:W3CDTF">2026-05-07T11:17:00Z</dcterms:modified>
</cp:coreProperties>
</file>