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C96E44" w14:textId="77777777" w:rsidR="00882B3F" w:rsidRPr="00804124" w:rsidRDefault="00882B3F" w:rsidP="00882B3F">
      <w:pPr>
        <w:tabs>
          <w:tab w:val="left" w:pos="1800"/>
        </w:tabs>
        <w:spacing w:after="0" w:line="240" w:lineRule="auto"/>
        <w:jc w:val="center"/>
        <w:rPr>
          <w:rFonts w:ascii="Times New Roman" w:eastAsia="Times New Roman" w:hAnsi="Times New Roman"/>
          <w:b/>
          <w:color w:val="0D0D0D" w:themeColor="text1" w:themeTint="F2"/>
          <w:sz w:val="24"/>
          <w:szCs w:val="24"/>
          <w:lang w:val="sq-AL"/>
        </w:rPr>
      </w:pPr>
      <w:r w:rsidRPr="00804124">
        <w:rPr>
          <w:rFonts w:ascii="Times New Roman" w:eastAsia="Times New Roman" w:hAnsi="Times New Roman"/>
          <w:b/>
          <w:noProof/>
          <w:color w:val="0D0D0D" w:themeColor="text1" w:themeTint="F2"/>
          <w:sz w:val="24"/>
          <w:szCs w:val="24"/>
        </w:rPr>
        <w:drawing>
          <wp:inline distT="0" distB="0" distL="0" distR="0" wp14:anchorId="4A6BAD58" wp14:editId="1FE5F851">
            <wp:extent cx="429895" cy="511175"/>
            <wp:effectExtent l="0" t="0" r="0" b="0"/>
            <wp:docPr id="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9895" cy="511175"/>
                    </a:xfrm>
                    <a:prstGeom prst="rect">
                      <a:avLst/>
                    </a:prstGeom>
                    <a:noFill/>
                    <a:ln>
                      <a:noFill/>
                    </a:ln>
                  </pic:spPr>
                </pic:pic>
              </a:graphicData>
            </a:graphic>
          </wp:inline>
        </w:drawing>
      </w:r>
    </w:p>
    <w:p w14:paraId="4897DB3A" w14:textId="77777777" w:rsidR="00882B3F" w:rsidRPr="00804124" w:rsidRDefault="00882B3F" w:rsidP="00882B3F">
      <w:pPr>
        <w:tabs>
          <w:tab w:val="left" w:pos="1800"/>
        </w:tabs>
        <w:spacing w:after="0" w:line="240" w:lineRule="auto"/>
        <w:jc w:val="center"/>
        <w:rPr>
          <w:rFonts w:ascii="Times New Roman" w:eastAsia="Times New Roman" w:hAnsi="Times New Roman"/>
          <w:b/>
          <w:color w:val="0D0D0D" w:themeColor="text1" w:themeTint="F2"/>
          <w:sz w:val="24"/>
          <w:szCs w:val="24"/>
          <w:lang w:val="sq-AL"/>
        </w:rPr>
      </w:pPr>
      <w:r w:rsidRPr="00804124">
        <w:rPr>
          <w:rFonts w:ascii="Times New Roman" w:eastAsia="Times New Roman" w:hAnsi="Times New Roman"/>
          <w:b/>
          <w:color w:val="0D0D0D" w:themeColor="text1" w:themeTint="F2"/>
          <w:sz w:val="24"/>
          <w:szCs w:val="24"/>
          <w:lang w:val="sq-AL"/>
        </w:rPr>
        <w:t>REPUBLIKA E SHQIPËRISË</w:t>
      </w:r>
    </w:p>
    <w:p w14:paraId="04C22693" w14:textId="77777777" w:rsidR="00882B3F" w:rsidRPr="00804124" w:rsidRDefault="00882B3F" w:rsidP="00882B3F">
      <w:pPr>
        <w:tabs>
          <w:tab w:val="left" w:pos="1800"/>
        </w:tabs>
        <w:spacing w:after="0" w:line="240" w:lineRule="auto"/>
        <w:jc w:val="center"/>
        <w:rPr>
          <w:rFonts w:ascii="Times New Roman" w:eastAsia="Times New Roman" w:hAnsi="Times New Roman"/>
          <w:b/>
          <w:color w:val="0D0D0D" w:themeColor="text1" w:themeTint="F2"/>
          <w:sz w:val="24"/>
          <w:szCs w:val="24"/>
          <w:lang w:val="sq-AL"/>
        </w:rPr>
      </w:pPr>
      <w:r w:rsidRPr="00804124">
        <w:rPr>
          <w:rFonts w:ascii="Times New Roman" w:eastAsia="Times New Roman" w:hAnsi="Times New Roman"/>
          <w:b/>
          <w:color w:val="0D0D0D" w:themeColor="text1" w:themeTint="F2"/>
          <w:sz w:val="24"/>
          <w:szCs w:val="24"/>
          <w:lang w:val="sq-AL"/>
        </w:rPr>
        <w:t>GJYKATA E LARTË</w:t>
      </w:r>
    </w:p>
    <w:p w14:paraId="274E9B76" w14:textId="77777777" w:rsidR="00882B3F" w:rsidRPr="00804124" w:rsidRDefault="00882B3F" w:rsidP="00882B3F">
      <w:pPr>
        <w:tabs>
          <w:tab w:val="left" w:pos="1800"/>
        </w:tabs>
        <w:spacing w:after="0" w:line="240" w:lineRule="auto"/>
        <w:jc w:val="center"/>
        <w:rPr>
          <w:rFonts w:ascii="Times New Roman" w:eastAsia="Times New Roman" w:hAnsi="Times New Roman"/>
          <w:b/>
          <w:color w:val="0D0D0D" w:themeColor="text1" w:themeTint="F2"/>
          <w:sz w:val="24"/>
          <w:szCs w:val="24"/>
          <w:lang w:val="sq-AL"/>
        </w:rPr>
      </w:pPr>
      <w:r w:rsidRPr="00804124">
        <w:rPr>
          <w:rFonts w:ascii="Times New Roman" w:eastAsia="Times New Roman" w:hAnsi="Times New Roman"/>
          <w:b/>
          <w:bCs/>
          <w:color w:val="0D0D0D" w:themeColor="text1" w:themeTint="F2"/>
          <w:sz w:val="24"/>
          <w:szCs w:val="24"/>
          <w:lang w:val="sq-AL"/>
        </w:rPr>
        <w:t>KOLEGJI ADMINISTRATIV</w:t>
      </w:r>
    </w:p>
    <w:p w14:paraId="0DAED157" w14:textId="77777777" w:rsidR="00882B3F" w:rsidRPr="00804124" w:rsidRDefault="00882B3F" w:rsidP="00882B3F">
      <w:pPr>
        <w:tabs>
          <w:tab w:val="left" w:pos="1800"/>
        </w:tabs>
        <w:spacing w:after="0" w:line="240" w:lineRule="auto"/>
        <w:rPr>
          <w:rFonts w:ascii="Times New Roman" w:eastAsia="Times New Roman" w:hAnsi="Times New Roman"/>
          <w:b/>
          <w:bCs/>
          <w:color w:val="0D0D0D" w:themeColor="text1" w:themeTint="F2"/>
          <w:sz w:val="24"/>
          <w:szCs w:val="24"/>
          <w:lang w:val="sq-AL"/>
        </w:rPr>
      </w:pPr>
    </w:p>
    <w:p w14:paraId="06A1B76C" w14:textId="77777777" w:rsidR="00882B3F" w:rsidRPr="00804124" w:rsidRDefault="00882B3F" w:rsidP="00882B3F">
      <w:pPr>
        <w:tabs>
          <w:tab w:val="left" w:pos="1800"/>
        </w:tabs>
        <w:spacing w:after="0" w:line="240" w:lineRule="auto"/>
        <w:jc w:val="both"/>
        <w:rPr>
          <w:rFonts w:ascii="Times New Roman" w:hAnsi="Times New Roman"/>
          <w:b/>
          <w:color w:val="0D0D0D" w:themeColor="text1" w:themeTint="F2"/>
          <w:sz w:val="24"/>
          <w:szCs w:val="24"/>
          <w:lang w:val="sq-AL"/>
        </w:rPr>
      </w:pPr>
      <w:r w:rsidRPr="00804124">
        <w:rPr>
          <w:rFonts w:ascii="Times New Roman" w:hAnsi="Times New Roman"/>
          <w:b/>
          <w:bCs/>
          <w:color w:val="0D0D0D" w:themeColor="text1" w:themeTint="F2"/>
          <w:sz w:val="24"/>
          <w:szCs w:val="24"/>
          <w:lang w:val="sq-AL"/>
        </w:rPr>
        <w:t>Nr.</w:t>
      </w:r>
      <w:r w:rsidRPr="00804124">
        <w:rPr>
          <w:rFonts w:ascii="Times New Roman" w:hAnsi="Times New Roman"/>
          <w:color w:val="0D0D0D" w:themeColor="text1" w:themeTint="F2"/>
          <w:sz w:val="24"/>
          <w:szCs w:val="24"/>
          <w:lang w:val="sq-AL"/>
        </w:rPr>
        <w:t xml:space="preserve"> </w:t>
      </w:r>
      <w:bookmarkStart w:id="0" w:name="_Hlk231476915"/>
      <w:r w:rsidRPr="00804124">
        <w:rPr>
          <w:rFonts w:ascii="Times New Roman" w:eastAsia="Times New Roman" w:hAnsi="Times New Roman"/>
          <w:b/>
          <w:bCs/>
          <w:color w:val="0D0D0D" w:themeColor="text1" w:themeTint="F2"/>
          <w:sz w:val="24"/>
          <w:szCs w:val="24"/>
          <w:lang w:val="sq-AL"/>
        </w:rPr>
        <w:t>31003-02124-00-2018</w:t>
      </w:r>
      <w:r w:rsidRPr="00804124">
        <w:rPr>
          <w:rFonts w:ascii="Times New Roman" w:eastAsia="Times New Roman" w:hAnsi="Times New Roman"/>
          <w:color w:val="0D0D0D" w:themeColor="text1" w:themeTint="F2"/>
          <w:sz w:val="24"/>
          <w:szCs w:val="24"/>
          <w:lang w:val="sq-AL"/>
        </w:rPr>
        <w:t xml:space="preserve"> </w:t>
      </w:r>
      <w:bookmarkEnd w:id="0"/>
      <w:r w:rsidRPr="00804124">
        <w:rPr>
          <w:rFonts w:ascii="Times New Roman" w:hAnsi="Times New Roman"/>
          <w:b/>
          <w:bCs/>
          <w:color w:val="0D0D0D" w:themeColor="text1" w:themeTint="F2"/>
          <w:sz w:val="24"/>
          <w:szCs w:val="24"/>
          <w:lang w:val="sq-AL"/>
        </w:rPr>
        <w:t>i Regj. Themeltar</w:t>
      </w:r>
      <w:r w:rsidRPr="00804124">
        <w:rPr>
          <w:rFonts w:ascii="Times New Roman" w:hAnsi="Times New Roman"/>
          <w:b/>
          <w:color w:val="0D0D0D" w:themeColor="text1" w:themeTint="F2"/>
          <w:sz w:val="24"/>
          <w:szCs w:val="24"/>
          <w:lang w:val="sq-AL"/>
        </w:rPr>
        <w:t xml:space="preserve"> </w:t>
      </w:r>
    </w:p>
    <w:p w14:paraId="05066249" w14:textId="1E9C8EE2" w:rsidR="00882B3F" w:rsidRPr="00804124" w:rsidRDefault="00882B3F" w:rsidP="00882B3F">
      <w:pPr>
        <w:tabs>
          <w:tab w:val="left" w:pos="1800"/>
        </w:tabs>
        <w:spacing w:after="0" w:line="240" w:lineRule="auto"/>
        <w:jc w:val="both"/>
        <w:rPr>
          <w:rFonts w:ascii="Times New Roman" w:hAnsi="Times New Roman"/>
          <w:b/>
          <w:bCs/>
          <w:color w:val="0D0D0D" w:themeColor="text1" w:themeTint="F2"/>
          <w:sz w:val="24"/>
          <w:szCs w:val="24"/>
          <w:lang w:val="sq-AL"/>
        </w:rPr>
      </w:pPr>
      <w:r w:rsidRPr="00804124">
        <w:rPr>
          <w:rFonts w:ascii="Times New Roman" w:hAnsi="Times New Roman"/>
          <w:b/>
          <w:bCs/>
          <w:color w:val="0D0D0D" w:themeColor="text1" w:themeTint="F2"/>
          <w:sz w:val="24"/>
          <w:szCs w:val="24"/>
          <w:lang w:val="sq-AL"/>
        </w:rPr>
        <w:t>Nr.</w:t>
      </w:r>
      <w:r w:rsidR="00482986" w:rsidRPr="00804124">
        <w:rPr>
          <w:rFonts w:ascii="Times New Roman" w:hAnsi="Times New Roman"/>
          <w:b/>
          <w:bCs/>
          <w:color w:val="0D0D0D" w:themeColor="text1" w:themeTint="F2"/>
          <w:sz w:val="24"/>
          <w:szCs w:val="24"/>
          <w:lang w:val="sq-AL"/>
        </w:rPr>
        <w:t xml:space="preserve"> 00-2026-1745 </w:t>
      </w:r>
      <w:r w:rsidRPr="00804124">
        <w:rPr>
          <w:rFonts w:ascii="Times New Roman" w:hAnsi="Times New Roman"/>
          <w:b/>
          <w:bCs/>
          <w:color w:val="0D0D0D" w:themeColor="text1" w:themeTint="F2"/>
          <w:sz w:val="24"/>
          <w:szCs w:val="24"/>
          <w:lang w:val="sq-AL"/>
        </w:rPr>
        <w:t>i Vendimit</w:t>
      </w:r>
      <w:r w:rsidR="00482986" w:rsidRPr="00804124">
        <w:rPr>
          <w:rFonts w:ascii="Times New Roman" w:hAnsi="Times New Roman"/>
          <w:b/>
          <w:bCs/>
          <w:color w:val="0D0D0D" w:themeColor="text1" w:themeTint="F2"/>
          <w:sz w:val="24"/>
          <w:szCs w:val="24"/>
          <w:lang w:val="sq-AL"/>
        </w:rPr>
        <w:t xml:space="preserve"> (</w:t>
      </w:r>
      <w:r w:rsidR="00E31CD5" w:rsidRPr="00804124">
        <w:rPr>
          <w:rFonts w:ascii="Times New Roman" w:hAnsi="Times New Roman"/>
          <w:b/>
          <w:bCs/>
          <w:color w:val="0D0D0D" w:themeColor="text1" w:themeTint="F2"/>
          <w:sz w:val="24"/>
          <w:szCs w:val="24"/>
          <w:lang w:val="sq-AL"/>
        </w:rPr>
        <w:t>252</w:t>
      </w:r>
      <w:r w:rsidR="00482986" w:rsidRPr="00804124">
        <w:rPr>
          <w:rFonts w:ascii="Times New Roman" w:hAnsi="Times New Roman"/>
          <w:b/>
          <w:bCs/>
          <w:color w:val="0D0D0D" w:themeColor="text1" w:themeTint="F2"/>
          <w:sz w:val="24"/>
          <w:szCs w:val="24"/>
          <w:lang w:val="sq-AL"/>
        </w:rPr>
        <w:t>)</w:t>
      </w:r>
    </w:p>
    <w:p w14:paraId="60F538E6" w14:textId="77777777" w:rsidR="00882B3F" w:rsidRPr="00804124" w:rsidRDefault="00882B3F" w:rsidP="00882B3F">
      <w:pPr>
        <w:tabs>
          <w:tab w:val="left" w:pos="1800"/>
        </w:tabs>
        <w:spacing w:after="0" w:line="240" w:lineRule="auto"/>
        <w:jc w:val="center"/>
        <w:rPr>
          <w:rFonts w:ascii="Times New Roman" w:hAnsi="Times New Roman"/>
          <w:b/>
          <w:bCs/>
          <w:color w:val="0D0D0D" w:themeColor="text1" w:themeTint="F2"/>
          <w:sz w:val="24"/>
          <w:szCs w:val="24"/>
          <w:lang w:val="sq-AL"/>
        </w:rPr>
      </w:pPr>
    </w:p>
    <w:p w14:paraId="76B45C85" w14:textId="134E2792" w:rsidR="00882B3F" w:rsidRPr="00804124" w:rsidRDefault="00882B3F" w:rsidP="00482986">
      <w:pPr>
        <w:tabs>
          <w:tab w:val="left" w:pos="1800"/>
        </w:tabs>
        <w:spacing w:after="0" w:line="240" w:lineRule="auto"/>
        <w:jc w:val="center"/>
        <w:rPr>
          <w:rFonts w:ascii="Times New Roman" w:hAnsi="Times New Roman"/>
          <w:b/>
          <w:bCs/>
          <w:color w:val="0D0D0D" w:themeColor="text1" w:themeTint="F2"/>
          <w:sz w:val="24"/>
          <w:szCs w:val="24"/>
          <w:lang w:val="sq-AL"/>
        </w:rPr>
      </w:pPr>
      <w:r w:rsidRPr="00804124">
        <w:rPr>
          <w:rFonts w:ascii="Times New Roman" w:hAnsi="Times New Roman"/>
          <w:b/>
          <w:bCs/>
          <w:color w:val="0D0D0D" w:themeColor="text1" w:themeTint="F2"/>
          <w:sz w:val="24"/>
          <w:szCs w:val="24"/>
          <w:lang w:val="sq-AL"/>
        </w:rPr>
        <w:t>V E N D I M</w:t>
      </w:r>
    </w:p>
    <w:p w14:paraId="004E5BCC" w14:textId="77777777" w:rsidR="00882B3F" w:rsidRPr="00804124" w:rsidRDefault="00882B3F" w:rsidP="00882B3F">
      <w:pPr>
        <w:keepNext/>
        <w:tabs>
          <w:tab w:val="left" w:pos="1800"/>
        </w:tabs>
        <w:spacing w:after="0" w:line="240" w:lineRule="auto"/>
        <w:jc w:val="center"/>
        <w:outlineLvl w:val="4"/>
        <w:rPr>
          <w:rFonts w:ascii="Times New Roman" w:eastAsia="Times New Roman" w:hAnsi="Times New Roman"/>
          <w:b/>
          <w:i/>
          <w:iCs/>
          <w:color w:val="0D0D0D" w:themeColor="text1" w:themeTint="F2"/>
          <w:sz w:val="24"/>
          <w:szCs w:val="24"/>
          <w:lang w:val="sq-AL"/>
        </w:rPr>
      </w:pPr>
      <w:r w:rsidRPr="00804124">
        <w:rPr>
          <w:rFonts w:ascii="Times New Roman" w:eastAsia="Times New Roman" w:hAnsi="Times New Roman"/>
          <w:b/>
          <w:color w:val="0D0D0D" w:themeColor="text1" w:themeTint="F2"/>
          <w:sz w:val="24"/>
          <w:szCs w:val="24"/>
          <w:lang w:val="sq-AL"/>
        </w:rPr>
        <w:t>NË EMËR TË REPUBLIKËS</w:t>
      </w:r>
    </w:p>
    <w:p w14:paraId="59244FCA" w14:textId="77777777" w:rsidR="00882B3F" w:rsidRPr="00804124" w:rsidRDefault="00882B3F" w:rsidP="00882B3F">
      <w:pPr>
        <w:tabs>
          <w:tab w:val="left" w:pos="1800"/>
        </w:tabs>
        <w:spacing w:after="0" w:line="240" w:lineRule="auto"/>
        <w:jc w:val="center"/>
        <w:rPr>
          <w:rFonts w:ascii="Times New Roman" w:hAnsi="Times New Roman"/>
          <w:b/>
          <w:bCs/>
          <w:color w:val="0D0D0D" w:themeColor="text1" w:themeTint="F2"/>
          <w:sz w:val="24"/>
          <w:szCs w:val="24"/>
          <w:lang w:val="sq-AL"/>
        </w:rPr>
      </w:pPr>
    </w:p>
    <w:p w14:paraId="2D312BA9" w14:textId="77777777" w:rsidR="00482986" w:rsidRPr="00804124" w:rsidRDefault="00882B3F" w:rsidP="00482986">
      <w:pPr>
        <w:tabs>
          <w:tab w:val="left" w:pos="1800"/>
        </w:tabs>
        <w:spacing w:after="0" w:line="240" w:lineRule="auto"/>
        <w:ind w:firstLine="360"/>
        <w:jc w:val="center"/>
        <w:rPr>
          <w:rFonts w:ascii="Times New Roman" w:hAnsi="Times New Roman"/>
          <w:color w:val="0D0D0D" w:themeColor="text1" w:themeTint="F2"/>
          <w:sz w:val="24"/>
          <w:szCs w:val="24"/>
          <w:lang w:val="sq-AL"/>
        </w:rPr>
      </w:pPr>
      <w:r w:rsidRPr="00804124">
        <w:rPr>
          <w:rFonts w:ascii="Times New Roman" w:hAnsi="Times New Roman"/>
          <w:color w:val="0D0D0D" w:themeColor="text1" w:themeTint="F2"/>
          <w:sz w:val="24"/>
          <w:szCs w:val="24"/>
          <w:lang w:val="sq-AL"/>
        </w:rPr>
        <w:t>Kolegji Administrativ i Gjykatës së Lartë, me trup gjykues të përbërë nga gjyqtarët:</w:t>
      </w:r>
    </w:p>
    <w:p w14:paraId="4B8DB92E" w14:textId="77777777" w:rsidR="00482986" w:rsidRPr="00804124" w:rsidRDefault="00482986" w:rsidP="00482986">
      <w:pPr>
        <w:tabs>
          <w:tab w:val="left" w:pos="1800"/>
        </w:tabs>
        <w:spacing w:after="0" w:line="240" w:lineRule="auto"/>
        <w:ind w:firstLine="360"/>
        <w:rPr>
          <w:rFonts w:ascii="Times New Roman" w:hAnsi="Times New Roman"/>
          <w:color w:val="0D0D0D" w:themeColor="text1" w:themeTint="F2"/>
          <w:sz w:val="24"/>
          <w:szCs w:val="24"/>
          <w:lang w:val="sq-AL"/>
        </w:rPr>
      </w:pPr>
    </w:p>
    <w:p w14:paraId="14A059D0" w14:textId="00714166" w:rsidR="00482986" w:rsidRPr="00804124" w:rsidRDefault="00482986" w:rsidP="00482986">
      <w:pPr>
        <w:tabs>
          <w:tab w:val="left" w:pos="1800"/>
        </w:tabs>
        <w:spacing w:after="0" w:line="240" w:lineRule="auto"/>
        <w:ind w:firstLine="360"/>
        <w:rPr>
          <w:rFonts w:ascii="Times New Roman" w:hAnsi="Times New Roman"/>
          <w:color w:val="0D0D0D" w:themeColor="text1" w:themeTint="F2"/>
          <w:sz w:val="24"/>
          <w:szCs w:val="24"/>
          <w:lang w:val="sq-AL"/>
        </w:rPr>
      </w:pPr>
      <w:r w:rsidRPr="00804124">
        <w:rPr>
          <w:rFonts w:ascii="Times New Roman" w:eastAsia="Times New Roman" w:hAnsi="Times New Roman"/>
          <w:b/>
          <w:color w:val="0D0D0D" w:themeColor="text1" w:themeTint="F2"/>
          <w:sz w:val="24"/>
          <w:szCs w:val="24"/>
          <w:lang w:val="sq-AL"/>
        </w:rPr>
        <w:tab/>
      </w:r>
      <w:r w:rsidRPr="00804124">
        <w:rPr>
          <w:rFonts w:ascii="Times New Roman" w:eastAsia="Times New Roman" w:hAnsi="Times New Roman"/>
          <w:b/>
          <w:color w:val="0D0D0D" w:themeColor="text1" w:themeTint="F2"/>
          <w:sz w:val="24"/>
          <w:szCs w:val="24"/>
          <w:lang w:val="sq-AL"/>
        </w:rPr>
        <w:tab/>
      </w:r>
      <w:r w:rsidRPr="00804124">
        <w:rPr>
          <w:rFonts w:ascii="Times New Roman" w:eastAsia="Times New Roman" w:hAnsi="Times New Roman"/>
          <w:b/>
          <w:color w:val="0D0D0D" w:themeColor="text1" w:themeTint="F2"/>
          <w:sz w:val="24"/>
          <w:szCs w:val="24"/>
          <w:lang w:val="sq-AL"/>
        </w:rPr>
        <w:tab/>
      </w:r>
      <w:r w:rsidR="00882B3F" w:rsidRPr="00804124">
        <w:rPr>
          <w:rFonts w:ascii="Times New Roman" w:eastAsia="Times New Roman" w:hAnsi="Times New Roman"/>
          <w:b/>
          <w:color w:val="0D0D0D" w:themeColor="text1" w:themeTint="F2"/>
          <w:sz w:val="24"/>
          <w:szCs w:val="24"/>
          <w:lang w:val="sq-AL"/>
        </w:rPr>
        <w:t>Enkelejda METALIAJ (SOFTA)</w:t>
      </w:r>
      <w:r w:rsidR="00882B3F" w:rsidRPr="00804124">
        <w:rPr>
          <w:rFonts w:ascii="Times New Roman" w:eastAsia="Times New Roman" w:hAnsi="Times New Roman"/>
          <w:b/>
          <w:color w:val="0D0D0D" w:themeColor="text1" w:themeTint="F2"/>
          <w:sz w:val="24"/>
          <w:szCs w:val="24"/>
          <w:lang w:val="sq-AL"/>
        </w:rPr>
        <w:tab/>
        <w:t>- Kryesuese</w:t>
      </w:r>
    </w:p>
    <w:p w14:paraId="11A9A0DA" w14:textId="1783F872" w:rsidR="00482986" w:rsidRPr="00804124" w:rsidRDefault="00482986" w:rsidP="00482986">
      <w:pPr>
        <w:tabs>
          <w:tab w:val="left" w:pos="1800"/>
        </w:tabs>
        <w:spacing w:after="0" w:line="240" w:lineRule="auto"/>
        <w:ind w:firstLine="360"/>
        <w:rPr>
          <w:rFonts w:ascii="Times New Roman" w:hAnsi="Times New Roman"/>
          <w:color w:val="0D0D0D" w:themeColor="text1" w:themeTint="F2"/>
          <w:sz w:val="24"/>
          <w:szCs w:val="24"/>
          <w:lang w:val="sq-AL"/>
        </w:rPr>
      </w:pPr>
      <w:r w:rsidRPr="00804124">
        <w:rPr>
          <w:rFonts w:ascii="Times New Roman" w:eastAsia="Times New Roman" w:hAnsi="Times New Roman"/>
          <w:b/>
          <w:color w:val="0D0D0D" w:themeColor="text1" w:themeTint="F2"/>
          <w:sz w:val="24"/>
          <w:szCs w:val="24"/>
          <w:lang w:val="sq-AL"/>
        </w:rPr>
        <w:tab/>
      </w:r>
      <w:r w:rsidRPr="00804124">
        <w:rPr>
          <w:rFonts w:ascii="Times New Roman" w:eastAsia="Times New Roman" w:hAnsi="Times New Roman"/>
          <w:b/>
          <w:color w:val="0D0D0D" w:themeColor="text1" w:themeTint="F2"/>
          <w:sz w:val="24"/>
          <w:szCs w:val="24"/>
          <w:lang w:val="sq-AL"/>
        </w:rPr>
        <w:tab/>
      </w:r>
      <w:r w:rsidRPr="00804124">
        <w:rPr>
          <w:rFonts w:ascii="Times New Roman" w:eastAsia="Times New Roman" w:hAnsi="Times New Roman"/>
          <w:b/>
          <w:color w:val="0D0D0D" w:themeColor="text1" w:themeTint="F2"/>
          <w:sz w:val="24"/>
          <w:szCs w:val="24"/>
          <w:lang w:val="sq-AL"/>
        </w:rPr>
        <w:tab/>
      </w:r>
      <w:r w:rsidR="00882B3F" w:rsidRPr="00804124">
        <w:rPr>
          <w:rFonts w:ascii="Times New Roman" w:eastAsia="Times New Roman" w:hAnsi="Times New Roman"/>
          <w:b/>
          <w:color w:val="0D0D0D" w:themeColor="text1" w:themeTint="F2"/>
          <w:sz w:val="24"/>
          <w:szCs w:val="24"/>
          <w:lang w:val="sq-AL"/>
        </w:rPr>
        <w:t>Arbena AHMETI</w:t>
      </w:r>
      <w:r w:rsidR="00882B3F" w:rsidRPr="00804124">
        <w:rPr>
          <w:rFonts w:ascii="Times New Roman" w:eastAsia="Times New Roman" w:hAnsi="Times New Roman"/>
          <w:b/>
          <w:color w:val="0D0D0D" w:themeColor="text1" w:themeTint="F2"/>
          <w:sz w:val="24"/>
          <w:szCs w:val="24"/>
          <w:lang w:val="sq-AL"/>
        </w:rPr>
        <w:tab/>
      </w:r>
      <w:r w:rsidR="00882B3F" w:rsidRPr="00804124">
        <w:rPr>
          <w:rFonts w:ascii="Times New Roman" w:eastAsia="Times New Roman" w:hAnsi="Times New Roman"/>
          <w:b/>
          <w:color w:val="0D0D0D" w:themeColor="text1" w:themeTint="F2"/>
          <w:sz w:val="24"/>
          <w:szCs w:val="24"/>
          <w:lang w:val="sq-AL"/>
        </w:rPr>
        <w:tab/>
      </w:r>
      <w:r w:rsidR="00882B3F" w:rsidRPr="00804124">
        <w:rPr>
          <w:rFonts w:ascii="Times New Roman" w:eastAsia="Times New Roman" w:hAnsi="Times New Roman"/>
          <w:b/>
          <w:color w:val="0D0D0D" w:themeColor="text1" w:themeTint="F2"/>
          <w:sz w:val="24"/>
          <w:szCs w:val="24"/>
          <w:lang w:val="sq-AL"/>
        </w:rPr>
        <w:tab/>
        <w:t>- Anëtare</w:t>
      </w:r>
    </w:p>
    <w:p w14:paraId="05BBD8CB" w14:textId="68A3A9E9" w:rsidR="00882B3F" w:rsidRPr="00804124" w:rsidRDefault="00482986" w:rsidP="00482986">
      <w:pPr>
        <w:tabs>
          <w:tab w:val="left" w:pos="1800"/>
        </w:tabs>
        <w:spacing w:after="0" w:line="240" w:lineRule="auto"/>
        <w:ind w:firstLine="360"/>
        <w:rPr>
          <w:rFonts w:ascii="Times New Roman" w:hAnsi="Times New Roman"/>
          <w:color w:val="0D0D0D" w:themeColor="text1" w:themeTint="F2"/>
          <w:sz w:val="24"/>
          <w:szCs w:val="24"/>
          <w:lang w:val="sq-AL"/>
        </w:rPr>
      </w:pPr>
      <w:r w:rsidRPr="00804124">
        <w:rPr>
          <w:rFonts w:ascii="Times New Roman" w:eastAsia="Times New Roman" w:hAnsi="Times New Roman"/>
          <w:b/>
          <w:color w:val="0D0D0D" w:themeColor="text1" w:themeTint="F2"/>
          <w:sz w:val="24"/>
          <w:szCs w:val="24"/>
          <w:lang w:val="sq-AL"/>
        </w:rPr>
        <w:tab/>
      </w:r>
      <w:r w:rsidRPr="00804124">
        <w:rPr>
          <w:rFonts w:ascii="Times New Roman" w:eastAsia="Times New Roman" w:hAnsi="Times New Roman"/>
          <w:b/>
          <w:color w:val="0D0D0D" w:themeColor="text1" w:themeTint="F2"/>
          <w:sz w:val="24"/>
          <w:szCs w:val="24"/>
          <w:lang w:val="sq-AL"/>
        </w:rPr>
        <w:tab/>
      </w:r>
      <w:r w:rsidRPr="00804124">
        <w:rPr>
          <w:rFonts w:ascii="Times New Roman" w:eastAsia="Times New Roman" w:hAnsi="Times New Roman"/>
          <w:b/>
          <w:color w:val="0D0D0D" w:themeColor="text1" w:themeTint="F2"/>
          <w:sz w:val="24"/>
          <w:szCs w:val="24"/>
          <w:lang w:val="sq-AL"/>
        </w:rPr>
        <w:tab/>
      </w:r>
      <w:r w:rsidR="00882B3F" w:rsidRPr="00804124">
        <w:rPr>
          <w:rFonts w:ascii="Times New Roman" w:eastAsia="Times New Roman" w:hAnsi="Times New Roman"/>
          <w:b/>
          <w:color w:val="0D0D0D" w:themeColor="text1" w:themeTint="F2"/>
          <w:sz w:val="24"/>
          <w:szCs w:val="24"/>
          <w:lang w:val="sq-AL"/>
        </w:rPr>
        <w:t xml:space="preserve">Gentian MEDJA  </w:t>
      </w:r>
      <w:r w:rsidR="00882B3F" w:rsidRPr="00804124">
        <w:rPr>
          <w:rFonts w:ascii="Times New Roman" w:eastAsia="Times New Roman" w:hAnsi="Times New Roman"/>
          <w:b/>
          <w:color w:val="0D0D0D" w:themeColor="text1" w:themeTint="F2"/>
          <w:sz w:val="24"/>
          <w:szCs w:val="24"/>
          <w:lang w:val="sq-AL"/>
        </w:rPr>
        <w:tab/>
      </w:r>
      <w:r w:rsidR="00882B3F" w:rsidRPr="00804124">
        <w:rPr>
          <w:rFonts w:ascii="Times New Roman" w:eastAsia="Times New Roman" w:hAnsi="Times New Roman"/>
          <w:b/>
          <w:color w:val="0D0D0D" w:themeColor="text1" w:themeTint="F2"/>
          <w:sz w:val="24"/>
          <w:szCs w:val="24"/>
          <w:lang w:val="sq-AL"/>
        </w:rPr>
        <w:tab/>
      </w:r>
      <w:r w:rsidR="00882B3F" w:rsidRPr="00804124">
        <w:rPr>
          <w:rFonts w:ascii="Times New Roman" w:eastAsia="Times New Roman" w:hAnsi="Times New Roman"/>
          <w:b/>
          <w:color w:val="0D0D0D" w:themeColor="text1" w:themeTint="F2"/>
          <w:sz w:val="24"/>
          <w:szCs w:val="24"/>
          <w:lang w:val="sq-AL"/>
        </w:rPr>
        <w:tab/>
        <w:t>- Anëtar</w:t>
      </w:r>
    </w:p>
    <w:p w14:paraId="1278A802" w14:textId="77777777" w:rsidR="00882B3F" w:rsidRPr="00804124" w:rsidRDefault="00882B3F" w:rsidP="00882B3F">
      <w:pPr>
        <w:tabs>
          <w:tab w:val="left" w:pos="1800"/>
        </w:tabs>
        <w:spacing w:after="0" w:line="240" w:lineRule="auto"/>
        <w:jc w:val="both"/>
        <w:rPr>
          <w:rFonts w:ascii="Times New Roman" w:hAnsi="Times New Roman"/>
          <w:b/>
          <w:color w:val="0D0D0D" w:themeColor="text1" w:themeTint="F2"/>
          <w:sz w:val="24"/>
          <w:szCs w:val="24"/>
          <w:lang w:val="sq-AL"/>
        </w:rPr>
      </w:pPr>
    </w:p>
    <w:p w14:paraId="39D21A69" w14:textId="7A5D1EB9" w:rsidR="00882B3F" w:rsidRPr="00804124" w:rsidRDefault="00482986" w:rsidP="00482986">
      <w:pPr>
        <w:tabs>
          <w:tab w:val="left" w:pos="1800"/>
        </w:tabs>
        <w:spacing w:after="0" w:line="240" w:lineRule="auto"/>
        <w:ind w:firstLine="360"/>
        <w:jc w:val="both"/>
        <w:rPr>
          <w:rFonts w:ascii="Times New Roman" w:hAnsi="Times New Roman"/>
          <w:color w:val="0D0D0D" w:themeColor="text1" w:themeTint="F2"/>
          <w:sz w:val="24"/>
          <w:szCs w:val="24"/>
          <w:lang w:val="sq-AL"/>
        </w:rPr>
      </w:pPr>
      <w:r w:rsidRPr="00804124">
        <w:rPr>
          <w:rFonts w:ascii="Times New Roman" w:hAnsi="Times New Roman"/>
          <w:bCs/>
          <w:color w:val="0D0D0D" w:themeColor="text1" w:themeTint="F2"/>
          <w:sz w:val="24"/>
          <w:szCs w:val="24"/>
          <w:lang w:val="sq-AL"/>
        </w:rPr>
        <w:t>s</w:t>
      </w:r>
      <w:r w:rsidR="00882B3F" w:rsidRPr="00804124">
        <w:rPr>
          <w:rFonts w:ascii="Times New Roman" w:hAnsi="Times New Roman"/>
          <w:color w:val="0D0D0D" w:themeColor="text1" w:themeTint="F2"/>
          <w:sz w:val="24"/>
          <w:szCs w:val="24"/>
          <w:lang w:val="sq-AL"/>
        </w:rPr>
        <w:t>ot</w:t>
      </w:r>
      <w:r w:rsidRPr="00804124">
        <w:rPr>
          <w:rFonts w:ascii="Times New Roman" w:hAnsi="Times New Roman"/>
          <w:color w:val="0D0D0D" w:themeColor="text1" w:themeTint="F2"/>
          <w:sz w:val="24"/>
          <w:szCs w:val="24"/>
          <w:lang w:val="sq-AL"/>
        </w:rPr>
        <w:t>,</w:t>
      </w:r>
      <w:r w:rsidR="00882B3F" w:rsidRPr="00804124">
        <w:rPr>
          <w:rFonts w:ascii="Times New Roman" w:hAnsi="Times New Roman"/>
          <w:color w:val="0D0D0D" w:themeColor="text1" w:themeTint="F2"/>
          <w:sz w:val="24"/>
          <w:szCs w:val="24"/>
          <w:lang w:val="sq-AL"/>
        </w:rPr>
        <w:t xml:space="preserve"> në datën 04.05.2026</w:t>
      </w:r>
      <w:r w:rsidR="00882B3F" w:rsidRPr="00804124">
        <w:rPr>
          <w:rFonts w:ascii="Times New Roman" w:hAnsi="Times New Roman"/>
          <w:bCs/>
          <w:color w:val="0D0D0D" w:themeColor="text1" w:themeTint="F2"/>
          <w:sz w:val="24"/>
          <w:szCs w:val="24"/>
          <w:lang w:val="sq-AL"/>
        </w:rPr>
        <w:t xml:space="preserve">, </w:t>
      </w:r>
      <w:r w:rsidR="00882B3F" w:rsidRPr="00804124">
        <w:rPr>
          <w:rFonts w:ascii="Times New Roman" w:hAnsi="Times New Roman"/>
          <w:color w:val="0D0D0D" w:themeColor="text1" w:themeTint="F2"/>
          <w:sz w:val="24"/>
          <w:szCs w:val="24"/>
          <w:lang w:val="sq-AL"/>
        </w:rPr>
        <w:t>mori në shqyrtim, në dhomë këshillimi, çështjen administrative me nr.</w:t>
      </w:r>
      <w:r w:rsidR="00882B3F" w:rsidRPr="00804124">
        <w:rPr>
          <w:rFonts w:ascii="Times New Roman" w:eastAsia="Times New Roman" w:hAnsi="Times New Roman"/>
          <w:color w:val="0D0D0D" w:themeColor="text1" w:themeTint="F2"/>
          <w:sz w:val="24"/>
          <w:szCs w:val="24"/>
          <w:lang w:val="sq-AL"/>
        </w:rPr>
        <w:t xml:space="preserve">31003-02124-00-2018 </w:t>
      </w:r>
      <w:r w:rsidR="00882B3F" w:rsidRPr="00804124">
        <w:rPr>
          <w:rFonts w:ascii="Times New Roman" w:hAnsi="Times New Roman"/>
          <w:color w:val="0D0D0D" w:themeColor="text1" w:themeTint="F2"/>
          <w:sz w:val="24"/>
          <w:szCs w:val="24"/>
          <w:lang w:val="sq-AL"/>
        </w:rPr>
        <w:t>akti</w:t>
      </w:r>
      <w:r w:rsidR="002D5A1A" w:rsidRPr="00804124">
        <w:rPr>
          <w:rFonts w:ascii="Times New Roman" w:hAnsi="Times New Roman"/>
          <w:color w:val="0D0D0D" w:themeColor="text1" w:themeTint="F2"/>
          <w:sz w:val="24"/>
          <w:szCs w:val="24"/>
          <w:lang w:val="sq-AL"/>
        </w:rPr>
        <w:t>,</w:t>
      </w:r>
      <w:r w:rsidR="00882B3F" w:rsidRPr="00804124">
        <w:rPr>
          <w:rFonts w:ascii="Times New Roman" w:hAnsi="Times New Roman"/>
          <w:color w:val="0D0D0D" w:themeColor="text1" w:themeTint="F2"/>
          <w:sz w:val="24"/>
          <w:szCs w:val="24"/>
          <w:lang w:val="sq-AL"/>
        </w:rPr>
        <w:t xml:space="preserve"> që i përket:</w:t>
      </w:r>
    </w:p>
    <w:p w14:paraId="4C4C0523" w14:textId="77777777" w:rsidR="00882B3F" w:rsidRPr="00804124" w:rsidRDefault="00882B3F" w:rsidP="00882B3F">
      <w:pPr>
        <w:shd w:val="clear" w:color="auto" w:fill="FFFFFF"/>
        <w:tabs>
          <w:tab w:val="left" w:pos="1800"/>
        </w:tabs>
        <w:spacing w:after="0" w:line="240" w:lineRule="auto"/>
        <w:ind w:left="2880" w:hanging="2880"/>
        <w:jc w:val="both"/>
        <w:rPr>
          <w:rFonts w:ascii="Times New Roman" w:hAnsi="Times New Roman"/>
          <w:b/>
          <w:color w:val="0D0D0D" w:themeColor="text1" w:themeTint="F2"/>
          <w:sz w:val="24"/>
          <w:szCs w:val="24"/>
          <w:u w:val="single"/>
          <w:lang w:val="sq-AL"/>
        </w:rPr>
      </w:pPr>
    </w:p>
    <w:p w14:paraId="1B6DE523" w14:textId="77777777" w:rsidR="00882B3F" w:rsidRPr="00804124" w:rsidRDefault="00882B3F" w:rsidP="00882B3F">
      <w:pPr>
        <w:spacing w:after="0" w:line="240" w:lineRule="auto"/>
        <w:jc w:val="both"/>
        <w:rPr>
          <w:rFonts w:ascii="Times New Roman" w:hAnsi="Times New Roman"/>
          <w:color w:val="0D0D0D" w:themeColor="text1" w:themeTint="F2"/>
          <w:sz w:val="24"/>
          <w:szCs w:val="24"/>
          <w:lang w:val="sq-AL"/>
        </w:rPr>
      </w:pPr>
      <w:bookmarkStart w:id="1" w:name="_Hlk206168064"/>
      <w:r w:rsidRPr="00804124">
        <w:rPr>
          <w:rFonts w:ascii="Times New Roman" w:hAnsi="Times New Roman"/>
          <w:b/>
          <w:color w:val="0D0D0D" w:themeColor="text1" w:themeTint="F2"/>
          <w:sz w:val="24"/>
          <w:szCs w:val="24"/>
          <w:lang w:val="sq-AL"/>
        </w:rPr>
        <w:t>PADITËS:</w:t>
      </w:r>
      <w:r w:rsidRPr="00804124">
        <w:rPr>
          <w:rFonts w:ascii="Times New Roman" w:hAnsi="Times New Roman"/>
          <w:b/>
          <w:color w:val="0D0D0D" w:themeColor="text1" w:themeTint="F2"/>
          <w:sz w:val="24"/>
          <w:szCs w:val="24"/>
          <w:lang w:val="sq-AL"/>
        </w:rPr>
        <w:tab/>
      </w:r>
      <w:r w:rsidRPr="00804124">
        <w:rPr>
          <w:rFonts w:ascii="Times New Roman" w:hAnsi="Times New Roman"/>
          <w:b/>
          <w:color w:val="0D0D0D" w:themeColor="text1" w:themeTint="F2"/>
          <w:sz w:val="24"/>
          <w:szCs w:val="24"/>
          <w:lang w:val="sq-AL"/>
        </w:rPr>
        <w:tab/>
      </w:r>
      <w:r w:rsidRPr="00804124">
        <w:rPr>
          <w:rFonts w:ascii="Times New Roman" w:hAnsi="Times New Roman"/>
          <w:b/>
          <w:color w:val="0D0D0D" w:themeColor="text1" w:themeTint="F2"/>
          <w:sz w:val="24"/>
          <w:szCs w:val="24"/>
          <w:lang w:val="sq-AL"/>
        </w:rPr>
        <w:tab/>
      </w:r>
      <w:r w:rsidRPr="00804124">
        <w:rPr>
          <w:rFonts w:ascii="Times New Roman" w:hAnsi="Times New Roman"/>
          <w:color w:val="0D0D0D" w:themeColor="text1" w:themeTint="F2"/>
          <w:sz w:val="24"/>
          <w:szCs w:val="24"/>
          <w:lang w:val="sq-AL"/>
        </w:rPr>
        <w:t>Sadik Luga</w:t>
      </w:r>
      <w:bookmarkStart w:id="2" w:name="_GoBack"/>
      <w:bookmarkEnd w:id="2"/>
    </w:p>
    <w:p w14:paraId="61FC25E3" w14:textId="77777777" w:rsidR="00882B3F" w:rsidRPr="00804124" w:rsidRDefault="00882B3F" w:rsidP="00882B3F">
      <w:pPr>
        <w:spacing w:after="0" w:line="240" w:lineRule="auto"/>
        <w:ind w:left="2880" w:hanging="2880"/>
        <w:jc w:val="both"/>
        <w:rPr>
          <w:rFonts w:ascii="Times New Roman" w:hAnsi="Times New Roman"/>
          <w:b/>
          <w:color w:val="0D0D0D" w:themeColor="text1" w:themeTint="F2"/>
          <w:sz w:val="24"/>
          <w:szCs w:val="24"/>
          <w:lang w:val="sq-AL"/>
        </w:rPr>
      </w:pPr>
    </w:p>
    <w:p w14:paraId="21465BD2" w14:textId="77777777" w:rsidR="00882B3F" w:rsidRPr="00804124" w:rsidRDefault="00882B3F" w:rsidP="00882B3F">
      <w:pPr>
        <w:spacing w:after="0" w:line="240" w:lineRule="auto"/>
        <w:jc w:val="both"/>
        <w:rPr>
          <w:rFonts w:ascii="Times New Roman" w:hAnsi="Times New Roman"/>
          <w:color w:val="0D0D0D" w:themeColor="text1" w:themeTint="F2"/>
          <w:sz w:val="24"/>
          <w:szCs w:val="24"/>
          <w:lang w:val="sq-AL"/>
        </w:rPr>
      </w:pPr>
      <w:r w:rsidRPr="00804124">
        <w:rPr>
          <w:rFonts w:ascii="Times New Roman" w:hAnsi="Times New Roman"/>
          <w:b/>
          <w:color w:val="0D0D0D" w:themeColor="text1" w:themeTint="F2"/>
          <w:sz w:val="24"/>
          <w:szCs w:val="24"/>
          <w:lang w:val="sq-AL"/>
        </w:rPr>
        <w:t>TË PADITUR:</w:t>
      </w:r>
      <w:r w:rsidRPr="00804124">
        <w:rPr>
          <w:rFonts w:ascii="Times New Roman" w:hAnsi="Times New Roman"/>
          <w:b/>
          <w:color w:val="0D0D0D" w:themeColor="text1" w:themeTint="F2"/>
          <w:sz w:val="24"/>
          <w:szCs w:val="24"/>
          <w:lang w:val="sq-AL"/>
        </w:rPr>
        <w:tab/>
      </w:r>
      <w:r w:rsidRPr="00804124">
        <w:rPr>
          <w:rFonts w:ascii="Times New Roman" w:hAnsi="Times New Roman"/>
          <w:b/>
          <w:color w:val="0D0D0D" w:themeColor="text1" w:themeTint="F2"/>
          <w:sz w:val="24"/>
          <w:szCs w:val="24"/>
          <w:lang w:val="sq-AL"/>
        </w:rPr>
        <w:tab/>
      </w:r>
      <w:r w:rsidRPr="00804124">
        <w:rPr>
          <w:rFonts w:ascii="Times New Roman" w:hAnsi="Times New Roman"/>
          <w:color w:val="0D0D0D" w:themeColor="text1" w:themeTint="F2"/>
          <w:sz w:val="24"/>
          <w:szCs w:val="24"/>
          <w:lang w:val="sq-AL"/>
        </w:rPr>
        <w:t xml:space="preserve">Ministria e Financave </w:t>
      </w:r>
    </w:p>
    <w:p w14:paraId="233D3F6A" w14:textId="77777777" w:rsidR="00882B3F" w:rsidRPr="00804124" w:rsidRDefault="00882B3F" w:rsidP="00882B3F">
      <w:pPr>
        <w:spacing w:after="0" w:line="240" w:lineRule="auto"/>
        <w:ind w:left="2880"/>
        <w:jc w:val="both"/>
        <w:rPr>
          <w:rFonts w:ascii="Times New Roman" w:hAnsi="Times New Roman"/>
          <w:color w:val="0D0D0D" w:themeColor="text1" w:themeTint="F2"/>
          <w:sz w:val="24"/>
          <w:szCs w:val="24"/>
          <w:lang w:val="sq-AL"/>
        </w:rPr>
      </w:pPr>
      <w:r w:rsidRPr="00804124">
        <w:rPr>
          <w:rFonts w:ascii="Times New Roman" w:hAnsi="Times New Roman"/>
          <w:color w:val="0D0D0D" w:themeColor="text1" w:themeTint="F2"/>
          <w:sz w:val="24"/>
          <w:szCs w:val="24"/>
          <w:lang w:val="sq-AL"/>
        </w:rPr>
        <w:t xml:space="preserve">Drejtoria e Drejtimit të Pronës Publike Tiranë </w:t>
      </w:r>
    </w:p>
    <w:p w14:paraId="7FB67ADA" w14:textId="77777777" w:rsidR="00882B3F" w:rsidRPr="00804124" w:rsidRDefault="00882B3F" w:rsidP="00882B3F">
      <w:pPr>
        <w:spacing w:after="0" w:line="240" w:lineRule="auto"/>
        <w:ind w:left="2880"/>
        <w:jc w:val="both"/>
        <w:rPr>
          <w:rFonts w:ascii="Times New Roman" w:hAnsi="Times New Roman"/>
          <w:color w:val="0D0D0D" w:themeColor="text1" w:themeTint="F2"/>
          <w:sz w:val="24"/>
          <w:szCs w:val="24"/>
          <w:lang w:val="sq-AL"/>
        </w:rPr>
      </w:pPr>
      <w:r w:rsidRPr="00804124">
        <w:rPr>
          <w:rFonts w:ascii="Times New Roman" w:hAnsi="Times New Roman"/>
          <w:color w:val="0D0D0D" w:themeColor="text1" w:themeTint="F2"/>
          <w:sz w:val="24"/>
          <w:szCs w:val="24"/>
          <w:lang w:val="sq-AL"/>
        </w:rPr>
        <w:t>Adrian Prifti</w:t>
      </w:r>
    </w:p>
    <w:p w14:paraId="169409FD" w14:textId="77777777" w:rsidR="00882B3F" w:rsidRPr="00804124" w:rsidRDefault="00882B3F" w:rsidP="00882B3F">
      <w:pPr>
        <w:spacing w:after="0" w:line="240" w:lineRule="auto"/>
        <w:ind w:left="2880"/>
        <w:jc w:val="both"/>
        <w:rPr>
          <w:rFonts w:ascii="Times New Roman" w:hAnsi="Times New Roman"/>
          <w:color w:val="0D0D0D" w:themeColor="text1" w:themeTint="F2"/>
          <w:sz w:val="24"/>
          <w:szCs w:val="24"/>
          <w:lang w:val="sq-AL"/>
        </w:rPr>
      </w:pPr>
    </w:p>
    <w:p w14:paraId="484FEE13" w14:textId="77777777" w:rsidR="00882B3F" w:rsidRPr="00804124" w:rsidRDefault="00882B3F" w:rsidP="00882B3F">
      <w:pPr>
        <w:spacing w:after="0" w:line="240" w:lineRule="auto"/>
        <w:jc w:val="both"/>
        <w:rPr>
          <w:rFonts w:ascii="Times New Roman" w:hAnsi="Times New Roman"/>
          <w:color w:val="0D0D0D" w:themeColor="text1" w:themeTint="F2"/>
          <w:sz w:val="24"/>
          <w:szCs w:val="24"/>
          <w:lang w:val="sq-AL"/>
        </w:rPr>
      </w:pPr>
      <w:r w:rsidRPr="00804124">
        <w:rPr>
          <w:rFonts w:ascii="Times New Roman" w:hAnsi="Times New Roman"/>
          <w:b/>
          <w:color w:val="0D0D0D" w:themeColor="text1" w:themeTint="F2"/>
          <w:sz w:val="24"/>
          <w:szCs w:val="24"/>
          <w:lang w:val="sq-AL"/>
        </w:rPr>
        <w:t>Me pjesëmarrjen e :</w:t>
      </w:r>
      <w:r w:rsidRPr="00804124">
        <w:rPr>
          <w:rFonts w:ascii="Times New Roman" w:hAnsi="Times New Roman"/>
          <w:b/>
          <w:color w:val="0D0D0D" w:themeColor="text1" w:themeTint="F2"/>
          <w:sz w:val="24"/>
          <w:szCs w:val="24"/>
          <w:lang w:val="sq-AL"/>
        </w:rPr>
        <w:tab/>
      </w:r>
      <w:r w:rsidRPr="00804124">
        <w:rPr>
          <w:rFonts w:ascii="Times New Roman" w:hAnsi="Times New Roman"/>
          <w:color w:val="0D0D0D" w:themeColor="text1" w:themeTint="F2"/>
          <w:sz w:val="24"/>
          <w:szCs w:val="24"/>
          <w:lang w:val="sq-AL"/>
        </w:rPr>
        <w:tab/>
        <w:t>Avokatura e Shtetit</w:t>
      </w:r>
    </w:p>
    <w:p w14:paraId="3D6D2D76" w14:textId="77777777" w:rsidR="00882B3F" w:rsidRPr="00804124" w:rsidRDefault="00882B3F" w:rsidP="00882B3F">
      <w:pPr>
        <w:spacing w:after="0" w:line="240" w:lineRule="auto"/>
        <w:jc w:val="both"/>
        <w:rPr>
          <w:rFonts w:ascii="Times New Roman" w:hAnsi="Times New Roman"/>
          <w:bCs/>
          <w:color w:val="0D0D0D" w:themeColor="text1" w:themeTint="F2"/>
          <w:sz w:val="24"/>
          <w:szCs w:val="24"/>
          <w:lang w:val="sq-AL"/>
        </w:rPr>
      </w:pPr>
    </w:p>
    <w:p w14:paraId="2075EA8D" w14:textId="77777777" w:rsidR="00882B3F" w:rsidRPr="00804124" w:rsidRDefault="00882B3F" w:rsidP="00882B3F">
      <w:pPr>
        <w:spacing w:after="0" w:line="240" w:lineRule="auto"/>
        <w:ind w:left="2880" w:hanging="2880"/>
        <w:jc w:val="both"/>
        <w:rPr>
          <w:rFonts w:ascii="Times New Roman" w:hAnsi="Times New Roman"/>
          <w:color w:val="0D0D0D" w:themeColor="text1" w:themeTint="F2"/>
          <w:sz w:val="24"/>
          <w:szCs w:val="24"/>
          <w:lang w:val="sq-AL"/>
        </w:rPr>
      </w:pPr>
      <w:r w:rsidRPr="00804124">
        <w:rPr>
          <w:rFonts w:ascii="Times New Roman" w:hAnsi="Times New Roman"/>
          <w:b/>
          <w:color w:val="0D0D0D" w:themeColor="text1" w:themeTint="F2"/>
          <w:sz w:val="24"/>
          <w:szCs w:val="24"/>
          <w:lang w:val="sq-AL"/>
        </w:rPr>
        <w:t xml:space="preserve">OBJEKTI: </w:t>
      </w:r>
      <w:r w:rsidRPr="00804124">
        <w:rPr>
          <w:rFonts w:ascii="Times New Roman" w:hAnsi="Times New Roman"/>
          <w:b/>
          <w:color w:val="0D0D0D" w:themeColor="text1" w:themeTint="F2"/>
          <w:sz w:val="24"/>
          <w:szCs w:val="24"/>
          <w:lang w:val="sq-AL"/>
        </w:rPr>
        <w:tab/>
      </w:r>
      <w:r w:rsidRPr="00804124">
        <w:rPr>
          <w:rFonts w:ascii="Times New Roman" w:hAnsi="Times New Roman"/>
          <w:color w:val="0D0D0D" w:themeColor="text1" w:themeTint="F2"/>
          <w:sz w:val="24"/>
          <w:szCs w:val="24"/>
          <w:lang w:val="sq-AL"/>
        </w:rPr>
        <w:t>Konstatimi absolutisht të pavlefshme të kontratës së shitjes nr.556 rep., nr.268 kol., datë 2012.2012, me objekt shitjen e pjesës së kapitali shtetëror të Shoqërisë "Alb Italia Costruzioni SH.P.K, si dhe të sipërfaqes truall prej 6,459 m².</w:t>
      </w:r>
    </w:p>
    <w:p w14:paraId="66B3DF2A" w14:textId="77777777" w:rsidR="00882B3F" w:rsidRPr="00804124" w:rsidRDefault="00882B3F" w:rsidP="00882B3F">
      <w:pPr>
        <w:spacing w:after="0" w:line="240" w:lineRule="auto"/>
        <w:ind w:left="2880"/>
        <w:jc w:val="both"/>
        <w:rPr>
          <w:rFonts w:ascii="Times New Roman" w:hAnsi="Times New Roman"/>
          <w:color w:val="0D0D0D" w:themeColor="text1" w:themeTint="F2"/>
          <w:sz w:val="24"/>
          <w:szCs w:val="24"/>
          <w:lang w:val="sq-AL"/>
        </w:rPr>
      </w:pPr>
      <w:r w:rsidRPr="00804124">
        <w:rPr>
          <w:rFonts w:ascii="Times New Roman" w:hAnsi="Times New Roman"/>
          <w:color w:val="0D0D0D" w:themeColor="text1" w:themeTint="F2"/>
          <w:sz w:val="24"/>
          <w:szCs w:val="24"/>
          <w:lang w:val="sq-AL"/>
        </w:rPr>
        <w:t>Konstatimin si absolutisht të pavlefshëm të procedurës së ndjekur nga METE dhe Drejtoria e Administrimit dhe shitjes së pronave publike, për shitjen e kuotave dhe sipërfaqes truall prej 6,459 m² të Shoqërisë "Alb Italia Costruzioni" SH.P.K.</w:t>
      </w:r>
    </w:p>
    <w:p w14:paraId="1D853416" w14:textId="649B866C" w:rsidR="00882B3F" w:rsidRPr="00804124" w:rsidRDefault="00882B3F" w:rsidP="00882B3F">
      <w:pPr>
        <w:spacing w:after="0" w:line="240" w:lineRule="auto"/>
        <w:ind w:left="2880"/>
        <w:jc w:val="both"/>
        <w:rPr>
          <w:rFonts w:ascii="Times New Roman" w:hAnsi="Times New Roman"/>
          <w:color w:val="0D0D0D" w:themeColor="text1" w:themeTint="F2"/>
          <w:sz w:val="24"/>
          <w:szCs w:val="24"/>
          <w:lang w:val="sq-AL"/>
        </w:rPr>
      </w:pPr>
      <w:r w:rsidRPr="00804124">
        <w:rPr>
          <w:rFonts w:ascii="Times New Roman" w:hAnsi="Times New Roman"/>
          <w:color w:val="0D0D0D" w:themeColor="text1" w:themeTint="F2"/>
          <w:sz w:val="24"/>
          <w:szCs w:val="24"/>
          <w:lang w:val="sq-AL"/>
        </w:rPr>
        <w:t>Kthimin e palëve në gjendjen e mëparshme, duke rregulluar pasojat juridike që sjell konstatimi si absolutisht i pavlefshëm i kontratës së shitjes nr.556 rep., nr.268 kol., datë 20</w:t>
      </w:r>
      <w:r w:rsidR="006B02BB" w:rsidRPr="00804124">
        <w:rPr>
          <w:rFonts w:ascii="Times New Roman" w:hAnsi="Times New Roman"/>
          <w:color w:val="0D0D0D" w:themeColor="text1" w:themeTint="F2"/>
          <w:sz w:val="24"/>
          <w:szCs w:val="24"/>
          <w:lang w:val="sq-AL"/>
        </w:rPr>
        <w:t>.</w:t>
      </w:r>
      <w:r w:rsidRPr="00804124">
        <w:rPr>
          <w:rFonts w:ascii="Times New Roman" w:hAnsi="Times New Roman"/>
          <w:color w:val="0D0D0D" w:themeColor="text1" w:themeTint="F2"/>
          <w:sz w:val="24"/>
          <w:szCs w:val="24"/>
          <w:lang w:val="sq-AL"/>
        </w:rPr>
        <w:t>12.2012.</w:t>
      </w:r>
    </w:p>
    <w:p w14:paraId="1A2C0410" w14:textId="77777777" w:rsidR="00882B3F" w:rsidRPr="00804124" w:rsidRDefault="00882B3F" w:rsidP="00882B3F">
      <w:pPr>
        <w:spacing w:after="0" w:line="240" w:lineRule="auto"/>
        <w:ind w:left="2880"/>
        <w:jc w:val="both"/>
        <w:rPr>
          <w:rFonts w:ascii="Times New Roman" w:hAnsi="Times New Roman"/>
          <w:color w:val="0D0D0D" w:themeColor="text1" w:themeTint="F2"/>
          <w:sz w:val="24"/>
          <w:szCs w:val="24"/>
          <w:lang w:val="sq-AL"/>
        </w:rPr>
      </w:pPr>
    </w:p>
    <w:p w14:paraId="25A4AC03" w14:textId="77777777" w:rsidR="00882B3F" w:rsidRPr="00804124" w:rsidRDefault="00882B3F" w:rsidP="00882B3F">
      <w:pPr>
        <w:spacing w:after="0" w:line="240" w:lineRule="auto"/>
        <w:ind w:left="2880" w:hanging="2880"/>
        <w:jc w:val="both"/>
        <w:rPr>
          <w:rFonts w:ascii="Times New Roman" w:hAnsi="Times New Roman"/>
          <w:color w:val="0D0D0D" w:themeColor="text1" w:themeTint="F2"/>
          <w:sz w:val="24"/>
          <w:szCs w:val="24"/>
          <w:lang w:val="sq-AL"/>
        </w:rPr>
      </w:pPr>
      <w:r w:rsidRPr="00804124">
        <w:rPr>
          <w:rFonts w:ascii="Times New Roman" w:hAnsi="Times New Roman"/>
          <w:b/>
          <w:bCs/>
          <w:color w:val="0D0D0D" w:themeColor="text1" w:themeTint="F2"/>
          <w:sz w:val="24"/>
          <w:szCs w:val="24"/>
          <w:shd w:val="clear" w:color="auto" w:fill="FFFFFF"/>
          <w:lang w:val="sq-AL"/>
        </w:rPr>
        <w:t>BAZA LIGJORE:</w:t>
      </w:r>
      <w:r w:rsidRPr="00804124">
        <w:rPr>
          <w:rFonts w:ascii="Times New Roman" w:hAnsi="Times New Roman"/>
          <w:b/>
          <w:bCs/>
          <w:color w:val="0D0D0D" w:themeColor="text1" w:themeTint="F2"/>
          <w:sz w:val="24"/>
          <w:szCs w:val="24"/>
          <w:shd w:val="clear" w:color="auto" w:fill="FFFFFF"/>
          <w:lang w:val="sq-AL"/>
        </w:rPr>
        <w:tab/>
      </w:r>
      <w:r w:rsidRPr="00804124">
        <w:rPr>
          <w:rFonts w:ascii="Times New Roman" w:hAnsi="Times New Roman"/>
          <w:color w:val="0D0D0D" w:themeColor="text1" w:themeTint="F2"/>
          <w:sz w:val="24"/>
          <w:szCs w:val="24"/>
          <w:lang w:val="sq-AL"/>
        </w:rPr>
        <w:t xml:space="preserve">Neni 31, 32 dhe 153 e vijues të K.Pr.Civile; Neni 92, germa "a", "b" e në vijim i Kodit Civil; Nenet 115/a, 116 c vijues të K.Pr.A; Ligji nr.9967, datë 24.07.2008 "Për miratimin e Aktit Normativ me fuqinë e ligjit nr.4, datë 09.07.2008 "Për privatizimin dhe dhënien në përdorim të shoqërive tregtare dhe institucioneve shtetërore të ndërmarrjeve apo objekteve të veçanta, mjeteve kryesore dhe mjeteve të xhiros së këtyre ndërmarrjeve"; VKM nr.428, datë 9.6.2010 "Për kriteret e vlerësimit të pronës shtetërore, që privatizohet, apo transformohet dhe për procedurë </w:t>
      </w:r>
      <w:r w:rsidRPr="00804124">
        <w:rPr>
          <w:rFonts w:ascii="Times New Roman" w:hAnsi="Times New Roman"/>
          <w:color w:val="0D0D0D" w:themeColor="text1" w:themeTint="F2"/>
          <w:sz w:val="24"/>
          <w:szCs w:val="24"/>
          <w:lang w:val="sq-AL"/>
        </w:rPr>
        <w:lastRenderedPageBreak/>
        <w:t>e shitjes" me udhëzimin përkatës; VKM nr.230, datë 04.04.1998 "Për privatizimin e pjesëve të kapitalit të zotëruara nga shteti në shoqëritë me kapital të përbashkët", i ndryshuar.</w:t>
      </w:r>
    </w:p>
    <w:bookmarkEnd w:id="1"/>
    <w:p w14:paraId="3967AC88" w14:textId="77777777" w:rsidR="00882B3F" w:rsidRPr="00804124" w:rsidRDefault="00882B3F" w:rsidP="00882B3F">
      <w:pPr>
        <w:tabs>
          <w:tab w:val="left" w:pos="1800"/>
        </w:tabs>
        <w:spacing w:after="0" w:line="240" w:lineRule="auto"/>
        <w:ind w:left="2880" w:right="-153" w:hanging="2520"/>
        <w:jc w:val="both"/>
        <w:rPr>
          <w:rFonts w:ascii="Times New Roman" w:hAnsi="Times New Roman"/>
          <w:b/>
          <w:color w:val="0D0D0D" w:themeColor="text1" w:themeTint="F2"/>
          <w:sz w:val="24"/>
          <w:szCs w:val="24"/>
          <w:lang w:val="sq-AL"/>
        </w:rPr>
      </w:pPr>
    </w:p>
    <w:p w14:paraId="5952B525" w14:textId="77777777" w:rsidR="00882B3F" w:rsidRPr="00804124" w:rsidRDefault="00882B3F" w:rsidP="00882B3F">
      <w:pPr>
        <w:pStyle w:val="NormalWeb"/>
        <w:shd w:val="clear" w:color="auto" w:fill="FFFFFF"/>
        <w:tabs>
          <w:tab w:val="left" w:pos="1800"/>
        </w:tabs>
        <w:spacing w:before="0" w:beforeAutospacing="0" w:after="0" w:afterAutospacing="0"/>
        <w:ind w:left="2880" w:hanging="2880"/>
        <w:jc w:val="both"/>
        <w:rPr>
          <w:b/>
          <w:color w:val="0D0D0D" w:themeColor="text1" w:themeTint="F2"/>
          <w:lang w:val="sq-AL"/>
        </w:rPr>
      </w:pPr>
      <w:r w:rsidRPr="00804124">
        <w:rPr>
          <w:b/>
          <w:color w:val="0D0D0D" w:themeColor="text1" w:themeTint="F2"/>
          <w:lang w:val="sq-AL"/>
        </w:rPr>
        <w:t xml:space="preserve">                                    KOLEGJI ADMINISTRATIV I GJYKATËS SË LARTË</w:t>
      </w:r>
    </w:p>
    <w:p w14:paraId="54FC412E" w14:textId="77777777" w:rsidR="00882B3F" w:rsidRPr="00804124" w:rsidRDefault="00882B3F" w:rsidP="00882B3F">
      <w:pPr>
        <w:tabs>
          <w:tab w:val="left" w:pos="709"/>
          <w:tab w:val="left" w:pos="18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jc w:val="both"/>
        <w:rPr>
          <w:rFonts w:ascii="Times New Roman" w:hAnsi="Times New Roman"/>
          <w:b/>
          <w:color w:val="0D0D0D" w:themeColor="text1" w:themeTint="F2"/>
          <w:sz w:val="24"/>
          <w:szCs w:val="24"/>
          <w:lang w:val="sq-AL"/>
        </w:rPr>
      </w:pPr>
    </w:p>
    <w:p w14:paraId="6C5D5B66" w14:textId="77777777" w:rsidR="00882B3F" w:rsidRPr="00804124" w:rsidRDefault="00882B3F" w:rsidP="00882B3F">
      <w:pPr>
        <w:tabs>
          <w:tab w:val="left" w:pos="709"/>
          <w:tab w:val="left" w:pos="18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360"/>
        <w:jc w:val="both"/>
        <w:rPr>
          <w:rFonts w:ascii="Times New Roman" w:hAnsi="Times New Roman"/>
          <w:color w:val="0D0D0D" w:themeColor="text1" w:themeTint="F2"/>
          <w:sz w:val="24"/>
          <w:szCs w:val="24"/>
          <w:lang w:val="sq-AL"/>
        </w:rPr>
      </w:pPr>
      <w:r w:rsidRPr="00804124">
        <w:rPr>
          <w:rFonts w:ascii="Times New Roman" w:hAnsi="Times New Roman"/>
          <w:color w:val="0D0D0D" w:themeColor="text1" w:themeTint="F2"/>
          <w:sz w:val="24"/>
          <w:szCs w:val="24"/>
          <w:lang w:val="sq-AL"/>
        </w:rPr>
        <w:t xml:space="preserve">pasi dëgjoi relatimin e gjyqtare, Enkelejda Metaliaj (Softa) dhe si e shqyrtoi çështjen në tërësi, </w:t>
      </w:r>
    </w:p>
    <w:p w14:paraId="54884227" w14:textId="69BA4EF2" w:rsidR="00882B3F" w:rsidRPr="00804124" w:rsidRDefault="00882B3F" w:rsidP="00882B3F">
      <w:pPr>
        <w:tabs>
          <w:tab w:val="left" w:pos="180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contextualSpacing/>
        <w:jc w:val="center"/>
        <w:rPr>
          <w:rFonts w:ascii="Times New Roman" w:hAnsi="Times New Roman"/>
          <w:b/>
          <w:color w:val="0D0D0D" w:themeColor="text1" w:themeTint="F2"/>
          <w:sz w:val="24"/>
          <w:szCs w:val="24"/>
          <w:lang w:val="sq-AL"/>
        </w:rPr>
      </w:pPr>
      <w:r w:rsidRPr="00804124">
        <w:rPr>
          <w:rFonts w:ascii="Times New Roman" w:hAnsi="Times New Roman"/>
          <w:b/>
          <w:color w:val="0D0D0D" w:themeColor="text1" w:themeTint="F2"/>
          <w:sz w:val="24"/>
          <w:szCs w:val="24"/>
          <w:lang w:val="sq-AL"/>
        </w:rPr>
        <w:t>VËREN</w:t>
      </w:r>
    </w:p>
    <w:p w14:paraId="0A5EB3CE" w14:textId="77777777" w:rsidR="00882B3F" w:rsidRPr="00804124" w:rsidRDefault="00882B3F" w:rsidP="00882B3F">
      <w:pPr>
        <w:tabs>
          <w:tab w:val="left" w:pos="180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contextualSpacing/>
        <w:jc w:val="center"/>
        <w:rPr>
          <w:rFonts w:ascii="Times New Roman" w:hAnsi="Times New Roman"/>
          <w:b/>
          <w:color w:val="0D0D0D" w:themeColor="text1" w:themeTint="F2"/>
          <w:sz w:val="24"/>
          <w:szCs w:val="24"/>
          <w:lang w:val="sq-AL"/>
        </w:rPr>
      </w:pPr>
    </w:p>
    <w:p w14:paraId="6E248CF2" w14:textId="77777777" w:rsidR="00882B3F" w:rsidRPr="00804124" w:rsidRDefault="00882B3F" w:rsidP="00882B3F">
      <w:pPr>
        <w:pStyle w:val="ListParagraph"/>
        <w:keepNext/>
        <w:numPr>
          <w:ilvl w:val="0"/>
          <w:numId w:val="1"/>
        </w:numPr>
        <w:tabs>
          <w:tab w:val="left" w:pos="720"/>
          <w:tab w:val="left" w:pos="990"/>
          <w:tab w:val="left" w:pos="1800"/>
        </w:tabs>
        <w:spacing w:after="0" w:line="240" w:lineRule="auto"/>
        <w:ind w:hanging="1080"/>
        <w:jc w:val="both"/>
        <w:outlineLvl w:val="3"/>
        <w:rPr>
          <w:rFonts w:ascii="Times New Roman" w:hAnsi="Times New Roman"/>
          <w:b/>
          <w:color w:val="0D0D0D" w:themeColor="text1" w:themeTint="F2"/>
          <w:sz w:val="24"/>
          <w:szCs w:val="24"/>
          <w:lang w:val="sq-AL"/>
        </w:rPr>
      </w:pPr>
      <w:r w:rsidRPr="00804124">
        <w:rPr>
          <w:rFonts w:ascii="Times New Roman" w:hAnsi="Times New Roman"/>
          <w:b/>
          <w:color w:val="0D0D0D" w:themeColor="text1" w:themeTint="F2"/>
          <w:sz w:val="24"/>
          <w:szCs w:val="24"/>
          <w:lang w:val="sq-AL"/>
        </w:rPr>
        <w:t>Rrethanat e çështjes.</w:t>
      </w:r>
    </w:p>
    <w:p w14:paraId="0B401914" w14:textId="77777777" w:rsidR="00882B3F" w:rsidRPr="00804124" w:rsidRDefault="00882B3F" w:rsidP="00882B3F">
      <w:pPr>
        <w:tabs>
          <w:tab w:val="left" w:pos="1800"/>
        </w:tabs>
        <w:spacing w:after="0" w:line="240" w:lineRule="auto"/>
        <w:ind w:right="26" w:firstLine="360"/>
        <w:jc w:val="both"/>
        <w:rPr>
          <w:rFonts w:ascii="Times New Roman" w:hAnsi="Times New Roman"/>
          <w:color w:val="0D0D0D" w:themeColor="text1" w:themeTint="F2"/>
          <w:sz w:val="24"/>
          <w:szCs w:val="24"/>
          <w:lang w:val="sq-AL"/>
        </w:rPr>
      </w:pPr>
      <w:bookmarkStart w:id="3" w:name="_Hlk115086101"/>
    </w:p>
    <w:p w14:paraId="350EBCCE" w14:textId="77777777" w:rsidR="00882B3F" w:rsidRPr="00804124" w:rsidRDefault="00882B3F" w:rsidP="00882B3F">
      <w:pPr>
        <w:tabs>
          <w:tab w:val="left" w:pos="360"/>
          <w:tab w:val="left" w:pos="18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360"/>
        <w:jc w:val="both"/>
        <w:rPr>
          <w:rFonts w:ascii="Times New Roman" w:hAnsi="Times New Roman"/>
          <w:color w:val="0D0D0D" w:themeColor="text1" w:themeTint="F2"/>
          <w:sz w:val="24"/>
          <w:szCs w:val="24"/>
          <w:lang w:val="sq-AL"/>
        </w:rPr>
      </w:pPr>
      <w:bookmarkStart w:id="4" w:name="_Hlk145332030"/>
      <w:bookmarkStart w:id="5" w:name="_Hlk206169272"/>
      <w:r w:rsidRPr="00804124">
        <w:rPr>
          <w:rFonts w:ascii="Times New Roman" w:hAnsi="Times New Roman"/>
          <w:bCs/>
          <w:color w:val="0D0D0D" w:themeColor="text1" w:themeTint="F2"/>
          <w:sz w:val="24"/>
          <w:szCs w:val="24"/>
          <w:lang w:val="sq-AL"/>
        </w:rPr>
        <w:t xml:space="preserve">1. Nga faktet e pranuara prej gjykatave më të ulta rezulton se, </w:t>
      </w:r>
      <w:r w:rsidRPr="00804124">
        <w:rPr>
          <w:rFonts w:ascii="Times New Roman" w:hAnsi="Times New Roman"/>
          <w:color w:val="0D0D0D" w:themeColor="text1" w:themeTint="F2"/>
          <w:sz w:val="24"/>
          <w:szCs w:val="24"/>
          <w:lang w:val="sq-AL"/>
        </w:rPr>
        <w:t>sipas vendimit gjyqësor nr.3151, datë 01.06.2006 të Gjykatës së Rrethit Gjyqësor Tiranë, rezulton se paditësi Sadik Luga është njëri prej trashëgimtarëve ligjorë të trashëgimlënësit Murat Luga.</w:t>
      </w:r>
    </w:p>
    <w:p w14:paraId="116DE894" w14:textId="77777777" w:rsidR="00882B3F" w:rsidRPr="00804124" w:rsidRDefault="00882B3F" w:rsidP="00882B3F">
      <w:pPr>
        <w:tabs>
          <w:tab w:val="left" w:pos="360"/>
          <w:tab w:val="left" w:pos="18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360"/>
        <w:jc w:val="both"/>
        <w:rPr>
          <w:rFonts w:ascii="Times New Roman" w:hAnsi="Times New Roman"/>
          <w:i/>
          <w:iCs/>
          <w:color w:val="0D0D0D" w:themeColor="text1" w:themeTint="F2"/>
          <w:sz w:val="24"/>
          <w:szCs w:val="24"/>
          <w:lang w:val="sq-AL"/>
        </w:rPr>
      </w:pPr>
      <w:r w:rsidRPr="00804124">
        <w:rPr>
          <w:rFonts w:ascii="Times New Roman" w:hAnsi="Times New Roman"/>
          <w:color w:val="0D0D0D" w:themeColor="text1" w:themeTint="F2"/>
          <w:sz w:val="24"/>
          <w:szCs w:val="24"/>
          <w:lang w:val="sq-AL"/>
        </w:rPr>
        <w:t xml:space="preserve">2. Me vendimin nr.689, datë 06.09.1994, nga ana e ish-Komisionit të Kthimit dhe Kompensimit të Pronave, ish-Pronarëve të Bashkisë së Qytetit Tiranë, rezulton të jetë vendosur: </w:t>
      </w:r>
      <w:r w:rsidRPr="00804124">
        <w:rPr>
          <w:rFonts w:ascii="Times New Roman" w:hAnsi="Times New Roman"/>
          <w:i/>
          <w:iCs/>
          <w:color w:val="0D0D0D" w:themeColor="text1" w:themeTint="F2"/>
          <w:sz w:val="24"/>
          <w:szCs w:val="24"/>
          <w:lang w:val="sq-AL"/>
        </w:rPr>
        <w:t>“Të njihet pronësia e Murat Lugës mbi një truall prej 20.000 m² në bazë të nenit 1 të ligjit nr.7698, datë 15.04.1993“Për Kthimin dhe Kompensimin e Pronës ish-Pronarëve” si vijon: a)Mbështetur në nenin 4 dhe 19 të ligjit nr.7698, datë 15.04.1993, i kthen pronarit Murat Luga 5.000 m² truall të lirë; b)Mbështetur në nenin 5 të ligjit, të bëhet kompensim për sipërfaqen tjetër si më poshtë:5.000 m² kompensim i plotë (neni 5, paragrafi i parë); 10.000 m² me kompensim në masën +10% (neni 5, paragrafi i dytë).T’i njihet pronarit Murat Luga, në mbështetje të nenit 21 të ligjit nr.7698, datë 15.04.1993, e drejta e parablerjes në rastin e privatizimit të objekteve shtetërore që ndodhen në truallin e tij.”.</w:t>
      </w:r>
    </w:p>
    <w:p w14:paraId="40804304" w14:textId="77777777" w:rsidR="00882B3F" w:rsidRPr="00804124" w:rsidRDefault="00882B3F" w:rsidP="00882B3F">
      <w:pPr>
        <w:tabs>
          <w:tab w:val="left" w:pos="360"/>
          <w:tab w:val="left" w:pos="18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360"/>
        <w:jc w:val="both"/>
        <w:rPr>
          <w:rFonts w:ascii="Times New Roman" w:hAnsi="Times New Roman"/>
          <w:color w:val="0D0D0D" w:themeColor="text1" w:themeTint="F2"/>
          <w:sz w:val="24"/>
          <w:szCs w:val="24"/>
          <w:lang w:val="sq-AL"/>
        </w:rPr>
      </w:pPr>
      <w:r w:rsidRPr="00804124">
        <w:rPr>
          <w:rFonts w:ascii="Times New Roman" w:hAnsi="Times New Roman"/>
          <w:color w:val="0D0D0D" w:themeColor="text1" w:themeTint="F2"/>
          <w:sz w:val="24"/>
          <w:szCs w:val="24"/>
          <w:lang w:val="sq-AL"/>
        </w:rPr>
        <w:t xml:space="preserve">3.Rezulton se Shoqëria “Alb Italia Construzzione” SH.P.K është regjistruar në regjistrin tregtar me vendimin nr.3635 regj., datë 16.04.1993 të Gjykatës së Rrethit Gjyqësor Tiranë, me seli në rrugën “Siri Kodra” Tiranë, ish-Ndërmarrja e Ndërtimit të Linjave të Tensionit të Lartë, me kapital 131.150.000 lekë, me objekt: </w:t>
      </w:r>
      <w:r w:rsidRPr="00804124">
        <w:rPr>
          <w:rFonts w:ascii="Times New Roman" w:hAnsi="Times New Roman"/>
          <w:i/>
          <w:iCs/>
          <w:color w:val="0D0D0D" w:themeColor="text1" w:themeTint="F2"/>
          <w:sz w:val="24"/>
          <w:szCs w:val="24"/>
          <w:lang w:val="sq-AL"/>
        </w:rPr>
        <w:t xml:space="preserve">“Projektimin, ndërtime civile, industriale, linja të tensionit të lartë, etj.”. </w:t>
      </w:r>
      <w:r w:rsidRPr="00804124">
        <w:rPr>
          <w:rFonts w:ascii="Times New Roman" w:hAnsi="Times New Roman"/>
          <w:color w:val="0D0D0D" w:themeColor="text1" w:themeTint="F2"/>
          <w:sz w:val="24"/>
          <w:szCs w:val="24"/>
          <w:lang w:val="sq-AL"/>
        </w:rPr>
        <w:t xml:space="preserve">Shoqëria është krijuar me kontributin e ortakut italian, që zotëronte 60% të pjesëve dhe përqindjes së pjesëmarrjes në kapitalin themeltar dhe ortakut shtet, përfaqësuar nga Ministria e Zhvillimit Ekonomik, Tregtisë dhe Sipërmarrjes, e cila kontribuon në shoqëri me Ndërmarrjen e Ndërtimit të Linjave të Tensionit të Lartë, duke zotëruar 40% të pjesëve në kapitalin themeltar dhe 40% përqindjen e pjesëmarrjes. </w:t>
      </w:r>
    </w:p>
    <w:p w14:paraId="1397D4B6" w14:textId="77777777" w:rsidR="00882B3F" w:rsidRPr="00804124" w:rsidRDefault="00882B3F" w:rsidP="00882B3F">
      <w:pPr>
        <w:tabs>
          <w:tab w:val="left" w:pos="360"/>
          <w:tab w:val="left" w:pos="18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360"/>
        <w:jc w:val="both"/>
        <w:rPr>
          <w:rFonts w:ascii="Times New Roman" w:hAnsi="Times New Roman"/>
          <w:color w:val="0D0D0D" w:themeColor="text1" w:themeTint="F2"/>
          <w:sz w:val="24"/>
          <w:szCs w:val="24"/>
          <w:lang w:val="sq-AL"/>
        </w:rPr>
      </w:pPr>
      <w:r w:rsidRPr="00804124">
        <w:rPr>
          <w:rFonts w:ascii="Times New Roman" w:hAnsi="Times New Roman"/>
          <w:color w:val="0D0D0D" w:themeColor="text1" w:themeTint="F2"/>
          <w:sz w:val="24"/>
          <w:szCs w:val="24"/>
          <w:lang w:val="sq-AL"/>
        </w:rPr>
        <w:t>4. Me vendimin nr.3635/9, datë 20.03.2007, të Gjykatës së Rrethit Gjyqësor Tiranë janë depozituar aktet për transferimin e 60% të kuotave të ortakut italian tek blerësi Ardian Prifti, i cili, përveçse ortaku i vetëm tashmë i Shoqërisë “Alb Italia Construzzione” SH.P.K, është edhe administratori i saj. Sipas vendimit nr.3, datë 11.05.2012, Asambleja e Ortakëve të Shoqërisë “Alb Italia Construzioni” SH.P.K ka miratuar kalimin e pronësisë së kuotës 40% të pjesëve të kapitalit themeltar nëpërmjet privatizimit nga Ministria e Ekonomisë, Tregtisë dhe Energjetikës tek ortaku joshtetëror Ardian Prifti, pas shqyrtimit të propozimit të këtij të fundit. Shitja e pjesëve të kapitalit shtetëror bazohet në miratimin e Ministrisë së Ekonomisë, Tregtisë dhe Energjetikës sipas shkresës nr.4553/1 prot., datë 11.05.2012.</w:t>
      </w:r>
    </w:p>
    <w:p w14:paraId="42C7FEF1" w14:textId="77777777" w:rsidR="00882B3F" w:rsidRPr="00804124" w:rsidRDefault="00882B3F" w:rsidP="00882B3F">
      <w:pPr>
        <w:tabs>
          <w:tab w:val="left" w:pos="360"/>
          <w:tab w:val="left" w:pos="18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360"/>
        <w:jc w:val="both"/>
        <w:rPr>
          <w:rFonts w:ascii="Times New Roman" w:hAnsi="Times New Roman"/>
          <w:color w:val="0D0D0D" w:themeColor="text1" w:themeTint="F2"/>
          <w:sz w:val="24"/>
          <w:szCs w:val="24"/>
          <w:lang w:val="sq-AL"/>
        </w:rPr>
      </w:pPr>
      <w:r w:rsidRPr="00804124">
        <w:rPr>
          <w:rFonts w:ascii="Times New Roman" w:hAnsi="Times New Roman"/>
          <w:color w:val="0D0D0D" w:themeColor="text1" w:themeTint="F2"/>
          <w:sz w:val="24"/>
          <w:szCs w:val="24"/>
          <w:lang w:val="sq-AL"/>
        </w:rPr>
        <w:t>5. Sipas shkresës nr.59954/8,datë 17.09.2012 të Ministrisë së Ekonomisë, Tregtisë dhe Energjetikës, vlera totale e pjesës së kapitalit themeltar prej 40% e zotëruar nga shteti në shoqërinë “Alb Italia Construzzione” SH.P.K, është 52.460.000 lekë. Vlerësimi i pjesëve të kapitalit të shoqërisë është bërë nga një ekspert kontabël i autorizuar dhe një eksperte vlerësuese e pasurive të paluajtshme në datë 25.06.2012, vlerësim i cili është miratuar sipas vendimit datë 27.06.2012 nga Asambleja e Ortakëve të Shoqërisë “Alb Italia Construzioni” SH.P.K.</w:t>
      </w:r>
    </w:p>
    <w:p w14:paraId="0D8C3F91" w14:textId="77777777" w:rsidR="00882B3F" w:rsidRPr="00804124" w:rsidRDefault="00882B3F" w:rsidP="00882B3F">
      <w:pPr>
        <w:tabs>
          <w:tab w:val="left" w:pos="360"/>
          <w:tab w:val="left" w:pos="18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360"/>
        <w:jc w:val="both"/>
        <w:rPr>
          <w:rFonts w:ascii="Times New Roman" w:hAnsi="Times New Roman"/>
          <w:color w:val="0D0D0D" w:themeColor="text1" w:themeTint="F2"/>
          <w:sz w:val="24"/>
          <w:szCs w:val="24"/>
          <w:lang w:val="sq-AL"/>
        </w:rPr>
      </w:pPr>
      <w:r w:rsidRPr="00804124">
        <w:rPr>
          <w:rFonts w:ascii="Times New Roman" w:hAnsi="Times New Roman"/>
          <w:color w:val="0D0D0D" w:themeColor="text1" w:themeTint="F2"/>
          <w:sz w:val="24"/>
          <w:szCs w:val="24"/>
          <w:lang w:val="sq-AL"/>
        </w:rPr>
        <w:lastRenderedPageBreak/>
        <w:t>6. Sipas shkresës nr.1852 prot., datë 26.11.2012 të Drejtorisë së Administrimit dhe Shitjes së Pronave Publike, rezulton se vlera totale e pjesës së kapitalit themeltar prej 40% e zotëruar nga shteti në Shoqërinë “Alb Italia Construzzione” SH.P.K, pas ankandit, është 52.460.000 lekë, duke autorizuar shitjen e këtyre pjesëve Ardian Prifti, si fitues i ankandit të zhvilluar në Drejtorinë e Administrimit dhe Shitjes së Pronave Publike më datë 23.11.2012.</w:t>
      </w:r>
    </w:p>
    <w:p w14:paraId="586F5340" w14:textId="77777777" w:rsidR="00882B3F" w:rsidRPr="00804124" w:rsidRDefault="00882B3F" w:rsidP="00882B3F">
      <w:pPr>
        <w:tabs>
          <w:tab w:val="left" w:pos="360"/>
          <w:tab w:val="left" w:pos="18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360"/>
        <w:jc w:val="both"/>
        <w:rPr>
          <w:rFonts w:ascii="Times New Roman" w:hAnsi="Times New Roman"/>
          <w:color w:val="0D0D0D" w:themeColor="text1" w:themeTint="F2"/>
          <w:sz w:val="24"/>
          <w:szCs w:val="24"/>
          <w:lang w:val="sq-AL"/>
        </w:rPr>
      </w:pPr>
      <w:r w:rsidRPr="00804124">
        <w:rPr>
          <w:rFonts w:ascii="Times New Roman" w:hAnsi="Times New Roman"/>
          <w:color w:val="0D0D0D" w:themeColor="text1" w:themeTint="F2"/>
          <w:sz w:val="24"/>
          <w:szCs w:val="24"/>
          <w:lang w:val="sq-AL"/>
        </w:rPr>
        <w:t>7. Me kontratën e shitjes nr.556 rep.,nr.268 kol.,datë 20.12.2012, rezulton se pala shitëse, Drejtoria e Administrimit dhe Shitjes së Pronave Publike pranë Ministrisë së Financave (si përfaqësuese e ortakut shtet), i ka shitur kuotat e zotëruara nga shteti prej 40% palës blerëse, që është ortaku i Shoqërisë “Alb Italia Construzioni” SH.P.K. Në këtë kontratë citohet se, objekt i kontratës është shitja e kuotave të zotëruara nga shteti me vlerë 52.460.000 lekë, që përfaqëson 40% të kuotave të kapitalit shtetëror në këtë shoqëri. Pjesë e kapitalit shtetëror që shitet dhe që është objekt i kësaj kontrate është edhe sipërfaqja e truallit prej 6,459 m² me vlerë 168.818.883 lekë. Vlera e kapitalit shtetëror për shitje është 52.460.000 lekë. Pas kësaj shitjeje, i gjithë kapitali shtetëror i ka kaluar ortakut tjetër, Ardian Prifti, i cili mbetet ortaku i vetëm i Shoqërisë “Alb Italia Construzzione” SH.P.K, duke zotëruar 100% të pjesëve të kapitalit.</w:t>
      </w:r>
    </w:p>
    <w:p w14:paraId="41D99338" w14:textId="77777777" w:rsidR="00882B3F" w:rsidRPr="00804124" w:rsidRDefault="00882B3F" w:rsidP="00882B3F">
      <w:pPr>
        <w:tabs>
          <w:tab w:val="left" w:pos="360"/>
          <w:tab w:val="left" w:pos="18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360"/>
        <w:jc w:val="both"/>
        <w:rPr>
          <w:rFonts w:ascii="Times New Roman" w:hAnsi="Times New Roman"/>
          <w:color w:val="0D0D0D" w:themeColor="text1" w:themeTint="F2"/>
          <w:sz w:val="24"/>
          <w:szCs w:val="24"/>
          <w:lang w:val="sq-AL"/>
        </w:rPr>
      </w:pPr>
      <w:r w:rsidRPr="00804124">
        <w:rPr>
          <w:rFonts w:ascii="Times New Roman" w:hAnsi="Times New Roman"/>
          <w:color w:val="0D0D0D" w:themeColor="text1" w:themeTint="F2"/>
          <w:sz w:val="24"/>
          <w:szCs w:val="24"/>
          <w:lang w:val="sq-AL"/>
        </w:rPr>
        <w:t>8. Sipas shkresës nr.15033/1 prot., datë 09.10.2012 të Zyrës Vendore të Regjistrimit të Pasurive të Paluajtshme, rezulton se pasuria me nr.8/231 është e regjistruar në emër të “Alb Italia Construzione” SH.P.K me sipërfaqe trualli 6,459 m² dhe sipërfaqe ndërtimi 6,022 m², e hapur në vol. 8, faqe 128, zona kadastrale 8340.</w:t>
      </w:r>
    </w:p>
    <w:p w14:paraId="52F1A46F" w14:textId="77777777" w:rsidR="00882B3F" w:rsidRPr="00804124" w:rsidRDefault="00882B3F" w:rsidP="00882B3F">
      <w:pPr>
        <w:tabs>
          <w:tab w:val="left" w:pos="360"/>
          <w:tab w:val="left" w:pos="18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360"/>
        <w:jc w:val="both"/>
        <w:rPr>
          <w:rFonts w:ascii="Times New Roman" w:hAnsi="Times New Roman"/>
          <w:color w:val="0D0D0D" w:themeColor="text1" w:themeTint="F2"/>
          <w:sz w:val="24"/>
          <w:szCs w:val="24"/>
          <w:lang w:val="sq-AL"/>
        </w:rPr>
      </w:pPr>
      <w:r w:rsidRPr="00804124">
        <w:rPr>
          <w:rFonts w:ascii="Times New Roman" w:hAnsi="Times New Roman"/>
          <w:color w:val="0D0D0D" w:themeColor="text1" w:themeTint="F2"/>
          <w:sz w:val="24"/>
          <w:szCs w:val="24"/>
          <w:lang w:val="sq-AL"/>
        </w:rPr>
        <w:t xml:space="preserve">9. Pala paditëse në datë 10.04.2013 iu drejtua me padi </w:t>
      </w:r>
      <w:bookmarkStart w:id="6" w:name="_Hlk206168252"/>
      <w:r w:rsidRPr="00804124">
        <w:rPr>
          <w:rFonts w:ascii="Times New Roman" w:hAnsi="Times New Roman"/>
          <w:bCs/>
          <w:color w:val="0D0D0D" w:themeColor="text1" w:themeTint="F2"/>
          <w:sz w:val="24"/>
          <w:szCs w:val="24"/>
          <w:lang w:val="sq-AL"/>
        </w:rPr>
        <w:t xml:space="preserve">Gjykatës së Rrethit Gjyqësor </w:t>
      </w:r>
      <w:r w:rsidRPr="00804124">
        <w:rPr>
          <w:rFonts w:ascii="Times New Roman" w:hAnsi="Times New Roman"/>
          <w:bCs/>
          <w:color w:val="0D0D0D" w:themeColor="text1" w:themeTint="F2"/>
          <w:sz w:val="24"/>
          <w:szCs w:val="24"/>
          <w:lang w:val="sq-AL" w:eastAsia="sq-AL"/>
        </w:rPr>
        <w:t>Tiran</w:t>
      </w:r>
      <w:r w:rsidRPr="00804124">
        <w:rPr>
          <w:rFonts w:ascii="Times New Roman" w:hAnsi="Times New Roman"/>
          <w:color w:val="0D0D0D" w:themeColor="text1" w:themeTint="F2"/>
          <w:sz w:val="24"/>
          <w:szCs w:val="24"/>
          <w:shd w:val="clear" w:color="auto" w:fill="FFFFFF"/>
          <w:lang w:val="sq-AL"/>
        </w:rPr>
        <w:t>ë</w:t>
      </w:r>
      <w:bookmarkEnd w:id="6"/>
      <w:r w:rsidRPr="00804124">
        <w:rPr>
          <w:rFonts w:ascii="Times New Roman" w:hAnsi="Times New Roman"/>
          <w:color w:val="0D0D0D" w:themeColor="text1" w:themeTint="F2"/>
          <w:sz w:val="24"/>
          <w:szCs w:val="24"/>
          <w:lang w:val="sq-AL"/>
        </w:rPr>
        <w:t>, duke pretenduar se pala e paditur ka vepruar në kundërshtim me ligjin dhe kërkon pranimin e padisë, sipas objektit të saj.</w:t>
      </w:r>
    </w:p>
    <w:p w14:paraId="1B3E0F0B" w14:textId="77777777" w:rsidR="00882B3F" w:rsidRPr="00804124" w:rsidRDefault="00882B3F" w:rsidP="00882B3F">
      <w:pPr>
        <w:tabs>
          <w:tab w:val="left" w:pos="1800"/>
        </w:tabs>
        <w:spacing w:after="0" w:line="240" w:lineRule="auto"/>
        <w:ind w:firstLine="360"/>
        <w:jc w:val="both"/>
        <w:rPr>
          <w:rFonts w:ascii="Times New Roman" w:hAnsi="Times New Roman"/>
          <w:i/>
          <w:iCs/>
          <w:color w:val="0D0D0D" w:themeColor="text1" w:themeTint="F2"/>
          <w:sz w:val="24"/>
          <w:szCs w:val="24"/>
          <w:lang w:val="sq-AL"/>
        </w:rPr>
      </w:pPr>
      <w:r w:rsidRPr="00804124">
        <w:rPr>
          <w:rFonts w:ascii="Times New Roman" w:hAnsi="Times New Roman"/>
          <w:color w:val="0D0D0D" w:themeColor="text1" w:themeTint="F2"/>
          <w:sz w:val="24"/>
          <w:szCs w:val="24"/>
          <w:lang w:val="sq-AL"/>
        </w:rPr>
        <w:t>10.</w:t>
      </w:r>
      <w:r w:rsidRPr="00804124">
        <w:rPr>
          <w:rFonts w:ascii="Times New Roman" w:hAnsi="Times New Roman"/>
          <w:b/>
          <w:bCs/>
          <w:color w:val="0D0D0D" w:themeColor="text1" w:themeTint="F2"/>
          <w:sz w:val="24"/>
          <w:szCs w:val="24"/>
          <w:lang w:val="sq-AL"/>
        </w:rPr>
        <w:t xml:space="preserve"> Gjykata e Rrethit Gjyqësor Tiranë</w:t>
      </w:r>
      <w:r w:rsidRPr="00804124">
        <w:rPr>
          <w:rFonts w:ascii="Times New Roman" w:hAnsi="Times New Roman"/>
          <w:color w:val="0D0D0D" w:themeColor="text1" w:themeTint="F2"/>
          <w:sz w:val="24"/>
          <w:szCs w:val="24"/>
          <w:lang w:val="sq-AL"/>
        </w:rPr>
        <w:t>,</w:t>
      </w:r>
      <w:r w:rsidRPr="00804124">
        <w:rPr>
          <w:rFonts w:ascii="Times New Roman" w:hAnsi="Times New Roman"/>
          <w:b/>
          <w:bCs/>
          <w:color w:val="0D0D0D" w:themeColor="text1" w:themeTint="F2"/>
          <w:sz w:val="24"/>
          <w:szCs w:val="24"/>
          <w:lang w:val="sq-AL"/>
        </w:rPr>
        <w:t xml:space="preserve"> </w:t>
      </w:r>
      <w:r w:rsidRPr="00804124">
        <w:rPr>
          <w:rFonts w:ascii="Times New Roman" w:hAnsi="Times New Roman"/>
          <w:color w:val="0D0D0D" w:themeColor="text1" w:themeTint="F2"/>
          <w:sz w:val="24"/>
          <w:szCs w:val="24"/>
          <w:lang w:val="sq-AL"/>
        </w:rPr>
        <w:t>me vendimin nr.1455, datë 03.02.2014, ka vendosur:</w:t>
      </w:r>
      <w:r w:rsidRPr="00804124">
        <w:rPr>
          <w:rFonts w:ascii="Times New Roman" w:hAnsi="Times New Roman"/>
          <w:i/>
          <w:iCs/>
          <w:color w:val="0D0D0D" w:themeColor="text1" w:themeTint="F2"/>
          <w:sz w:val="24"/>
          <w:szCs w:val="24"/>
          <w:lang w:val="sq-AL"/>
        </w:rPr>
        <w:t>“Shpalljen e moskompetencës lëndore dhe dërgimin e akteve Gjykatës Administrative të Shkallës së Parë Tiranë”.</w:t>
      </w:r>
    </w:p>
    <w:p w14:paraId="36D3CEDF" w14:textId="747D68A0" w:rsidR="00882B3F" w:rsidRPr="00804124" w:rsidRDefault="00882B3F" w:rsidP="00882B3F">
      <w:pPr>
        <w:tabs>
          <w:tab w:val="left" w:pos="1800"/>
        </w:tabs>
        <w:spacing w:after="0" w:line="240" w:lineRule="auto"/>
        <w:ind w:firstLine="360"/>
        <w:jc w:val="both"/>
        <w:rPr>
          <w:rFonts w:ascii="Times New Roman" w:hAnsi="Times New Roman"/>
          <w:color w:val="0D0D0D" w:themeColor="text1" w:themeTint="F2"/>
          <w:sz w:val="24"/>
          <w:szCs w:val="24"/>
          <w:lang w:val="sq-AL"/>
        </w:rPr>
      </w:pPr>
      <w:r w:rsidRPr="00804124">
        <w:rPr>
          <w:rFonts w:ascii="Times New Roman" w:hAnsi="Times New Roman"/>
          <w:color w:val="0D0D0D" w:themeColor="text1" w:themeTint="F2"/>
          <w:sz w:val="24"/>
          <w:szCs w:val="24"/>
          <w:lang w:val="sq-AL"/>
        </w:rPr>
        <w:t>11. Kundër këtij vendimi ka ushtruar ankim të veçantë në Gjykatën e Lartë pala e paditur Ardian Prifti. Gjykata e Lart</w:t>
      </w:r>
      <w:r w:rsidR="00E31CD5" w:rsidRPr="00804124">
        <w:rPr>
          <w:rFonts w:ascii="Times New Roman" w:hAnsi="Times New Roman"/>
          <w:color w:val="0D0D0D" w:themeColor="text1" w:themeTint="F2"/>
          <w:sz w:val="24"/>
          <w:szCs w:val="24"/>
          <w:lang w:val="sq-AL"/>
        </w:rPr>
        <w:t>ë</w:t>
      </w:r>
      <w:r w:rsidRPr="00804124">
        <w:rPr>
          <w:rFonts w:ascii="Times New Roman" w:hAnsi="Times New Roman"/>
          <w:color w:val="0D0D0D" w:themeColor="text1" w:themeTint="F2"/>
          <w:sz w:val="24"/>
          <w:szCs w:val="24"/>
          <w:lang w:val="sq-AL"/>
        </w:rPr>
        <w:t xml:space="preserve"> me vendimin nr.00-2014-1155 (36), datë 20.05.2014, ka vendosur; ”</w:t>
      </w:r>
      <w:r w:rsidRPr="00804124">
        <w:rPr>
          <w:rFonts w:ascii="Times New Roman" w:hAnsi="Times New Roman"/>
          <w:i/>
          <w:iCs/>
          <w:color w:val="0D0D0D" w:themeColor="text1" w:themeTint="F2"/>
          <w:sz w:val="24"/>
          <w:szCs w:val="24"/>
          <w:lang w:val="sq-AL"/>
        </w:rPr>
        <w:t>Lënien në fuqi të vendimit nr.1455, datë 03.02.2014 të Gjykatës së Rrethit Gjyqësor Tiranë”.</w:t>
      </w:r>
    </w:p>
    <w:p w14:paraId="76B40B7D" w14:textId="77777777" w:rsidR="00882B3F" w:rsidRPr="00804124" w:rsidRDefault="00882B3F" w:rsidP="00882B3F">
      <w:pPr>
        <w:tabs>
          <w:tab w:val="left" w:pos="1800"/>
        </w:tabs>
        <w:spacing w:after="0" w:line="240" w:lineRule="auto"/>
        <w:ind w:firstLine="360"/>
        <w:jc w:val="both"/>
        <w:rPr>
          <w:rFonts w:ascii="Times New Roman" w:hAnsi="Times New Roman"/>
          <w:i/>
          <w:iCs/>
          <w:color w:val="0D0D0D" w:themeColor="text1" w:themeTint="F2"/>
          <w:sz w:val="24"/>
          <w:szCs w:val="24"/>
          <w:lang w:val="sq-AL"/>
        </w:rPr>
      </w:pPr>
      <w:r w:rsidRPr="00804124">
        <w:rPr>
          <w:rFonts w:ascii="Times New Roman" w:hAnsi="Times New Roman"/>
          <w:color w:val="0D0D0D" w:themeColor="text1" w:themeTint="F2"/>
          <w:sz w:val="24"/>
          <w:szCs w:val="24"/>
          <w:lang w:val="sq-AL"/>
        </w:rPr>
        <w:t>12.</w:t>
      </w:r>
      <w:r w:rsidRPr="00804124">
        <w:rPr>
          <w:rFonts w:ascii="Times New Roman" w:hAnsi="Times New Roman"/>
          <w:b/>
          <w:bCs/>
          <w:color w:val="0D0D0D" w:themeColor="text1" w:themeTint="F2"/>
          <w:sz w:val="24"/>
          <w:szCs w:val="24"/>
          <w:lang w:val="sq-AL"/>
        </w:rPr>
        <w:t xml:space="preserve"> Gjykata Administrative e Shkallës së Parë Tiranë</w:t>
      </w:r>
      <w:r w:rsidRPr="00804124">
        <w:rPr>
          <w:rFonts w:ascii="Times New Roman" w:hAnsi="Times New Roman"/>
          <w:color w:val="0D0D0D" w:themeColor="text1" w:themeTint="F2"/>
          <w:sz w:val="24"/>
          <w:szCs w:val="24"/>
          <w:lang w:val="sq-AL"/>
        </w:rPr>
        <w:t>,</w:t>
      </w:r>
      <w:r w:rsidRPr="00804124">
        <w:rPr>
          <w:rFonts w:ascii="Times New Roman" w:hAnsi="Times New Roman"/>
          <w:b/>
          <w:bCs/>
          <w:color w:val="0D0D0D" w:themeColor="text1" w:themeTint="F2"/>
          <w:sz w:val="24"/>
          <w:szCs w:val="24"/>
          <w:lang w:val="sq-AL"/>
        </w:rPr>
        <w:t xml:space="preserve"> </w:t>
      </w:r>
      <w:r w:rsidRPr="00804124">
        <w:rPr>
          <w:rFonts w:ascii="Times New Roman" w:hAnsi="Times New Roman"/>
          <w:bCs/>
          <w:color w:val="0D0D0D" w:themeColor="text1" w:themeTint="F2"/>
          <w:sz w:val="24"/>
          <w:szCs w:val="24"/>
          <w:lang w:val="sq-AL"/>
        </w:rPr>
        <w:t xml:space="preserve">me vendimin </w:t>
      </w:r>
      <w:r w:rsidRPr="00804124">
        <w:rPr>
          <w:rFonts w:ascii="Times New Roman" w:hAnsi="Times New Roman"/>
          <w:color w:val="0D0D0D" w:themeColor="text1" w:themeTint="F2"/>
          <w:sz w:val="24"/>
          <w:szCs w:val="24"/>
          <w:lang w:val="sq-AL"/>
        </w:rPr>
        <w:t>nr.2511, datë 11.05.2015</w:t>
      </w:r>
      <w:r w:rsidRPr="00804124">
        <w:rPr>
          <w:rFonts w:ascii="Times New Roman" w:hAnsi="Times New Roman"/>
          <w:bCs/>
          <w:color w:val="0D0D0D" w:themeColor="text1" w:themeTint="F2"/>
          <w:sz w:val="24"/>
          <w:szCs w:val="24"/>
          <w:lang w:val="sq-AL"/>
        </w:rPr>
        <w:t xml:space="preserve">, ka vendosur: </w:t>
      </w:r>
      <w:r w:rsidRPr="00804124">
        <w:rPr>
          <w:rFonts w:ascii="Times New Roman" w:hAnsi="Times New Roman"/>
          <w:i/>
          <w:color w:val="0D0D0D" w:themeColor="text1" w:themeTint="F2"/>
          <w:sz w:val="24"/>
          <w:szCs w:val="24"/>
          <w:lang w:val="sq-AL"/>
        </w:rPr>
        <w:t>“Rr</w:t>
      </w:r>
      <w:r w:rsidRPr="00804124">
        <w:rPr>
          <w:rFonts w:ascii="Times New Roman" w:hAnsi="Times New Roman"/>
          <w:bCs/>
          <w:i/>
          <w:color w:val="0D0D0D" w:themeColor="text1" w:themeTint="F2"/>
          <w:sz w:val="24"/>
          <w:szCs w:val="24"/>
          <w:lang w:val="sq-AL"/>
        </w:rPr>
        <w:t xml:space="preserve">ëzimin </w:t>
      </w:r>
      <w:r w:rsidRPr="00804124">
        <w:rPr>
          <w:rFonts w:ascii="Times New Roman" w:hAnsi="Times New Roman"/>
          <w:i/>
          <w:color w:val="0D0D0D" w:themeColor="text1" w:themeTint="F2"/>
          <w:sz w:val="24"/>
          <w:szCs w:val="24"/>
          <w:lang w:val="sq-AL"/>
        </w:rPr>
        <w:t>e kërkesë padisë [...]”.</w:t>
      </w:r>
    </w:p>
    <w:p w14:paraId="7429A960" w14:textId="77777777" w:rsidR="00882B3F" w:rsidRPr="00804124" w:rsidRDefault="00882B3F" w:rsidP="00882B3F">
      <w:pPr>
        <w:tabs>
          <w:tab w:val="left" w:pos="341"/>
          <w:tab w:val="left" w:pos="1294"/>
          <w:tab w:val="left" w:pos="1800"/>
          <w:tab w:val="left" w:leader="underscore" w:pos="3610"/>
          <w:tab w:val="left" w:pos="5682"/>
          <w:tab w:val="left" w:pos="7770"/>
        </w:tabs>
        <w:spacing w:after="0" w:line="240" w:lineRule="auto"/>
        <w:ind w:firstLine="360"/>
        <w:jc w:val="both"/>
        <w:rPr>
          <w:rFonts w:ascii="Times New Roman" w:hAnsi="Times New Roman"/>
          <w:color w:val="0D0D0D" w:themeColor="text1" w:themeTint="F2"/>
          <w:sz w:val="24"/>
          <w:szCs w:val="24"/>
          <w:lang w:val="sq-AL"/>
        </w:rPr>
      </w:pPr>
      <w:r w:rsidRPr="00804124">
        <w:rPr>
          <w:rFonts w:ascii="Times New Roman" w:hAnsi="Times New Roman"/>
          <w:color w:val="0D0D0D" w:themeColor="text1" w:themeTint="F2"/>
          <w:sz w:val="24"/>
          <w:szCs w:val="24"/>
          <w:lang w:val="sq-AL"/>
        </w:rPr>
        <w:t xml:space="preserve">12.1. Gjykata ka konkluduar në vendimmarrjen e saj se, </w:t>
      </w:r>
      <w:r w:rsidRPr="00804124">
        <w:rPr>
          <w:rFonts w:ascii="Times New Roman" w:hAnsi="Times New Roman"/>
          <w:i/>
          <w:color w:val="0D0D0D" w:themeColor="text1" w:themeTint="F2"/>
          <w:sz w:val="24"/>
          <w:szCs w:val="24"/>
          <w:lang w:val="sq-AL"/>
        </w:rPr>
        <w:t>[...]</w:t>
      </w:r>
      <w:bookmarkEnd w:id="4"/>
      <w:r w:rsidRPr="00804124">
        <w:rPr>
          <w:rFonts w:ascii="Times New Roman" w:hAnsi="Times New Roman"/>
          <w:i/>
          <w:color w:val="0D0D0D" w:themeColor="text1" w:themeTint="F2"/>
          <w:sz w:val="24"/>
          <w:szCs w:val="24"/>
          <w:lang w:val="sq-AL"/>
        </w:rPr>
        <w:t xml:space="preserve"> </w:t>
      </w:r>
      <w:r w:rsidRPr="00804124">
        <w:rPr>
          <w:rFonts w:ascii="Times New Roman" w:hAnsi="Times New Roman"/>
          <w:color w:val="0D0D0D" w:themeColor="text1" w:themeTint="F2"/>
          <w:sz w:val="24"/>
          <w:szCs w:val="24"/>
          <w:lang w:val="sq-AL"/>
        </w:rPr>
        <w:t xml:space="preserve">Sipas kontratës së shitjes nr.556 rep., nr.268 kol., datë 20.12.2012, shitja e pjesëve (kuotave) të kapitalit shtetëror është bërë </w:t>
      </w:r>
      <w:r w:rsidRPr="00804124">
        <w:rPr>
          <w:rFonts w:ascii="Times New Roman" w:hAnsi="Times New Roman"/>
          <w:bCs/>
          <w:color w:val="0D0D0D" w:themeColor="text1" w:themeTint="F2"/>
          <w:sz w:val="24"/>
          <w:szCs w:val="24"/>
          <w:lang w:val="sq-AL"/>
        </w:rPr>
        <w:t>brenda Shoqërisë “Alb Italia Construzioni” SH.P.K.</w:t>
      </w:r>
      <w:r w:rsidRPr="00804124">
        <w:rPr>
          <w:rFonts w:ascii="Times New Roman" w:hAnsi="Times New Roman"/>
          <w:color w:val="0D0D0D" w:themeColor="text1" w:themeTint="F2"/>
          <w:sz w:val="24"/>
          <w:szCs w:val="24"/>
          <w:lang w:val="sq-AL"/>
        </w:rPr>
        <w:t xml:space="preserve">, nga njëri ortak te tjetri, dhe ortaku joshtetëror është shprehur dakord me blerjen, sipas vendimit nr.3,datë 11.05.2012 të Asamblesë së Ortakëve të Shoqërisë “Alb Italia Construzioni” SH.P.K., me të cilin është miratuar kalimi në pronësi i kuotës 40% të pjesëve të kapitalit themeltar, nëpërmjet privatizimit nga </w:t>
      </w:r>
      <w:r w:rsidRPr="00804124">
        <w:rPr>
          <w:rFonts w:ascii="Times New Roman" w:hAnsi="Times New Roman"/>
          <w:bCs/>
          <w:color w:val="0D0D0D" w:themeColor="text1" w:themeTint="F2"/>
          <w:sz w:val="24"/>
          <w:szCs w:val="24"/>
          <w:lang w:val="sq-AL"/>
        </w:rPr>
        <w:t>Ministria e Ekonomisë, Tregtisë dhe Energjitikës</w:t>
      </w:r>
      <w:r w:rsidRPr="00804124">
        <w:rPr>
          <w:rFonts w:ascii="Times New Roman" w:hAnsi="Times New Roman"/>
          <w:color w:val="0D0D0D" w:themeColor="text1" w:themeTint="F2"/>
          <w:sz w:val="24"/>
          <w:szCs w:val="24"/>
          <w:lang w:val="sq-AL"/>
        </w:rPr>
        <w:t xml:space="preserve"> te ortaku joshtetëror Ardian Prifti, pas shqyrtimit të propozimit të këtij të fundit, ndonëse me çmimin e ankandit.</w:t>
      </w:r>
      <w:r w:rsidRPr="00804124">
        <w:rPr>
          <w:rFonts w:ascii="Times New Roman" w:hAnsi="Times New Roman"/>
          <w:i/>
          <w:color w:val="0D0D0D" w:themeColor="text1" w:themeTint="F2"/>
          <w:sz w:val="24"/>
          <w:szCs w:val="24"/>
          <w:lang w:val="sq-AL"/>
        </w:rPr>
        <w:t xml:space="preserve"> </w:t>
      </w:r>
      <w:r w:rsidRPr="00804124">
        <w:rPr>
          <w:rFonts w:ascii="Times New Roman" w:hAnsi="Times New Roman"/>
          <w:color w:val="0D0D0D" w:themeColor="text1" w:themeTint="F2"/>
          <w:sz w:val="24"/>
          <w:szCs w:val="24"/>
          <w:lang w:val="sq-AL"/>
        </w:rPr>
        <w:t xml:space="preserve">Gjithashtu, gjykata ka konstatuar se trualli ka qenë i përfshirë në kapitalin e shoqërisë, </w:t>
      </w:r>
      <w:r w:rsidRPr="00804124">
        <w:rPr>
          <w:rFonts w:ascii="Times New Roman" w:hAnsi="Times New Roman"/>
          <w:bCs/>
          <w:color w:val="0D0D0D" w:themeColor="text1" w:themeTint="F2"/>
          <w:sz w:val="24"/>
          <w:szCs w:val="24"/>
          <w:lang w:val="sq-AL"/>
        </w:rPr>
        <w:t>i vlerësuar me akt ekspertimi dhe i regjistruar me vendim gjykate</w:t>
      </w:r>
      <w:r w:rsidRPr="00804124">
        <w:rPr>
          <w:rFonts w:ascii="Times New Roman" w:hAnsi="Times New Roman"/>
          <w:color w:val="0D0D0D" w:themeColor="text1" w:themeTint="F2"/>
          <w:sz w:val="24"/>
          <w:szCs w:val="24"/>
          <w:lang w:val="sq-AL"/>
        </w:rPr>
        <w:t xml:space="preserve">, i cili nuk është kontestuar asnjëherë. Me vendimin nr.689, datë 06.09.1994 të KKKPP Tiranë, </w:t>
      </w:r>
      <w:r w:rsidRPr="00804124">
        <w:rPr>
          <w:rFonts w:ascii="Times New Roman" w:hAnsi="Times New Roman"/>
          <w:bCs/>
          <w:color w:val="0D0D0D" w:themeColor="text1" w:themeTint="F2"/>
          <w:sz w:val="24"/>
          <w:szCs w:val="24"/>
          <w:lang w:val="sq-AL"/>
        </w:rPr>
        <w:t>i është njohur trashëgimtarëve të Murat Lugës</w:t>
      </w:r>
      <w:r w:rsidRPr="00804124">
        <w:rPr>
          <w:rFonts w:ascii="Times New Roman" w:hAnsi="Times New Roman"/>
          <w:color w:val="0D0D0D" w:themeColor="text1" w:themeTint="F2"/>
          <w:sz w:val="24"/>
          <w:szCs w:val="24"/>
          <w:lang w:val="sq-AL"/>
        </w:rPr>
        <w:t xml:space="preserve">, në mbështetje të nenit 21 të ligjit nr.7698, datë 15.04.1993, </w:t>
      </w:r>
      <w:r w:rsidRPr="00804124">
        <w:rPr>
          <w:rFonts w:ascii="Times New Roman" w:hAnsi="Times New Roman"/>
          <w:bCs/>
          <w:color w:val="0D0D0D" w:themeColor="text1" w:themeTint="F2"/>
          <w:sz w:val="24"/>
          <w:szCs w:val="24"/>
          <w:lang w:val="sq-AL"/>
        </w:rPr>
        <w:t>e drejta e parablerjes</w:t>
      </w:r>
      <w:r w:rsidRPr="00804124">
        <w:rPr>
          <w:rFonts w:ascii="Times New Roman" w:hAnsi="Times New Roman"/>
          <w:color w:val="0D0D0D" w:themeColor="text1" w:themeTint="F2"/>
          <w:sz w:val="24"/>
          <w:szCs w:val="24"/>
          <w:lang w:val="sq-AL"/>
        </w:rPr>
        <w:t xml:space="preserve"> në rastin e privatizimit të objekteve shtetërore që ndodhen në truallin e tij.</w:t>
      </w:r>
      <w:r w:rsidRPr="00804124">
        <w:rPr>
          <w:rFonts w:ascii="Times New Roman" w:hAnsi="Times New Roman"/>
          <w:i/>
          <w:color w:val="0D0D0D" w:themeColor="text1" w:themeTint="F2"/>
          <w:sz w:val="24"/>
          <w:szCs w:val="24"/>
          <w:lang w:val="sq-AL"/>
        </w:rPr>
        <w:t xml:space="preserve"> </w:t>
      </w:r>
      <w:r w:rsidRPr="00804124">
        <w:rPr>
          <w:rFonts w:ascii="Times New Roman" w:hAnsi="Times New Roman"/>
          <w:color w:val="0D0D0D" w:themeColor="text1" w:themeTint="F2"/>
          <w:sz w:val="24"/>
          <w:szCs w:val="24"/>
          <w:lang w:val="sq-AL"/>
        </w:rPr>
        <w:t xml:space="preserve">Sipas shkresës nr.15033/1 prot., datë 09.10.2012 të ZRPP-së, ka rezultuar se pasuria me nr.8/231 është e regjistruar në emër të “Alb Italia Construzioni” SH.P.K., me sipërfaqe trualli </w:t>
      </w:r>
      <w:r w:rsidRPr="00804124">
        <w:rPr>
          <w:rFonts w:ascii="Times New Roman" w:hAnsi="Times New Roman"/>
          <w:bCs/>
          <w:color w:val="0D0D0D" w:themeColor="text1" w:themeTint="F2"/>
          <w:sz w:val="24"/>
          <w:szCs w:val="24"/>
          <w:lang w:val="sq-AL"/>
        </w:rPr>
        <w:t>6,459 m²</w:t>
      </w:r>
      <w:r w:rsidRPr="00804124">
        <w:rPr>
          <w:rFonts w:ascii="Times New Roman" w:hAnsi="Times New Roman"/>
          <w:color w:val="0D0D0D" w:themeColor="text1" w:themeTint="F2"/>
          <w:sz w:val="24"/>
          <w:szCs w:val="24"/>
          <w:lang w:val="sq-AL"/>
        </w:rPr>
        <w:t xml:space="preserve"> dhe sipërfaqe ndërtimi </w:t>
      </w:r>
      <w:r w:rsidRPr="00804124">
        <w:rPr>
          <w:rFonts w:ascii="Times New Roman" w:hAnsi="Times New Roman"/>
          <w:bCs/>
          <w:color w:val="0D0D0D" w:themeColor="text1" w:themeTint="F2"/>
          <w:sz w:val="24"/>
          <w:szCs w:val="24"/>
          <w:lang w:val="sq-AL"/>
        </w:rPr>
        <w:t>6,022 m²</w:t>
      </w:r>
      <w:r w:rsidRPr="00804124">
        <w:rPr>
          <w:rFonts w:ascii="Times New Roman" w:hAnsi="Times New Roman"/>
          <w:color w:val="0D0D0D" w:themeColor="text1" w:themeTint="F2"/>
          <w:sz w:val="24"/>
          <w:szCs w:val="24"/>
          <w:lang w:val="sq-AL"/>
        </w:rPr>
        <w:t>, e hapur në vol.8, faqe 128, zona kadastrale 8340.</w:t>
      </w:r>
      <w:r w:rsidRPr="00804124">
        <w:rPr>
          <w:rFonts w:ascii="Times New Roman" w:hAnsi="Times New Roman"/>
          <w:i/>
          <w:color w:val="0D0D0D" w:themeColor="text1" w:themeTint="F2"/>
          <w:sz w:val="24"/>
          <w:szCs w:val="24"/>
          <w:lang w:val="sq-AL"/>
        </w:rPr>
        <w:t xml:space="preserve"> </w:t>
      </w:r>
      <w:r w:rsidRPr="00804124">
        <w:rPr>
          <w:rFonts w:ascii="Times New Roman" w:hAnsi="Times New Roman"/>
          <w:color w:val="0D0D0D" w:themeColor="text1" w:themeTint="F2"/>
          <w:sz w:val="24"/>
          <w:szCs w:val="24"/>
          <w:lang w:val="sq-AL"/>
        </w:rPr>
        <w:t xml:space="preserve">Gjykata ka konkluduar se pala paditëse, në cilësinë e ish-pronarit, </w:t>
      </w:r>
      <w:r w:rsidRPr="00804124">
        <w:rPr>
          <w:rFonts w:ascii="Times New Roman" w:hAnsi="Times New Roman"/>
          <w:bCs/>
          <w:color w:val="0D0D0D" w:themeColor="text1" w:themeTint="F2"/>
          <w:sz w:val="24"/>
          <w:szCs w:val="24"/>
          <w:lang w:val="sq-AL"/>
        </w:rPr>
        <w:t>nuk mund të pretendojë të drejtën e parablerjes</w:t>
      </w:r>
      <w:r w:rsidRPr="00804124">
        <w:rPr>
          <w:rFonts w:ascii="Times New Roman" w:hAnsi="Times New Roman"/>
          <w:color w:val="0D0D0D" w:themeColor="text1" w:themeTint="F2"/>
          <w:sz w:val="24"/>
          <w:szCs w:val="24"/>
          <w:lang w:val="sq-AL"/>
        </w:rPr>
        <w:t xml:space="preserve">, pasi në rastin konkret </w:t>
      </w:r>
      <w:r w:rsidRPr="00804124">
        <w:rPr>
          <w:rFonts w:ascii="Times New Roman" w:hAnsi="Times New Roman"/>
          <w:bCs/>
          <w:color w:val="0D0D0D" w:themeColor="text1" w:themeTint="F2"/>
          <w:sz w:val="24"/>
          <w:szCs w:val="24"/>
          <w:lang w:val="sq-AL"/>
        </w:rPr>
        <w:t>nuk kemi të bëjmë me privatizim të objekteve të veçanta shtetërore që privatizohen</w:t>
      </w:r>
      <w:r w:rsidRPr="00804124">
        <w:rPr>
          <w:rFonts w:ascii="Times New Roman" w:hAnsi="Times New Roman"/>
          <w:color w:val="0D0D0D" w:themeColor="text1" w:themeTint="F2"/>
          <w:sz w:val="24"/>
          <w:szCs w:val="24"/>
          <w:lang w:val="sq-AL"/>
        </w:rPr>
        <w:t xml:space="preserve">, por me </w:t>
      </w:r>
      <w:r w:rsidRPr="00804124">
        <w:rPr>
          <w:rFonts w:ascii="Times New Roman" w:hAnsi="Times New Roman"/>
          <w:bCs/>
          <w:color w:val="0D0D0D" w:themeColor="text1" w:themeTint="F2"/>
          <w:sz w:val="24"/>
          <w:szCs w:val="24"/>
          <w:lang w:val="sq-AL"/>
        </w:rPr>
        <w:t>transferim të kuotave shtetërore të kapitalit të përbashkët brenda shoqërisë me kapital të përbashkët “Alb Italia Construzioni” SH.P.K.</w:t>
      </w:r>
      <w:r w:rsidRPr="00804124">
        <w:rPr>
          <w:rFonts w:ascii="Times New Roman" w:hAnsi="Times New Roman"/>
          <w:i/>
          <w:color w:val="0D0D0D" w:themeColor="text1" w:themeTint="F2"/>
          <w:sz w:val="24"/>
          <w:szCs w:val="24"/>
          <w:lang w:val="sq-AL"/>
        </w:rPr>
        <w:t xml:space="preserve"> </w:t>
      </w:r>
      <w:r w:rsidRPr="00804124">
        <w:rPr>
          <w:rFonts w:ascii="Times New Roman" w:hAnsi="Times New Roman"/>
          <w:color w:val="0D0D0D" w:themeColor="text1" w:themeTint="F2"/>
          <w:sz w:val="24"/>
          <w:szCs w:val="24"/>
          <w:lang w:val="sq-AL"/>
        </w:rPr>
        <w:t xml:space="preserve">Komisioni i Kthimit dhe Kompensimit të </w:t>
      </w:r>
      <w:r w:rsidRPr="00804124">
        <w:rPr>
          <w:rFonts w:ascii="Times New Roman" w:hAnsi="Times New Roman"/>
          <w:color w:val="0D0D0D" w:themeColor="text1" w:themeTint="F2"/>
          <w:sz w:val="24"/>
          <w:szCs w:val="24"/>
          <w:lang w:val="sq-AL"/>
        </w:rPr>
        <w:lastRenderedPageBreak/>
        <w:t xml:space="preserve">Pronave pranë Bashkisë Tiranë, me vendimin nr.689, datë 06.09.1994, </w:t>
      </w:r>
      <w:r w:rsidRPr="00804124">
        <w:rPr>
          <w:rFonts w:ascii="Times New Roman" w:hAnsi="Times New Roman"/>
          <w:bCs/>
          <w:color w:val="0D0D0D" w:themeColor="text1" w:themeTint="F2"/>
          <w:sz w:val="24"/>
          <w:szCs w:val="24"/>
          <w:lang w:val="sq-AL"/>
        </w:rPr>
        <w:t>u ka njohur trashëgimtarëve të Murat Lugës vetëm pronësinë mbi truallin</w:t>
      </w:r>
      <w:r w:rsidRPr="00804124">
        <w:rPr>
          <w:rFonts w:ascii="Times New Roman" w:hAnsi="Times New Roman"/>
          <w:color w:val="0D0D0D" w:themeColor="text1" w:themeTint="F2"/>
          <w:sz w:val="24"/>
          <w:szCs w:val="24"/>
          <w:lang w:val="sq-AL"/>
        </w:rPr>
        <w:t xml:space="preserve"> dhe ka urdhëruar kompensimin e tyre, sipas nenit 16/1 të ligjit nr.7698, datë 15.04.1993, </w:t>
      </w:r>
      <w:r w:rsidRPr="00804124">
        <w:rPr>
          <w:rFonts w:ascii="Times New Roman" w:hAnsi="Times New Roman"/>
          <w:bCs/>
          <w:color w:val="0D0D0D" w:themeColor="text1" w:themeTint="F2"/>
          <w:sz w:val="24"/>
          <w:szCs w:val="24"/>
          <w:lang w:val="sq-AL"/>
        </w:rPr>
        <w:t>për shkak se trualli ka qenë i zënë me ndërtime të përhershme</w:t>
      </w:r>
      <w:r w:rsidRPr="00804124">
        <w:rPr>
          <w:rFonts w:ascii="Times New Roman" w:hAnsi="Times New Roman"/>
          <w:color w:val="0D0D0D" w:themeColor="text1" w:themeTint="F2"/>
          <w:sz w:val="24"/>
          <w:szCs w:val="24"/>
          <w:lang w:val="sq-AL"/>
        </w:rPr>
        <w:t>, të ish-Ndërmarrjes së Ndërtimit të Linjave të Tensionit të Lartë.</w:t>
      </w:r>
    </w:p>
    <w:p w14:paraId="7D53C886" w14:textId="77777777" w:rsidR="00882B3F" w:rsidRPr="00804124" w:rsidRDefault="00882B3F" w:rsidP="00882B3F">
      <w:pPr>
        <w:tabs>
          <w:tab w:val="left" w:pos="341"/>
          <w:tab w:val="left" w:pos="1294"/>
          <w:tab w:val="left" w:pos="1800"/>
          <w:tab w:val="left" w:leader="underscore" w:pos="3610"/>
          <w:tab w:val="left" w:pos="5682"/>
          <w:tab w:val="left" w:pos="7770"/>
        </w:tabs>
        <w:spacing w:after="0" w:line="240" w:lineRule="auto"/>
        <w:ind w:firstLine="360"/>
        <w:jc w:val="both"/>
        <w:rPr>
          <w:rFonts w:ascii="Times New Roman" w:hAnsi="Times New Roman"/>
          <w:i/>
          <w:color w:val="0D0D0D" w:themeColor="text1" w:themeTint="F2"/>
          <w:sz w:val="24"/>
          <w:szCs w:val="24"/>
          <w:lang w:val="sq-AL"/>
        </w:rPr>
      </w:pPr>
      <w:r w:rsidRPr="00804124">
        <w:rPr>
          <w:rFonts w:ascii="Times New Roman" w:hAnsi="Times New Roman"/>
          <w:color w:val="0D0D0D" w:themeColor="text1" w:themeTint="F2"/>
          <w:sz w:val="24"/>
          <w:szCs w:val="24"/>
          <w:lang w:val="sq-AL"/>
        </w:rPr>
        <w:t xml:space="preserve">12.2. Shoqëria “Alb Italia Construzioni” SH.P.K është krijuar </w:t>
      </w:r>
      <w:r w:rsidRPr="00804124">
        <w:rPr>
          <w:rFonts w:ascii="Times New Roman" w:hAnsi="Times New Roman"/>
          <w:bCs/>
          <w:color w:val="0D0D0D" w:themeColor="text1" w:themeTint="F2"/>
          <w:sz w:val="24"/>
          <w:szCs w:val="24"/>
          <w:lang w:val="sq-AL"/>
        </w:rPr>
        <w:t>mbi një vit përpara</w:t>
      </w:r>
      <w:r w:rsidRPr="00804124">
        <w:rPr>
          <w:rFonts w:ascii="Times New Roman" w:hAnsi="Times New Roman"/>
          <w:color w:val="0D0D0D" w:themeColor="text1" w:themeTint="F2"/>
          <w:sz w:val="24"/>
          <w:szCs w:val="24"/>
          <w:lang w:val="sq-AL"/>
        </w:rPr>
        <w:t xml:space="preserve"> se të dilte vendimi nr.689, datë 06.09.1994 i KKKPP Tiranë, me të cilin ish-pronarëve u është njohur pronësia mbi truallin që pretendojnë. Gjykata ka çmuar se veprimi juridik për </w:t>
      </w:r>
      <w:r w:rsidRPr="00804124">
        <w:rPr>
          <w:rFonts w:ascii="Times New Roman" w:hAnsi="Times New Roman"/>
          <w:bCs/>
          <w:color w:val="0D0D0D" w:themeColor="text1" w:themeTint="F2"/>
          <w:sz w:val="24"/>
          <w:szCs w:val="24"/>
          <w:lang w:val="sq-AL"/>
        </w:rPr>
        <w:t>kalimin e pronësisë së kuotave shtetërore të kapitalit të përbashkët</w:t>
      </w:r>
      <w:r w:rsidRPr="00804124">
        <w:rPr>
          <w:rFonts w:ascii="Times New Roman" w:hAnsi="Times New Roman"/>
          <w:color w:val="0D0D0D" w:themeColor="text1" w:themeTint="F2"/>
          <w:sz w:val="24"/>
          <w:szCs w:val="24"/>
          <w:lang w:val="sq-AL"/>
        </w:rPr>
        <w:t xml:space="preserve"> është bërë në përputhje të plotë me </w:t>
      </w:r>
      <w:r w:rsidRPr="00804124">
        <w:rPr>
          <w:rFonts w:ascii="Times New Roman" w:hAnsi="Times New Roman"/>
          <w:bCs/>
          <w:color w:val="0D0D0D" w:themeColor="text1" w:themeTint="F2"/>
          <w:sz w:val="24"/>
          <w:szCs w:val="24"/>
          <w:lang w:val="sq-AL"/>
        </w:rPr>
        <w:t>nenin 83/1 të Kodit Civil</w:t>
      </w:r>
      <w:r w:rsidRPr="00804124">
        <w:rPr>
          <w:rFonts w:ascii="Times New Roman" w:hAnsi="Times New Roman"/>
          <w:color w:val="0D0D0D" w:themeColor="text1" w:themeTint="F2"/>
          <w:sz w:val="24"/>
          <w:szCs w:val="24"/>
          <w:lang w:val="sq-AL"/>
        </w:rPr>
        <w:t xml:space="preserve">, në formën e kërkuar ligjore (me akt noterial).Shitja e kuotave është bërë </w:t>
      </w:r>
      <w:r w:rsidRPr="00804124">
        <w:rPr>
          <w:rFonts w:ascii="Times New Roman" w:hAnsi="Times New Roman"/>
          <w:bCs/>
          <w:color w:val="0D0D0D" w:themeColor="text1" w:themeTint="F2"/>
          <w:sz w:val="24"/>
          <w:szCs w:val="24"/>
          <w:lang w:val="sq-AL"/>
        </w:rPr>
        <w:t>brenda shoqërisë</w:t>
      </w:r>
      <w:r w:rsidRPr="00804124">
        <w:rPr>
          <w:rFonts w:ascii="Times New Roman" w:hAnsi="Times New Roman"/>
          <w:color w:val="0D0D0D" w:themeColor="text1" w:themeTint="F2"/>
          <w:sz w:val="24"/>
          <w:szCs w:val="24"/>
          <w:lang w:val="sq-AL"/>
        </w:rPr>
        <w:t xml:space="preserve">, nga një ortak te tjetri, në përputhje me </w:t>
      </w:r>
      <w:r w:rsidRPr="00804124">
        <w:rPr>
          <w:rFonts w:ascii="Times New Roman" w:hAnsi="Times New Roman"/>
          <w:bCs/>
          <w:color w:val="0D0D0D" w:themeColor="text1" w:themeTint="F2"/>
          <w:sz w:val="24"/>
          <w:szCs w:val="24"/>
          <w:lang w:val="sq-AL"/>
        </w:rPr>
        <w:t>nenet 72 dhe 73 të ligjit nr.9901,datë 14.04.2008 “Për shoqëritë tregtare”</w:t>
      </w:r>
      <w:r w:rsidRPr="00804124">
        <w:rPr>
          <w:rFonts w:ascii="Times New Roman" w:hAnsi="Times New Roman"/>
          <w:color w:val="0D0D0D" w:themeColor="text1" w:themeTint="F2"/>
          <w:sz w:val="24"/>
          <w:szCs w:val="24"/>
          <w:lang w:val="sq-AL"/>
        </w:rPr>
        <w:t xml:space="preserve"> dhe sipas procedurës së përcaktuar në </w:t>
      </w:r>
      <w:r w:rsidRPr="00804124">
        <w:rPr>
          <w:rFonts w:ascii="Times New Roman" w:hAnsi="Times New Roman"/>
          <w:bCs/>
          <w:color w:val="0D0D0D" w:themeColor="text1" w:themeTint="F2"/>
          <w:sz w:val="24"/>
          <w:szCs w:val="24"/>
          <w:lang w:val="sq-AL"/>
        </w:rPr>
        <w:t>VKM nr.230, datë 04.04.1998</w:t>
      </w:r>
      <w:r w:rsidRPr="00804124">
        <w:rPr>
          <w:rFonts w:ascii="Times New Roman" w:hAnsi="Times New Roman"/>
          <w:color w:val="0D0D0D" w:themeColor="text1" w:themeTint="F2"/>
          <w:sz w:val="24"/>
          <w:szCs w:val="24"/>
          <w:lang w:val="sq-AL"/>
        </w:rPr>
        <w:t xml:space="preserve">, të ndryshuar. Gjithashtu, gjykata ka çmuar se </w:t>
      </w:r>
      <w:r w:rsidRPr="00804124">
        <w:rPr>
          <w:rFonts w:ascii="Times New Roman" w:hAnsi="Times New Roman"/>
          <w:bCs/>
          <w:color w:val="0D0D0D" w:themeColor="text1" w:themeTint="F2"/>
          <w:sz w:val="24"/>
          <w:szCs w:val="24"/>
          <w:lang w:val="sq-AL"/>
        </w:rPr>
        <w:t>Drejtoria e Administrimit dhe Shitjes së Pronave Publike</w:t>
      </w:r>
      <w:r w:rsidRPr="00804124">
        <w:rPr>
          <w:rFonts w:ascii="Times New Roman" w:hAnsi="Times New Roman"/>
          <w:color w:val="0D0D0D" w:themeColor="text1" w:themeTint="F2"/>
          <w:sz w:val="24"/>
          <w:szCs w:val="24"/>
          <w:lang w:val="sq-AL"/>
        </w:rPr>
        <w:t xml:space="preserve">, pranë </w:t>
      </w:r>
      <w:r w:rsidRPr="00804124">
        <w:rPr>
          <w:rFonts w:ascii="Times New Roman" w:hAnsi="Times New Roman"/>
          <w:bCs/>
          <w:color w:val="0D0D0D" w:themeColor="text1" w:themeTint="F2"/>
          <w:sz w:val="24"/>
          <w:szCs w:val="24"/>
          <w:lang w:val="sq-AL"/>
        </w:rPr>
        <w:t>Ministrisë së Financave</w:t>
      </w:r>
      <w:r w:rsidRPr="00804124">
        <w:rPr>
          <w:rFonts w:ascii="Times New Roman" w:hAnsi="Times New Roman"/>
          <w:color w:val="0D0D0D" w:themeColor="text1" w:themeTint="F2"/>
          <w:sz w:val="24"/>
          <w:szCs w:val="24"/>
          <w:lang w:val="sq-AL"/>
        </w:rPr>
        <w:t xml:space="preserve"> dhe </w:t>
      </w:r>
      <w:r w:rsidRPr="00804124">
        <w:rPr>
          <w:rFonts w:ascii="Times New Roman" w:hAnsi="Times New Roman"/>
          <w:bCs/>
          <w:color w:val="0D0D0D" w:themeColor="text1" w:themeTint="F2"/>
          <w:sz w:val="24"/>
          <w:szCs w:val="24"/>
          <w:lang w:val="sq-AL"/>
        </w:rPr>
        <w:t>Ministrisë së Ekonomisë, Tregtisë dhe Energjitikës</w:t>
      </w:r>
      <w:r w:rsidRPr="00804124">
        <w:rPr>
          <w:rFonts w:ascii="Times New Roman" w:hAnsi="Times New Roman"/>
          <w:color w:val="0D0D0D" w:themeColor="text1" w:themeTint="F2"/>
          <w:sz w:val="24"/>
          <w:szCs w:val="24"/>
          <w:lang w:val="sq-AL"/>
        </w:rPr>
        <w:t xml:space="preserve">, kanë respektuar </w:t>
      </w:r>
      <w:r w:rsidRPr="00804124">
        <w:rPr>
          <w:rFonts w:ascii="Times New Roman" w:hAnsi="Times New Roman"/>
          <w:bCs/>
          <w:color w:val="0D0D0D" w:themeColor="text1" w:themeTint="F2"/>
          <w:sz w:val="24"/>
          <w:szCs w:val="24"/>
          <w:lang w:val="sq-AL"/>
        </w:rPr>
        <w:t>nenin 7.1 të VKM nr.230, datë 04.04.1998 “Për privatizimin e pjesëve të kapitalit të zotëruar nga shteti në shoqëritë me kapital të përbashkët”</w:t>
      </w:r>
      <w:r w:rsidRPr="00804124">
        <w:rPr>
          <w:rFonts w:ascii="Times New Roman" w:hAnsi="Times New Roman"/>
          <w:color w:val="0D0D0D" w:themeColor="text1" w:themeTint="F2"/>
          <w:sz w:val="24"/>
          <w:szCs w:val="24"/>
          <w:lang w:val="sq-AL"/>
        </w:rPr>
        <w:t>, të ndryshuar. Pas shprehjes së dakordësisë nga ortaku joshtetëror i Shoqërisë “Alb Italia Construzioni” SH.P.K, për blerjen e pjesëve të kapitalit shtetëror, është lidhur kontrata objekt gjykimi.</w:t>
      </w:r>
    </w:p>
    <w:p w14:paraId="1240B83D" w14:textId="77777777" w:rsidR="00882B3F" w:rsidRPr="00804124" w:rsidRDefault="00882B3F" w:rsidP="00882B3F">
      <w:pPr>
        <w:tabs>
          <w:tab w:val="left" w:pos="341"/>
          <w:tab w:val="left" w:pos="1294"/>
          <w:tab w:val="left" w:pos="1800"/>
          <w:tab w:val="left" w:leader="underscore" w:pos="3610"/>
          <w:tab w:val="left" w:pos="5682"/>
          <w:tab w:val="left" w:pos="7770"/>
        </w:tabs>
        <w:spacing w:after="0" w:line="240" w:lineRule="auto"/>
        <w:ind w:firstLine="360"/>
        <w:jc w:val="both"/>
        <w:rPr>
          <w:rFonts w:ascii="Times New Roman" w:hAnsi="Times New Roman"/>
          <w:i/>
          <w:color w:val="0D0D0D" w:themeColor="text1" w:themeTint="F2"/>
          <w:sz w:val="24"/>
          <w:szCs w:val="24"/>
          <w:lang w:val="sq-AL"/>
        </w:rPr>
      </w:pPr>
      <w:r w:rsidRPr="00804124">
        <w:rPr>
          <w:rFonts w:ascii="Times New Roman" w:hAnsi="Times New Roman"/>
          <w:color w:val="0D0D0D" w:themeColor="text1" w:themeTint="F2"/>
          <w:sz w:val="24"/>
          <w:szCs w:val="24"/>
          <w:lang w:val="sq-AL"/>
        </w:rPr>
        <w:t xml:space="preserve">12.3. Gjykata e ka çmuar të pambështetur edhe pretendimin e paditësit se </w:t>
      </w:r>
      <w:r w:rsidRPr="00804124">
        <w:rPr>
          <w:rFonts w:ascii="Times New Roman" w:hAnsi="Times New Roman"/>
          <w:bCs/>
          <w:color w:val="0D0D0D" w:themeColor="text1" w:themeTint="F2"/>
          <w:sz w:val="24"/>
          <w:szCs w:val="24"/>
          <w:lang w:val="sq-AL"/>
        </w:rPr>
        <w:t>pala e paditur dhe ekspertët kanë vepruar në kundërshtim me VKM nr.230, datë 04.04.1998, të ndryshuar, pika 5/e</w:t>
      </w:r>
      <w:r w:rsidRPr="00804124">
        <w:rPr>
          <w:rFonts w:ascii="Times New Roman" w:hAnsi="Times New Roman"/>
          <w:color w:val="0D0D0D" w:themeColor="text1" w:themeTint="F2"/>
          <w:sz w:val="24"/>
          <w:szCs w:val="24"/>
          <w:lang w:val="sq-AL"/>
        </w:rPr>
        <w:t xml:space="preserve">, duke mos marrë asnjë dokumentacion ligjor për </w:t>
      </w:r>
      <w:r w:rsidRPr="00804124">
        <w:rPr>
          <w:rFonts w:ascii="Times New Roman" w:hAnsi="Times New Roman"/>
          <w:bCs/>
          <w:color w:val="0D0D0D" w:themeColor="text1" w:themeTint="F2"/>
          <w:sz w:val="24"/>
          <w:szCs w:val="24"/>
          <w:lang w:val="sq-AL"/>
        </w:rPr>
        <w:t>verifikimin juridik të sipërfaqes së truallit</w:t>
      </w:r>
      <w:r w:rsidRPr="00804124">
        <w:rPr>
          <w:rFonts w:ascii="Times New Roman" w:hAnsi="Times New Roman"/>
          <w:color w:val="0D0D0D" w:themeColor="text1" w:themeTint="F2"/>
          <w:sz w:val="24"/>
          <w:szCs w:val="24"/>
          <w:lang w:val="sq-AL"/>
        </w:rPr>
        <w:t xml:space="preserve">, për të cilin pala e paditur </w:t>
      </w:r>
      <w:r w:rsidRPr="00804124">
        <w:rPr>
          <w:rFonts w:ascii="Times New Roman" w:hAnsi="Times New Roman"/>
          <w:bCs/>
          <w:color w:val="0D0D0D" w:themeColor="text1" w:themeTint="F2"/>
          <w:sz w:val="24"/>
          <w:szCs w:val="24"/>
          <w:lang w:val="sq-AL"/>
        </w:rPr>
        <w:t xml:space="preserve">kishte dijeni për vendimin nr.689, datë 06.09.1994 të Komisionit të Kthimit dhe Kompensimit të Pronave Tiranë. </w:t>
      </w:r>
      <w:r w:rsidRPr="00804124">
        <w:rPr>
          <w:rFonts w:ascii="Times New Roman" w:hAnsi="Times New Roman"/>
          <w:color w:val="0D0D0D" w:themeColor="text1" w:themeTint="F2"/>
          <w:sz w:val="24"/>
          <w:szCs w:val="24"/>
          <w:lang w:val="sq-AL"/>
        </w:rPr>
        <w:t xml:space="preserve">Sipas gjykatës, nga verifikimi i gjendjes juridike të pasurisë, sipas shkresës nr.15033/1 prot., datë 09.10.2012 të Zyrës Vendore të Regjistrimit të Pasurive të Paluajtshme, </w:t>
      </w:r>
      <w:r w:rsidRPr="00804124">
        <w:rPr>
          <w:rFonts w:ascii="Times New Roman" w:hAnsi="Times New Roman"/>
          <w:bCs/>
          <w:color w:val="0D0D0D" w:themeColor="text1" w:themeTint="F2"/>
          <w:sz w:val="24"/>
          <w:szCs w:val="24"/>
          <w:lang w:val="sq-AL"/>
        </w:rPr>
        <w:t>pasuria me nr. 8/231 është e regjistruar në emër të Shoqërisë “Alb Italia Construzioni” SH.P.K</w:t>
      </w:r>
      <w:r w:rsidRPr="00804124">
        <w:rPr>
          <w:rFonts w:ascii="Times New Roman" w:hAnsi="Times New Roman"/>
          <w:color w:val="0D0D0D" w:themeColor="text1" w:themeTint="F2"/>
          <w:sz w:val="24"/>
          <w:szCs w:val="24"/>
          <w:lang w:val="sq-AL"/>
        </w:rPr>
        <w:t xml:space="preserve">, me sipërfaqe trualli </w:t>
      </w:r>
      <w:r w:rsidRPr="00804124">
        <w:rPr>
          <w:rFonts w:ascii="Times New Roman" w:hAnsi="Times New Roman"/>
          <w:bCs/>
          <w:color w:val="0D0D0D" w:themeColor="text1" w:themeTint="F2"/>
          <w:sz w:val="24"/>
          <w:szCs w:val="24"/>
          <w:lang w:val="sq-AL"/>
        </w:rPr>
        <w:t>6,459 m²</w:t>
      </w:r>
      <w:r w:rsidRPr="00804124">
        <w:rPr>
          <w:rFonts w:ascii="Times New Roman" w:hAnsi="Times New Roman"/>
          <w:color w:val="0D0D0D" w:themeColor="text1" w:themeTint="F2"/>
          <w:sz w:val="24"/>
          <w:szCs w:val="24"/>
          <w:lang w:val="sq-AL"/>
        </w:rPr>
        <w:t xml:space="preserve"> dhe sipërfaqe ndërtimi </w:t>
      </w:r>
      <w:r w:rsidRPr="00804124">
        <w:rPr>
          <w:rFonts w:ascii="Times New Roman" w:hAnsi="Times New Roman"/>
          <w:bCs/>
          <w:color w:val="0D0D0D" w:themeColor="text1" w:themeTint="F2"/>
          <w:sz w:val="24"/>
          <w:szCs w:val="24"/>
          <w:lang w:val="sq-AL"/>
        </w:rPr>
        <w:t>6,022 m²</w:t>
      </w:r>
      <w:r w:rsidRPr="00804124">
        <w:rPr>
          <w:rFonts w:ascii="Times New Roman" w:hAnsi="Times New Roman"/>
          <w:color w:val="0D0D0D" w:themeColor="text1" w:themeTint="F2"/>
          <w:sz w:val="24"/>
          <w:szCs w:val="24"/>
          <w:lang w:val="sq-AL"/>
        </w:rPr>
        <w:t xml:space="preserve">, e hapur në vol.8, faqe 128, zona kadastrale 8340, </w:t>
      </w:r>
      <w:r w:rsidRPr="00804124">
        <w:rPr>
          <w:rFonts w:ascii="Times New Roman" w:hAnsi="Times New Roman"/>
          <w:bCs/>
          <w:color w:val="0D0D0D" w:themeColor="text1" w:themeTint="F2"/>
          <w:sz w:val="24"/>
          <w:szCs w:val="24"/>
          <w:lang w:val="sq-AL"/>
        </w:rPr>
        <w:t xml:space="preserve">para lidhjes së kontratës së privatizimit. </w:t>
      </w:r>
      <w:r w:rsidRPr="00804124">
        <w:rPr>
          <w:rFonts w:ascii="Times New Roman" w:hAnsi="Times New Roman"/>
          <w:color w:val="0D0D0D" w:themeColor="text1" w:themeTint="F2"/>
          <w:sz w:val="24"/>
          <w:szCs w:val="24"/>
          <w:lang w:val="sq-AL"/>
        </w:rPr>
        <w:t xml:space="preserve">Për sa më sipër, gjykata ka çmuar se </w:t>
      </w:r>
      <w:r w:rsidRPr="00804124">
        <w:rPr>
          <w:rFonts w:ascii="Times New Roman" w:hAnsi="Times New Roman"/>
          <w:bCs/>
          <w:color w:val="0D0D0D" w:themeColor="text1" w:themeTint="F2"/>
          <w:sz w:val="24"/>
          <w:szCs w:val="24"/>
          <w:lang w:val="sq-AL"/>
        </w:rPr>
        <w:t>kërkesë-padia gjendet e pambështetur në ligj dhe në prova</w:t>
      </w:r>
      <w:r w:rsidRPr="00804124">
        <w:rPr>
          <w:rFonts w:ascii="Times New Roman" w:hAnsi="Times New Roman"/>
          <w:color w:val="0D0D0D" w:themeColor="text1" w:themeTint="F2"/>
          <w:sz w:val="24"/>
          <w:szCs w:val="24"/>
          <w:lang w:val="sq-AL"/>
        </w:rPr>
        <w:t xml:space="preserve">, dhe si e tillë duhet </w:t>
      </w:r>
      <w:r w:rsidRPr="00804124">
        <w:rPr>
          <w:rFonts w:ascii="Times New Roman" w:hAnsi="Times New Roman"/>
          <w:bCs/>
          <w:color w:val="0D0D0D" w:themeColor="text1" w:themeTint="F2"/>
          <w:sz w:val="24"/>
          <w:szCs w:val="24"/>
          <w:lang w:val="sq-AL"/>
        </w:rPr>
        <w:t>rrëzuar</w:t>
      </w:r>
      <w:r w:rsidRPr="00804124">
        <w:rPr>
          <w:rFonts w:ascii="Times New Roman" w:hAnsi="Times New Roman"/>
          <w:color w:val="0D0D0D" w:themeColor="text1" w:themeTint="F2"/>
          <w:sz w:val="24"/>
          <w:szCs w:val="24"/>
          <w:lang w:val="sq-AL"/>
        </w:rPr>
        <w:t>.</w:t>
      </w:r>
    </w:p>
    <w:p w14:paraId="57E8C3DE" w14:textId="77777777" w:rsidR="00882B3F" w:rsidRPr="00804124" w:rsidRDefault="00882B3F" w:rsidP="00882B3F">
      <w:pPr>
        <w:tabs>
          <w:tab w:val="left" w:pos="1800"/>
        </w:tabs>
        <w:spacing w:after="0" w:line="240" w:lineRule="auto"/>
        <w:ind w:firstLine="360"/>
        <w:jc w:val="both"/>
        <w:rPr>
          <w:rFonts w:ascii="Times New Roman" w:hAnsi="Times New Roman"/>
          <w:color w:val="0D0D0D" w:themeColor="text1" w:themeTint="F2"/>
          <w:sz w:val="24"/>
          <w:szCs w:val="24"/>
          <w:lang w:val="sq-AL"/>
        </w:rPr>
      </w:pPr>
      <w:r w:rsidRPr="00804124">
        <w:rPr>
          <w:rFonts w:ascii="Times New Roman" w:hAnsi="Times New Roman"/>
          <w:color w:val="0D0D0D" w:themeColor="text1" w:themeTint="F2"/>
          <w:sz w:val="24"/>
          <w:szCs w:val="24"/>
          <w:lang w:val="sq-AL"/>
        </w:rPr>
        <w:t>13. Kundër këtij vendimi ka ushtruar ankim Sadik Luga, duke kërkuar ndryshimin e këtij vendimi dhe pranimin e padisë.</w:t>
      </w:r>
    </w:p>
    <w:p w14:paraId="17AEEEF9" w14:textId="59E86202" w:rsidR="00882B3F" w:rsidRPr="00804124" w:rsidRDefault="00882B3F" w:rsidP="00882B3F">
      <w:pPr>
        <w:tabs>
          <w:tab w:val="left" w:pos="1800"/>
        </w:tabs>
        <w:spacing w:after="0" w:line="240" w:lineRule="auto"/>
        <w:ind w:firstLine="360"/>
        <w:jc w:val="both"/>
        <w:rPr>
          <w:rFonts w:ascii="Times New Roman" w:hAnsi="Times New Roman"/>
          <w:color w:val="0D0D0D" w:themeColor="text1" w:themeTint="F2"/>
          <w:sz w:val="24"/>
          <w:szCs w:val="24"/>
          <w:lang w:val="sq-AL"/>
        </w:rPr>
      </w:pPr>
      <w:r w:rsidRPr="00804124">
        <w:rPr>
          <w:rFonts w:ascii="Times New Roman" w:hAnsi="Times New Roman"/>
          <w:color w:val="0D0D0D" w:themeColor="text1" w:themeTint="F2"/>
          <w:sz w:val="24"/>
          <w:szCs w:val="24"/>
          <w:lang w:val="sq-AL"/>
        </w:rPr>
        <w:t xml:space="preserve">14. </w:t>
      </w:r>
      <w:r w:rsidRPr="00804124">
        <w:rPr>
          <w:rFonts w:ascii="Times New Roman" w:hAnsi="Times New Roman"/>
          <w:b/>
          <w:bCs/>
          <w:color w:val="0D0D0D" w:themeColor="text1" w:themeTint="F2"/>
          <w:sz w:val="24"/>
          <w:szCs w:val="24"/>
          <w:lang w:val="sq-AL"/>
        </w:rPr>
        <w:t xml:space="preserve">Gjykata Administrative e Apelit, </w:t>
      </w:r>
      <w:r w:rsidRPr="00804124">
        <w:rPr>
          <w:rFonts w:ascii="Times New Roman" w:hAnsi="Times New Roman"/>
          <w:color w:val="0D0D0D" w:themeColor="text1" w:themeTint="F2"/>
          <w:sz w:val="24"/>
          <w:szCs w:val="24"/>
          <w:lang w:val="sq-AL"/>
        </w:rPr>
        <w:t>me vendimin nr.2593,</w:t>
      </w:r>
      <w:r w:rsidR="00232DB3" w:rsidRPr="00804124">
        <w:rPr>
          <w:rFonts w:ascii="Times New Roman" w:hAnsi="Times New Roman"/>
          <w:color w:val="0D0D0D" w:themeColor="text1" w:themeTint="F2"/>
          <w:sz w:val="24"/>
          <w:szCs w:val="24"/>
          <w:lang w:val="sq-AL"/>
        </w:rPr>
        <w:t xml:space="preserve"> </w:t>
      </w:r>
      <w:r w:rsidRPr="00804124">
        <w:rPr>
          <w:rFonts w:ascii="Times New Roman" w:hAnsi="Times New Roman"/>
          <w:color w:val="0D0D0D" w:themeColor="text1" w:themeTint="F2"/>
          <w:sz w:val="24"/>
          <w:szCs w:val="24"/>
          <w:lang w:val="sq-AL"/>
        </w:rPr>
        <w:t>datë 26.06.2018</w:t>
      </w:r>
      <w:r w:rsidRPr="00804124">
        <w:rPr>
          <w:rFonts w:ascii="Times New Roman" w:hAnsi="Times New Roman"/>
          <w:bCs/>
          <w:color w:val="0D0D0D" w:themeColor="text1" w:themeTint="F2"/>
          <w:sz w:val="24"/>
          <w:szCs w:val="24"/>
          <w:lang w:val="sq-AL"/>
        </w:rPr>
        <w:t xml:space="preserve">, ka vendosur: </w:t>
      </w:r>
      <w:r w:rsidRPr="00804124">
        <w:rPr>
          <w:rFonts w:ascii="Times New Roman" w:hAnsi="Times New Roman"/>
          <w:i/>
          <w:color w:val="0D0D0D" w:themeColor="text1" w:themeTint="F2"/>
          <w:sz w:val="24"/>
          <w:szCs w:val="24"/>
          <w:lang w:val="sq-AL"/>
        </w:rPr>
        <w:t>“Lënien në fuqi të vendimit nr.2511,</w:t>
      </w:r>
      <w:r w:rsidR="00E31CD5" w:rsidRPr="00804124">
        <w:rPr>
          <w:rFonts w:ascii="Times New Roman" w:hAnsi="Times New Roman"/>
          <w:i/>
          <w:color w:val="0D0D0D" w:themeColor="text1" w:themeTint="F2"/>
          <w:sz w:val="24"/>
          <w:szCs w:val="24"/>
          <w:lang w:val="sq-AL"/>
        </w:rPr>
        <w:t xml:space="preserve"> </w:t>
      </w:r>
      <w:r w:rsidRPr="00804124">
        <w:rPr>
          <w:rFonts w:ascii="Times New Roman" w:hAnsi="Times New Roman"/>
          <w:i/>
          <w:color w:val="0D0D0D" w:themeColor="text1" w:themeTint="F2"/>
          <w:sz w:val="24"/>
          <w:szCs w:val="24"/>
          <w:lang w:val="sq-AL"/>
        </w:rPr>
        <w:t>datë 11.05.2015 të Gjykatës Administrative të Shkallës së Parë Tiranë [...]”.</w:t>
      </w:r>
    </w:p>
    <w:p w14:paraId="2D127956" w14:textId="77777777" w:rsidR="00882B3F" w:rsidRPr="00804124" w:rsidRDefault="00882B3F" w:rsidP="00882B3F">
      <w:pPr>
        <w:tabs>
          <w:tab w:val="left" w:pos="1800"/>
        </w:tabs>
        <w:spacing w:after="0" w:line="240" w:lineRule="auto"/>
        <w:ind w:firstLine="360"/>
        <w:jc w:val="both"/>
        <w:rPr>
          <w:rFonts w:ascii="Times New Roman" w:hAnsi="Times New Roman"/>
          <w:i/>
          <w:color w:val="0D0D0D" w:themeColor="text1" w:themeTint="F2"/>
          <w:sz w:val="24"/>
          <w:szCs w:val="24"/>
          <w:lang w:val="sq-AL"/>
        </w:rPr>
      </w:pPr>
      <w:r w:rsidRPr="00804124">
        <w:rPr>
          <w:rFonts w:ascii="Times New Roman" w:hAnsi="Times New Roman"/>
          <w:iCs/>
          <w:color w:val="0D0D0D" w:themeColor="text1" w:themeTint="F2"/>
          <w:sz w:val="24"/>
          <w:szCs w:val="24"/>
          <w:lang w:val="sq-AL"/>
        </w:rPr>
        <w:t>14</w:t>
      </w:r>
      <w:r w:rsidRPr="00804124">
        <w:rPr>
          <w:rFonts w:ascii="Times New Roman" w:hAnsi="Times New Roman"/>
          <w:color w:val="0D0D0D" w:themeColor="text1" w:themeTint="F2"/>
          <w:sz w:val="24"/>
          <w:szCs w:val="24"/>
          <w:lang w:val="sq-AL"/>
        </w:rPr>
        <w:t xml:space="preserve">.1. </w:t>
      </w:r>
      <w:bookmarkEnd w:id="5"/>
      <w:r w:rsidRPr="00804124">
        <w:rPr>
          <w:rFonts w:ascii="Times New Roman" w:hAnsi="Times New Roman"/>
          <w:color w:val="0D0D0D" w:themeColor="text1" w:themeTint="F2"/>
          <w:sz w:val="24"/>
          <w:szCs w:val="24"/>
          <w:lang w:val="sq-AL"/>
        </w:rPr>
        <w:t xml:space="preserve">Gjykata ka konkluduar në vendimmarrjen e saj se, </w:t>
      </w:r>
      <w:r w:rsidRPr="00804124">
        <w:rPr>
          <w:rFonts w:ascii="Times New Roman" w:hAnsi="Times New Roman"/>
          <w:i/>
          <w:color w:val="0D0D0D" w:themeColor="text1" w:themeTint="F2"/>
          <w:sz w:val="24"/>
          <w:szCs w:val="24"/>
          <w:lang w:val="sq-AL"/>
        </w:rPr>
        <w:t xml:space="preserve">[...] </w:t>
      </w:r>
      <w:r w:rsidRPr="00804124">
        <w:rPr>
          <w:rFonts w:ascii="Times New Roman" w:hAnsi="Times New Roman"/>
          <w:color w:val="0D0D0D" w:themeColor="text1" w:themeTint="F2"/>
          <w:sz w:val="24"/>
          <w:szCs w:val="24"/>
          <w:lang w:val="sq-AL"/>
        </w:rPr>
        <w:t xml:space="preserve">Procedura e zhvillimit të këtij gjykimi rezulton të jetë në </w:t>
      </w:r>
      <w:r w:rsidRPr="00804124">
        <w:rPr>
          <w:rFonts w:ascii="Times New Roman" w:hAnsi="Times New Roman"/>
          <w:bCs/>
          <w:color w:val="0D0D0D" w:themeColor="text1" w:themeTint="F2"/>
          <w:sz w:val="24"/>
          <w:szCs w:val="24"/>
          <w:lang w:val="sq-AL"/>
        </w:rPr>
        <w:t>përputhje të plotë me dispozitat e Kodit të Procedurës Civile</w:t>
      </w:r>
      <w:r w:rsidRPr="00804124">
        <w:rPr>
          <w:rFonts w:ascii="Times New Roman" w:hAnsi="Times New Roman"/>
          <w:color w:val="0D0D0D" w:themeColor="text1" w:themeTint="F2"/>
          <w:sz w:val="24"/>
          <w:szCs w:val="24"/>
          <w:lang w:val="sq-AL"/>
        </w:rPr>
        <w:t xml:space="preserve">. Nuk konstatohen shkelje, as në procedurën e zhvillimit të gjykimit, as në procedurën e marrjes së vendimit nga gjykata e shkallës së parë. Lidhur me pretendimet e ngritura në ankim nga pala paditëse, </w:t>
      </w:r>
      <w:r w:rsidRPr="00804124">
        <w:rPr>
          <w:rFonts w:ascii="Times New Roman" w:hAnsi="Times New Roman"/>
          <w:bCs/>
          <w:color w:val="0D0D0D" w:themeColor="text1" w:themeTint="F2"/>
          <w:sz w:val="24"/>
          <w:szCs w:val="24"/>
          <w:lang w:val="sq-AL"/>
        </w:rPr>
        <w:t>Gjykata Administrative e Apelit çmon se ato janë të pabazuara në ligj dhe në prova</w:t>
      </w:r>
      <w:r w:rsidRPr="00804124">
        <w:rPr>
          <w:rFonts w:ascii="Times New Roman" w:hAnsi="Times New Roman"/>
          <w:color w:val="0D0D0D" w:themeColor="text1" w:themeTint="F2"/>
          <w:sz w:val="24"/>
          <w:szCs w:val="24"/>
          <w:lang w:val="sq-AL"/>
        </w:rPr>
        <w:t xml:space="preserve">. Gjykata mori në analizë çështjen e </w:t>
      </w:r>
      <w:r w:rsidRPr="00804124">
        <w:rPr>
          <w:rFonts w:ascii="Times New Roman" w:hAnsi="Times New Roman"/>
          <w:bCs/>
          <w:color w:val="0D0D0D" w:themeColor="text1" w:themeTint="F2"/>
          <w:sz w:val="24"/>
          <w:szCs w:val="24"/>
          <w:lang w:val="sq-AL"/>
        </w:rPr>
        <w:t>legjitimitetit aktiv</w:t>
      </w:r>
      <w:r w:rsidRPr="00804124">
        <w:rPr>
          <w:rFonts w:ascii="Times New Roman" w:hAnsi="Times New Roman"/>
          <w:color w:val="0D0D0D" w:themeColor="text1" w:themeTint="F2"/>
          <w:sz w:val="24"/>
          <w:szCs w:val="24"/>
          <w:lang w:val="sq-AL"/>
        </w:rPr>
        <w:t xml:space="preserve"> të paditësit në ngritjen e kësaj padie: Paditësi pretendon </w:t>
      </w:r>
      <w:r w:rsidRPr="00804124">
        <w:rPr>
          <w:rFonts w:ascii="Times New Roman" w:hAnsi="Times New Roman"/>
          <w:bCs/>
          <w:color w:val="0D0D0D" w:themeColor="text1" w:themeTint="F2"/>
          <w:sz w:val="24"/>
          <w:szCs w:val="24"/>
          <w:lang w:val="sq-AL"/>
        </w:rPr>
        <w:t>shkeljen e të drejtave të tij</w:t>
      </w:r>
      <w:r w:rsidRPr="00804124">
        <w:rPr>
          <w:rFonts w:ascii="Times New Roman" w:hAnsi="Times New Roman"/>
          <w:color w:val="0D0D0D" w:themeColor="text1" w:themeTint="F2"/>
          <w:sz w:val="24"/>
          <w:szCs w:val="24"/>
          <w:lang w:val="sq-AL"/>
        </w:rPr>
        <w:t xml:space="preserve">, të drejta që sipas tij i rrjedhin nga </w:t>
      </w:r>
      <w:r w:rsidRPr="00804124">
        <w:rPr>
          <w:rFonts w:ascii="Times New Roman" w:hAnsi="Times New Roman"/>
          <w:bCs/>
          <w:color w:val="0D0D0D" w:themeColor="text1" w:themeTint="F2"/>
          <w:sz w:val="24"/>
          <w:szCs w:val="24"/>
          <w:lang w:val="sq-AL"/>
        </w:rPr>
        <w:t>vendimi nr.689, datë 06.09.1994 i ish-Komisionit të Kthimit dhe Kompensimit të Pronave</w:t>
      </w:r>
      <w:r w:rsidRPr="00804124">
        <w:rPr>
          <w:rFonts w:ascii="Times New Roman" w:hAnsi="Times New Roman"/>
          <w:color w:val="0D0D0D" w:themeColor="text1" w:themeTint="F2"/>
          <w:sz w:val="24"/>
          <w:szCs w:val="24"/>
          <w:lang w:val="sq-AL"/>
        </w:rPr>
        <w:t xml:space="preserve">, ish-pronarëve të Bashkisë së Qytetit Tiranë, me të cilin është vendosur: </w:t>
      </w:r>
      <w:r w:rsidRPr="00804124">
        <w:rPr>
          <w:rFonts w:ascii="Times New Roman" w:hAnsi="Times New Roman"/>
          <w:i/>
          <w:color w:val="0D0D0D" w:themeColor="text1" w:themeTint="F2"/>
          <w:sz w:val="24"/>
          <w:szCs w:val="24"/>
          <w:lang w:val="sq-AL"/>
        </w:rPr>
        <w:t xml:space="preserve">“Të njihet pronësia e Murat Lugës mbi një truall prej 20.000 m², në bazë të nenit 1 të ligjit nr.7698,datë 15.04.1993 “Për Kthimin dhe Kompensimin e Pronës ish-Pronarëve”, si vijon: c) Mbështetur në nenin 4 dhe 19 të ligjit nr.7698,datë 15.04.1993, i kthehet pronarit Murat Luga një sipërfaqe prej 5.000 m² truall të lirë. d)Mbështetur në nenin 5 të ligjit, të bëhet kompensim për sipërfaqen tjetër si më poshtë:-5.000 m² kompensim të plotë (neni 5, paragrafi i parë);-10.000 m² me kompensim në masën +10% (neni 5, paragrafi i dytë). T’i njihet pronarit Murat Luga, në mbështetje të nenit 21 të ligjit nr.7698, datë 15.04.1993, </w:t>
      </w:r>
      <w:r w:rsidRPr="00804124">
        <w:rPr>
          <w:rFonts w:ascii="Times New Roman" w:hAnsi="Times New Roman"/>
          <w:bCs/>
          <w:i/>
          <w:color w:val="0D0D0D" w:themeColor="text1" w:themeTint="F2"/>
          <w:sz w:val="24"/>
          <w:szCs w:val="24"/>
          <w:lang w:val="sq-AL"/>
        </w:rPr>
        <w:t>e drejta e parablerjes</w:t>
      </w:r>
      <w:r w:rsidRPr="00804124">
        <w:rPr>
          <w:rFonts w:ascii="Times New Roman" w:hAnsi="Times New Roman"/>
          <w:i/>
          <w:color w:val="0D0D0D" w:themeColor="text1" w:themeTint="F2"/>
          <w:sz w:val="24"/>
          <w:szCs w:val="24"/>
          <w:lang w:val="sq-AL"/>
        </w:rPr>
        <w:t xml:space="preserve"> në rastin e privatizimit të objekteve shtetërore që ndodhen në truallin e tij.”. </w:t>
      </w:r>
      <w:r w:rsidRPr="00804124">
        <w:rPr>
          <w:rFonts w:ascii="Times New Roman" w:hAnsi="Times New Roman"/>
          <w:color w:val="0D0D0D" w:themeColor="text1" w:themeTint="F2"/>
          <w:sz w:val="24"/>
          <w:szCs w:val="24"/>
          <w:lang w:val="sq-AL"/>
        </w:rPr>
        <w:t xml:space="preserve">Paditësi </w:t>
      </w:r>
      <w:r w:rsidRPr="00804124">
        <w:rPr>
          <w:rFonts w:ascii="Times New Roman" w:hAnsi="Times New Roman"/>
          <w:bCs/>
          <w:color w:val="0D0D0D" w:themeColor="text1" w:themeTint="F2"/>
          <w:sz w:val="24"/>
          <w:szCs w:val="24"/>
          <w:lang w:val="sq-AL"/>
        </w:rPr>
        <w:t>Sadik Luga</w:t>
      </w:r>
      <w:r w:rsidRPr="00804124">
        <w:rPr>
          <w:rFonts w:ascii="Times New Roman" w:hAnsi="Times New Roman"/>
          <w:color w:val="0D0D0D" w:themeColor="text1" w:themeTint="F2"/>
          <w:sz w:val="24"/>
          <w:szCs w:val="24"/>
          <w:lang w:val="sq-AL"/>
        </w:rPr>
        <w:t xml:space="preserve">, referuar vendimit </w:t>
      </w:r>
      <w:r w:rsidRPr="00804124">
        <w:rPr>
          <w:rFonts w:ascii="Times New Roman" w:hAnsi="Times New Roman"/>
          <w:color w:val="0D0D0D" w:themeColor="text1" w:themeTint="F2"/>
          <w:sz w:val="24"/>
          <w:szCs w:val="24"/>
          <w:lang w:val="sq-AL"/>
        </w:rPr>
        <w:lastRenderedPageBreak/>
        <w:t xml:space="preserve">nr.3151, datë 01.06.2006 të </w:t>
      </w:r>
      <w:r w:rsidRPr="00804124">
        <w:rPr>
          <w:rFonts w:ascii="Times New Roman" w:hAnsi="Times New Roman"/>
          <w:bCs/>
          <w:color w:val="0D0D0D" w:themeColor="text1" w:themeTint="F2"/>
          <w:sz w:val="24"/>
          <w:szCs w:val="24"/>
          <w:lang w:val="sq-AL"/>
        </w:rPr>
        <w:t>Gjykatës së Rrethit Gjyqësor Tiranë</w:t>
      </w:r>
      <w:r w:rsidRPr="00804124">
        <w:rPr>
          <w:rFonts w:ascii="Times New Roman" w:hAnsi="Times New Roman"/>
          <w:color w:val="0D0D0D" w:themeColor="text1" w:themeTint="F2"/>
          <w:sz w:val="24"/>
          <w:szCs w:val="24"/>
          <w:lang w:val="sq-AL"/>
        </w:rPr>
        <w:t xml:space="preserve">, rezulton të jetë </w:t>
      </w:r>
      <w:r w:rsidRPr="00804124">
        <w:rPr>
          <w:rFonts w:ascii="Times New Roman" w:hAnsi="Times New Roman"/>
          <w:bCs/>
          <w:color w:val="0D0D0D" w:themeColor="text1" w:themeTint="F2"/>
          <w:sz w:val="24"/>
          <w:szCs w:val="24"/>
          <w:lang w:val="sq-AL"/>
        </w:rPr>
        <w:t>një nga trashëgimtarët ligjorë</w:t>
      </w:r>
      <w:r w:rsidRPr="00804124">
        <w:rPr>
          <w:rFonts w:ascii="Times New Roman" w:hAnsi="Times New Roman"/>
          <w:color w:val="0D0D0D" w:themeColor="text1" w:themeTint="F2"/>
          <w:sz w:val="24"/>
          <w:szCs w:val="24"/>
          <w:lang w:val="sq-AL"/>
        </w:rPr>
        <w:t xml:space="preserve"> të trashëgimlënësit Murat Luga.</w:t>
      </w:r>
      <w:r w:rsidRPr="00804124">
        <w:rPr>
          <w:rFonts w:ascii="Times New Roman" w:hAnsi="Times New Roman"/>
          <w:i/>
          <w:color w:val="0D0D0D" w:themeColor="text1" w:themeTint="F2"/>
          <w:sz w:val="24"/>
          <w:szCs w:val="24"/>
          <w:lang w:val="sq-AL"/>
        </w:rPr>
        <w:t xml:space="preserve"> </w:t>
      </w:r>
      <w:r w:rsidRPr="00804124">
        <w:rPr>
          <w:rFonts w:ascii="Times New Roman" w:hAnsi="Times New Roman"/>
          <w:color w:val="0D0D0D" w:themeColor="text1" w:themeTint="F2"/>
          <w:sz w:val="24"/>
          <w:szCs w:val="24"/>
          <w:lang w:val="sq-AL"/>
        </w:rPr>
        <w:t xml:space="preserve">Po kështu, rezulton se </w:t>
      </w:r>
      <w:r w:rsidRPr="00804124">
        <w:rPr>
          <w:rFonts w:ascii="Times New Roman" w:hAnsi="Times New Roman"/>
          <w:bCs/>
          <w:color w:val="0D0D0D" w:themeColor="text1" w:themeTint="F2"/>
          <w:sz w:val="24"/>
          <w:szCs w:val="24"/>
          <w:lang w:val="sq-AL"/>
        </w:rPr>
        <w:t>si pjesë e kapitalit të shoqërisë “Alb Italia Construzioni” SH.P.K. është e regjistruar në ZRPP</w:t>
      </w:r>
      <w:r w:rsidRPr="00804124">
        <w:rPr>
          <w:rFonts w:ascii="Times New Roman" w:hAnsi="Times New Roman"/>
          <w:color w:val="0D0D0D" w:themeColor="text1" w:themeTint="F2"/>
          <w:sz w:val="24"/>
          <w:szCs w:val="24"/>
          <w:lang w:val="sq-AL"/>
        </w:rPr>
        <w:t xml:space="preserve"> një sipërfaqe trualli prej </w:t>
      </w:r>
      <w:r w:rsidRPr="00804124">
        <w:rPr>
          <w:rFonts w:ascii="Times New Roman" w:hAnsi="Times New Roman"/>
          <w:bCs/>
          <w:color w:val="0D0D0D" w:themeColor="text1" w:themeTint="F2"/>
          <w:sz w:val="24"/>
          <w:szCs w:val="24"/>
          <w:lang w:val="sq-AL"/>
        </w:rPr>
        <w:t>6,459 m²</w:t>
      </w:r>
      <w:r w:rsidRPr="00804124">
        <w:rPr>
          <w:rFonts w:ascii="Times New Roman" w:hAnsi="Times New Roman"/>
          <w:color w:val="0D0D0D" w:themeColor="text1" w:themeTint="F2"/>
          <w:sz w:val="24"/>
          <w:szCs w:val="24"/>
          <w:lang w:val="sq-AL"/>
        </w:rPr>
        <w:t>, në vol. 8, faqe 128, zona kadastrale 8340.</w:t>
      </w:r>
    </w:p>
    <w:p w14:paraId="38C59888" w14:textId="77777777" w:rsidR="00882B3F" w:rsidRPr="00804124" w:rsidRDefault="00882B3F" w:rsidP="00882B3F">
      <w:pPr>
        <w:tabs>
          <w:tab w:val="left" w:pos="1800"/>
        </w:tabs>
        <w:spacing w:after="0" w:line="240" w:lineRule="auto"/>
        <w:ind w:firstLine="360"/>
        <w:jc w:val="both"/>
        <w:rPr>
          <w:rFonts w:ascii="Times New Roman" w:hAnsi="Times New Roman"/>
          <w:i/>
          <w:color w:val="0D0D0D" w:themeColor="text1" w:themeTint="F2"/>
          <w:sz w:val="24"/>
          <w:szCs w:val="24"/>
          <w:lang w:val="sq-AL"/>
        </w:rPr>
      </w:pPr>
      <w:r w:rsidRPr="00804124">
        <w:rPr>
          <w:rFonts w:ascii="Times New Roman" w:hAnsi="Times New Roman"/>
          <w:color w:val="0D0D0D" w:themeColor="text1" w:themeTint="F2"/>
          <w:sz w:val="24"/>
          <w:szCs w:val="24"/>
          <w:lang w:val="sq-AL"/>
        </w:rPr>
        <w:t>14.2.</w:t>
      </w:r>
      <w:r w:rsidRPr="00804124">
        <w:rPr>
          <w:rFonts w:ascii="Times New Roman" w:hAnsi="Times New Roman"/>
          <w:i/>
          <w:color w:val="0D0D0D" w:themeColor="text1" w:themeTint="F2"/>
          <w:sz w:val="24"/>
          <w:szCs w:val="24"/>
          <w:lang w:val="sq-AL"/>
        </w:rPr>
        <w:t xml:space="preserve"> </w:t>
      </w:r>
      <w:r w:rsidRPr="00804124">
        <w:rPr>
          <w:rFonts w:ascii="Times New Roman" w:hAnsi="Times New Roman"/>
          <w:color w:val="0D0D0D" w:themeColor="text1" w:themeTint="F2"/>
          <w:sz w:val="24"/>
          <w:szCs w:val="24"/>
          <w:lang w:val="sq-AL"/>
        </w:rPr>
        <w:t xml:space="preserve">Referuar kontratës së shitjes nr.556 rep., nr.268 kol., datë 20.12.2012, rezulton se </w:t>
      </w:r>
      <w:r w:rsidRPr="00804124">
        <w:rPr>
          <w:rFonts w:ascii="Times New Roman" w:hAnsi="Times New Roman"/>
          <w:bCs/>
          <w:color w:val="0D0D0D" w:themeColor="text1" w:themeTint="F2"/>
          <w:sz w:val="24"/>
          <w:szCs w:val="24"/>
          <w:lang w:val="sq-AL"/>
        </w:rPr>
        <w:t>objekt i kontratës është shitja e 40% të pjesës së kapitalit shtetëror</w:t>
      </w:r>
      <w:r w:rsidRPr="00804124">
        <w:rPr>
          <w:rFonts w:ascii="Times New Roman" w:hAnsi="Times New Roman"/>
          <w:color w:val="0D0D0D" w:themeColor="text1" w:themeTint="F2"/>
          <w:sz w:val="24"/>
          <w:szCs w:val="24"/>
          <w:lang w:val="sq-AL"/>
        </w:rPr>
        <w:t xml:space="preserve"> të Shoqërisë “Albitalia Construzioni” SH.P.K. Po kështu, rezulton se pjesë e kapitalit të shoqërisë, sikurse është thënë edhe më lart, është edhe </w:t>
      </w:r>
      <w:r w:rsidRPr="00804124">
        <w:rPr>
          <w:rFonts w:ascii="Times New Roman" w:hAnsi="Times New Roman"/>
          <w:bCs/>
          <w:color w:val="0D0D0D" w:themeColor="text1" w:themeTint="F2"/>
          <w:sz w:val="24"/>
          <w:szCs w:val="24"/>
          <w:lang w:val="sq-AL"/>
        </w:rPr>
        <w:t>trualli me sipërfaqe prej 6.459 m²</w:t>
      </w:r>
      <w:r w:rsidRPr="00804124">
        <w:rPr>
          <w:rFonts w:ascii="Times New Roman" w:hAnsi="Times New Roman"/>
          <w:color w:val="0D0D0D" w:themeColor="text1" w:themeTint="F2"/>
          <w:sz w:val="24"/>
          <w:szCs w:val="24"/>
          <w:lang w:val="sq-AL"/>
        </w:rPr>
        <w:t xml:space="preserve">. Sipas </w:t>
      </w:r>
      <w:r w:rsidRPr="00804124">
        <w:rPr>
          <w:rFonts w:ascii="Times New Roman" w:hAnsi="Times New Roman"/>
          <w:bCs/>
          <w:color w:val="0D0D0D" w:themeColor="text1" w:themeTint="F2"/>
          <w:sz w:val="24"/>
          <w:szCs w:val="24"/>
          <w:lang w:val="sq-AL"/>
        </w:rPr>
        <w:t>aktit të ekspertimit të ekspertit topograf</w:t>
      </w:r>
      <w:r w:rsidRPr="00804124">
        <w:rPr>
          <w:rFonts w:ascii="Times New Roman" w:hAnsi="Times New Roman"/>
          <w:color w:val="0D0D0D" w:themeColor="text1" w:themeTint="F2"/>
          <w:sz w:val="24"/>
          <w:szCs w:val="24"/>
          <w:lang w:val="sq-AL"/>
        </w:rPr>
        <w:t xml:space="preserve"> (të kryer në gjykimin në apel), rezulton se nga planvendosja e pronës së njohur (por jo të kthyer) të paditësit (dhe trashëgimtarëve të tjerë të të ndjerit Murat Luga) dhe pronës prej 6.459 m² pjesë e kapitalit të Shoqërisë “Albitalia Construzioni” SH.P.K, </w:t>
      </w:r>
      <w:r w:rsidRPr="00804124">
        <w:rPr>
          <w:rFonts w:ascii="Times New Roman" w:hAnsi="Times New Roman"/>
          <w:bCs/>
          <w:color w:val="0D0D0D" w:themeColor="text1" w:themeTint="F2"/>
          <w:sz w:val="24"/>
          <w:szCs w:val="24"/>
          <w:lang w:val="sq-AL"/>
        </w:rPr>
        <w:t>krijohet një mbivendosje në një sipërfaqe prej 3.665 m²</w:t>
      </w:r>
      <w:r w:rsidRPr="00804124">
        <w:rPr>
          <w:rFonts w:ascii="Times New Roman" w:hAnsi="Times New Roman"/>
          <w:color w:val="0D0D0D" w:themeColor="text1" w:themeTint="F2"/>
          <w:sz w:val="24"/>
          <w:szCs w:val="24"/>
          <w:lang w:val="sq-AL"/>
        </w:rPr>
        <w:t>.</w:t>
      </w:r>
      <w:r w:rsidRPr="00804124">
        <w:rPr>
          <w:rFonts w:ascii="Times New Roman" w:hAnsi="Times New Roman"/>
          <w:i/>
          <w:color w:val="0D0D0D" w:themeColor="text1" w:themeTint="F2"/>
          <w:sz w:val="24"/>
          <w:szCs w:val="24"/>
          <w:lang w:val="sq-AL"/>
        </w:rPr>
        <w:t xml:space="preserve"> </w:t>
      </w:r>
      <w:r w:rsidRPr="00804124">
        <w:rPr>
          <w:rFonts w:ascii="Times New Roman" w:hAnsi="Times New Roman"/>
          <w:color w:val="0D0D0D" w:themeColor="text1" w:themeTint="F2"/>
          <w:sz w:val="24"/>
          <w:szCs w:val="24"/>
          <w:lang w:val="sq-AL"/>
        </w:rPr>
        <w:t xml:space="preserve">Pikërisht nisur nga kjo mbivendosje e pronës së njohur paditësit (dhe trashëgimtarëve të tjerë të të ndjerit Murat Luga), </w:t>
      </w:r>
      <w:r w:rsidRPr="00804124">
        <w:rPr>
          <w:rFonts w:ascii="Times New Roman" w:hAnsi="Times New Roman"/>
          <w:bCs/>
          <w:color w:val="0D0D0D" w:themeColor="text1" w:themeTint="F2"/>
          <w:sz w:val="24"/>
          <w:szCs w:val="24"/>
          <w:lang w:val="sq-AL"/>
        </w:rPr>
        <w:t>paditësi ka ngritur padi dhe kërkon pavlefshmërinë e kontratës</w:t>
      </w:r>
      <w:r w:rsidRPr="00804124">
        <w:rPr>
          <w:rFonts w:ascii="Times New Roman" w:hAnsi="Times New Roman"/>
          <w:color w:val="0D0D0D" w:themeColor="text1" w:themeTint="F2"/>
          <w:sz w:val="24"/>
          <w:szCs w:val="24"/>
          <w:lang w:val="sq-AL"/>
        </w:rPr>
        <w:t xml:space="preserve"> së cituar më lart, pasi i janë cenuar të drejtat e tij, me argumentin se: Pala e paditur ka vepruar në kundërshtim me </w:t>
      </w:r>
      <w:r w:rsidRPr="00804124">
        <w:rPr>
          <w:rFonts w:ascii="Times New Roman" w:hAnsi="Times New Roman"/>
          <w:bCs/>
          <w:color w:val="0D0D0D" w:themeColor="text1" w:themeTint="F2"/>
          <w:sz w:val="24"/>
          <w:szCs w:val="24"/>
          <w:lang w:val="sq-AL"/>
        </w:rPr>
        <w:t>VKM nr.230, datë 04.04.1998</w:t>
      </w:r>
      <w:r w:rsidRPr="00804124">
        <w:rPr>
          <w:rFonts w:ascii="Times New Roman" w:hAnsi="Times New Roman"/>
          <w:color w:val="0D0D0D" w:themeColor="text1" w:themeTint="F2"/>
          <w:sz w:val="24"/>
          <w:szCs w:val="24"/>
          <w:lang w:val="sq-AL"/>
        </w:rPr>
        <w:t xml:space="preserve">, e ndryshuar, pika 5/e, </w:t>
      </w:r>
      <w:r w:rsidRPr="00804124">
        <w:rPr>
          <w:rFonts w:ascii="Times New Roman" w:hAnsi="Times New Roman"/>
          <w:bCs/>
          <w:color w:val="0D0D0D" w:themeColor="text1" w:themeTint="F2"/>
          <w:sz w:val="24"/>
          <w:szCs w:val="24"/>
          <w:lang w:val="sq-AL"/>
        </w:rPr>
        <w:t>duke mos marrë asnjë dokumentacion ligjor për verifikimin juridik të sipërfaqes së truallit</w:t>
      </w:r>
      <w:r w:rsidRPr="00804124">
        <w:rPr>
          <w:rFonts w:ascii="Times New Roman" w:hAnsi="Times New Roman"/>
          <w:color w:val="0D0D0D" w:themeColor="text1" w:themeTint="F2"/>
          <w:sz w:val="24"/>
          <w:szCs w:val="24"/>
          <w:lang w:val="sq-AL"/>
        </w:rPr>
        <w:t xml:space="preserve">; Po ashtu, në kundërshtim me VKM-në nr.230, datë 04.04.1998, pasi në rast privatizimi, </w:t>
      </w:r>
      <w:r w:rsidRPr="00804124">
        <w:rPr>
          <w:rFonts w:ascii="Times New Roman" w:hAnsi="Times New Roman"/>
          <w:bCs/>
          <w:color w:val="0D0D0D" w:themeColor="text1" w:themeTint="F2"/>
          <w:sz w:val="24"/>
          <w:szCs w:val="24"/>
          <w:lang w:val="sq-AL"/>
        </w:rPr>
        <w:t>pronarit të truallit i është mohuar e drejta e parablerjes</w:t>
      </w:r>
      <w:r w:rsidRPr="00804124">
        <w:rPr>
          <w:rFonts w:ascii="Times New Roman" w:hAnsi="Times New Roman"/>
          <w:color w:val="0D0D0D" w:themeColor="text1" w:themeTint="F2"/>
          <w:sz w:val="24"/>
          <w:szCs w:val="24"/>
          <w:lang w:val="sq-AL"/>
        </w:rPr>
        <w:t xml:space="preserve"> së godinës shtetërore të ngritur në truallin e tij.</w:t>
      </w:r>
      <w:r w:rsidRPr="00804124">
        <w:rPr>
          <w:rFonts w:ascii="Times New Roman" w:hAnsi="Times New Roman"/>
          <w:i/>
          <w:color w:val="0D0D0D" w:themeColor="text1" w:themeTint="F2"/>
          <w:sz w:val="24"/>
          <w:szCs w:val="24"/>
          <w:lang w:val="sq-AL"/>
        </w:rPr>
        <w:t xml:space="preserve"> </w:t>
      </w:r>
      <w:r w:rsidRPr="00804124">
        <w:rPr>
          <w:rFonts w:ascii="Times New Roman" w:hAnsi="Times New Roman"/>
          <w:color w:val="0D0D0D" w:themeColor="text1" w:themeTint="F2"/>
          <w:sz w:val="24"/>
          <w:szCs w:val="24"/>
          <w:lang w:val="sq-AL"/>
        </w:rPr>
        <w:t>Referuar këtyre fakteve dhe provave, gjykata çmon të theksojë se, s</w:t>
      </w:r>
      <w:r w:rsidRPr="00804124">
        <w:rPr>
          <w:rFonts w:ascii="Times New Roman" w:hAnsi="Times New Roman"/>
          <w:bCs/>
          <w:color w:val="0D0D0D" w:themeColor="text1" w:themeTint="F2"/>
          <w:sz w:val="24"/>
          <w:szCs w:val="24"/>
          <w:lang w:val="sq-AL"/>
        </w:rPr>
        <w:t>ë pari:</w:t>
      </w:r>
      <w:r w:rsidRPr="00804124">
        <w:rPr>
          <w:rFonts w:ascii="Times New Roman" w:hAnsi="Times New Roman"/>
          <w:color w:val="0D0D0D" w:themeColor="text1" w:themeTint="F2"/>
          <w:sz w:val="24"/>
          <w:szCs w:val="24"/>
          <w:lang w:val="sq-AL"/>
        </w:rPr>
        <w:t xml:space="preserve"> Objekt i kontratës së shitjes nr.556 rep., nr.268 kol., datë 20.12.2012 </w:t>
      </w:r>
      <w:r w:rsidRPr="00804124">
        <w:rPr>
          <w:rFonts w:ascii="Times New Roman" w:hAnsi="Times New Roman"/>
          <w:bCs/>
          <w:color w:val="0D0D0D" w:themeColor="text1" w:themeTint="F2"/>
          <w:sz w:val="24"/>
          <w:szCs w:val="24"/>
          <w:lang w:val="sq-AL"/>
        </w:rPr>
        <w:t>nuk është as trualli prej 6.459 m² i regjistruar në ZRPP Tiranë në emër të shoqërisë</w:t>
      </w:r>
      <w:r w:rsidRPr="00804124">
        <w:rPr>
          <w:rFonts w:ascii="Times New Roman" w:hAnsi="Times New Roman"/>
          <w:color w:val="0D0D0D" w:themeColor="text1" w:themeTint="F2"/>
          <w:sz w:val="24"/>
          <w:szCs w:val="24"/>
          <w:lang w:val="sq-AL"/>
        </w:rPr>
        <w:t xml:space="preserve">, dhe as godinat e ndërtuara mbi të (edhe këto të regjistruara në emër të shoqërisë).Objekt i kontratës së shitjes </w:t>
      </w:r>
      <w:r w:rsidRPr="00804124">
        <w:rPr>
          <w:rFonts w:ascii="Times New Roman" w:hAnsi="Times New Roman"/>
          <w:bCs/>
          <w:color w:val="0D0D0D" w:themeColor="text1" w:themeTint="F2"/>
          <w:sz w:val="24"/>
          <w:szCs w:val="24"/>
          <w:lang w:val="sq-AL"/>
        </w:rPr>
        <w:t>janë kuotat prej 40% të kapitalit që shteti zotëron në Shoqërinë “Albitalia Construzioni” SH.P.K.</w:t>
      </w:r>
      <w:r w:rsidRPr="00804124">
        <w:rPr>
          <w:rFonts w:ascii="Times New Roman" w:hAnsi="Times New Roman"/>
          <w:color w:val="0D0D0D" w:themeColor="text1" w:themeTint="F2"/>
          <w:sz w:val="24"/>
          <w:szCs w:val="24"/>
          <w:lang w:val="sq-AL"/>
        </w:rPr>
        <w:t xml:space="preserve">Pra, </w:t>
      </w:r>
      <w:r w:rsidRPr="00804124">
        <w:rPr>
          <w:rFonts w:ascii="Times New Roman" w:hAnsi="Times New Roman"/>
          <w:bCs/>
          <w:color w:val="0D0D0D" w:themeColor="text1" w:themeTint="F2"/>
          <w:sz w:val="24"/>
          <w:szCs w:val="24"/>
          <w:lang w:val="sq-AL"/>
        </w:rPr>
        <w:t>as trualli, as godinat, apo pajisjet, makineritë etj., në pronësi të shoqërisë</w:t>
      </w:r>
      <w:r w:rsidRPr="00804124">
        <w:rPr>
          <w:rFonts w:ascii="Times New Roman" w:hAnsi="Times New Roman"/>
          <w:color w:val="0D0D0D" w:themeColor="text1" w:themeTint="F2"/>
          <w:sz w:val="24"/>
          <w:szCs w:val="24"/>
          <w:lang w:val="sq-AL"/>
        </w:rPr>
        <w:t xml:space="preserve">, nuk janë objekt shitje. Ato janë </w:t>
      </w:r>
      <w:r w:rsidRPr="00804124">
        <w:rPr>
          <w:rFonts w:ascii="Times New Roman" w:hAnsi="Times New Roman"/>
          <w:bCs/>
          <w:color w:val="0D0D0D" w:themeColor="text1" w:themeTint="F2"/>
          <w:sz w:val="24"/>
          <w:szCs w:val="24"/>
          <w:lang w:val="sq-AL"/>
        </w:rPr>
        <w:t>të vlerësuara në një vlerë të caktuar</w:t>
      </w:r>
      <w:r w:rsidRPr="00804124">
        <w:rPr>
          <w:rFonts w:ascii="Times New Roman" w:hAnsi="Times New Roman"/>
          <w:color w:val="0D0D0D" w:themeColor="text1" w:themeTint="F2"/>
          <w:sz w:val="24"/>
          <w:szCs w:val="24"/>
          <w:lang w:val="sq-AL"/>
        </w:rPr>
        <w:t xml:space="preserve"> (të përcaktuar në kontratë sipas përfundimeve të ekspertëve) dhe të gjitha së bashku </w:t>
      </w:r>
      <w:r w:rsidRPr="00804124">
        <w:rPr>
          <w:rFonts w:ascii="Times New Roman" w:hAnsi="Times New Roman"/>
          <w:bCs/>
          <w:color w:val="0D0D0D" w:themeColor="text1" w:themeTint="F2"/>
          <w:sz w:val="24"/>
          <w:szCs w:val="24"/>
          <w:lang w:val="sq-AL"/>
        </w:rPr>
        <w:t>përbëjnë atë që quhet kuota apo pjesë në kapitalin e shoqërisë</w:t>
      </w:r>
      <w:r w:rsidRPr="00804124">
        <w:rPr>
          <w:rFonts w:ascii="Times New Roman" w:hAnsi="Times New Roman"/>
          <w:color w:val="0D0D0D" w:themeColor="text1" w:themeTint="F2"/>
          <w:sz w:val="24"/>
          <w:szCs w:val="24"/>
          <w:lang w:val="sq-AL"/>
        </w:rPr>
        <w:t xml:space="preserve"> të ortakut shtet.</w:t>
      </w:r>
      <w:r w:rsidRPr="00804124">
        <w:rPr>
          <w:rFonts w:ascii="Times New Roman" w:hAnsi="Times New Roman"/>
          <w:i/>
          <w:color w:val="0D0D0D" w:themeColor="text1" w:themeTint="F2"/>
          <w:sz w:val="24"/>
          <w:szCs w:val="24"/>
          <w:lang w:val="sq-AL"/>
        </w:rPr>
        <w:t xml:space="preserve"> </w:t>
      </w:r>
      <w:r w:rsidRPr="00804124">
        <w:rPr>
          <w:rFonts w:ascii="Times New Roman" w:hAnsi="Times New Roman"/>
          <w:bCs/>
          <w:color w:val="0D0D0D" w:themeColor="text1" w:themeTint="F2"/>
          <w:sz w:val="24"/>
          <w:szCs w:val="24"/>
          <w:lang w:val="sq-AL"/>
        </w:rPr>
        <w:t>Pra, objekt shitjeje janë kuotat</w:t>
      </w:r>
      <w:r w:rsidRPr="00804124">
        <w:rPr>
          <w:rFonts w:ascii="Times New Roman" w:hAnsi="Times New Roman"/>
          <w:color w:val="0D0D0D" w:themeColor="text1" w:themeTint="F2"/>
          <w:sz w:val="24"/>
          <w:szCs w:val="24"/>
          <w:lang w:val="sq-AL"/>
        </w:rPr>
        <w:t xml:space="preserve">, dhe </w:t>
      </w:r>
      <w:r w:rsidRPr="00804124">
        <w:rPr>
          <w:rFonts w:ascii="Times New Roman" w:hAnsi="Times New Roman"/>
          <w:bCs/>
          <w:color w:val="0D0D0D" w:themeColor="text1" w:themeTint="F2"/>
          <w:sz w:val="24"/>
          <w:szCs w:val="24"/>
          <w:lang w:val="sq-AL"/>
        </w:rPr>
        <w:t>jo godinat apo trualli</w:t>
      </w:r>
      <w:r w:rsidRPr="00804124">
        <w:rPr>
          <w:rFonts w:ascii="Times New Roman" w:hAnsi="Times New Roman"/>
          <w:color w:val="0D0D0D" w:themeColor="text1" w:themeTint="F2"/>
          <w:sz w:val="24"/>
          <w:szCs w:val="24"/>
          <w:lang w:val="sq-AL"/>
        </w:rPr>
        <w:t xml:space="preserve">, të cilat tashmë janë pjesë e kapitalit të shoqërisë dhe të vlerësuara së bashku me makineritë dhe pajisjet </w:t>
      </w:r>
      <w:r w:rsidRPr="00804124">
        <w:rPr>
          <w:rFonts w:ascii="Times New Roman" w:hAnsi="Times New Roman"/>
          <w:bCs/>
          <w:color w:val="0D0D0D" w:themeColor="text1" w:themeTint="F2"/>
          <w:sz w:val="24"/>
          <w:szCs w:val="24"/>
          <w:lang w:val="sq-AL"/>
        </w:rPr>
        <w:t>formojnë kapitalin 100% të shoqërisë</w:t>
      </w:r>
      <w:r w:rsidRPr="00804124">
        <w:rPr>
          <w:rFonts w:ascii="Times New Roman" w:hAnsi="Times New Roman"/>
          <w:color w:val="0D0D0D" w:themeColor="text1" w:themeTint="F2"/>
          <w:sz w:val="24"/>
          <w:szCs w:val="24"/>
          <w:lang w:val="sq-AL"/>
        </w:rPr>
        <w:t>, të ndarë në kuota që zotëron secili nga ortakët.</w:t>
      </w:r>
    </w:p>
    <w:p w14:paraId="0F796D67" w14:textId="77777777" w:rsidR="00882B3F" w:rsidRPr="00804124" w:rsidRDefault="00882B3F" w:rsidP="00882B3F">
      <w:pPr>
        <w:tabs>
          <w:tab w:val="left" w:pos="1800"/>
        </w:tabs>
        <w:spacing w:after="0" w:line="240" w:lineRule="auto"/>
        <w:ind w:firstLine="360"/>
        <w:jc w:val="both"/>
        <w:rPr>
          <w:rFonts w:ascii="Times New Roman" w:hAnsi="Times New Roman"/>
          <w:i/>
          <w:color w:val="0D0D0D" w:themeColor="text1" w:themeTint="F2"/>
          <w:sz w:val="24"/>
          <w:szCs w:val="24"/>
          <w:lang w:val="sq-AL"/>
        </w:rPr>
      </w:pPr>
      <w:r w:rsidRPr="00804124">
        <w:rPr>
          <w:rFonts w:ascii="Times New Roman" w:hAnsi="Times New Roman"/>
          <w:bCs/>
          <w:color w:val="0D0D0D" w:themeColor="text1" w:themeTint="F2"/>
          <w:sz w:val="24"/>
          <w:szCs w:val="24"/>
          <w:lang w:val="sq-AL"/>
        </w:rPr>
        <w:t>14.3</w:t>
      </w:r>
      <w:r w:rsidRPr="00804124">
        <w:rPr>
          <w:rFonts w:ascii="Times New Roman" w:hAnsi="Times New Roman"/>
          <w:color w:val="0D0D0D" w:themeColor="text1" w:themeTint="F2"/>
          <w:sz w:val="24"/>
          <w:szCs w:val="24"/>
          <w:lang w:val="sq-AL"/>
        </w:rPr>
        <w:t xml:space="preserve">. Shitja e pjesëve (kuotave) të kapitalit shtetëror është bërë </w:t>
      </w:r>
      <w:r w:rsidRPr="00804124">
        <w:rPr>
          <w:rFonts w:ascii="Times New Roman" w:hAnsi="Times New Roman"/>
          <w:bCs/>
          <w:color w:val="0D0D0D" w:themeColor="text1" w:themeTint="F2"/>
          <w:sz w:val="24"/>
          <w:szCs w:val="24"/>
          <w:lang w:val="sq-AL"/>
        </w:rPr>
        <w:t>brenda Shoqërisë “Alb Italia Construzioni” SH.P.K</w:t>
      </w:r>
      <w:r w:rsidRPr="00804124">
        <w:rPr>
          <w:rFonts w:ascii="Times New Roman" w:hAnsi="Times New Roman"/>
          <w:color w:val="0D0D0D" w:themeColor="text1" w:themeTint="F2"/>
          <w:sz w:val="24"/>
          <w:szCs w:val="24"/>
          <w:lang w:val="sq-AL"/>
        </w:rPr>
        <w:t xml:space="preserve">, nga njëri ortak te tjetri, dhe ortaku joshtetëror është shprehur dakord me blerjen, sipas </w:t>
      </w:r>
      <w:r w:rsidRPr="00804124">
        <w:rPr>
          <w:rFonts w:ascii="Times New Roman" w:hAnsi="Times New Roman"/>
          <w:bCs/>
          <w:color w:val="0D0D0D" w:themeColor="text1" w:themeTint="F2"/>
          <w:sz w:val="24"/>
          <w:szCs w:val="24"/>
          <w:lang w:val="sq-AL"/>
        </w:rPr>
        <w:t>vendimit nr.3, datë 11.05.2012 të Asamblesë së Ortakëve</w:t>
      </w:r>
      <w:r w:rsidRPr="00804124">
        <w:rPr>
          <w:rFonts w:ascii="Times New Roman" w:hAnsi="Times New Roman"/>
          <w:color w:val="0D0D0D" w:themeColor="text1" w:themeTint="F2"/>
          <w:sz w:val="24"/>
          <w:szCs w:val="24"/>
          <w:lang w:val="sq-AL"/>
        </w:rPr>
        <w:t xml:space="preserve"> të Shoqërisë “Alb Italia Construzioni” SH.P.K, me të cilin është miratuar kalimi në pronësi i kuotës 40% të pjesëve të kapitalit themeltar, nëpërmjet </w:t>
      </w:r>
      <w:r w:rsidRPr="00804124">
        <w:rPr>
          <w:rFonts w:ascii="Times New Roman" w:hAnsi="Times New Roman"/>
          <w:bCs/>
          <w:color w:val="0D0D0D" w:themeColor="text1" w:themeTint="F2"/>
          <w:sz w:val="24"/>
          <w:szCs w:val="24"/>
          <w:lang w:val="sq-AL"/>
        </w:rPr>
        <w:t>privatizimit nga Ministria e Ekonomisë, Tregtisë dhe Energjetikës</w:t>
      </w:r>
      <w:r w:rsidRPr="00804124">
        <w:rPr>
          <w:rFonts w:ascii="Times New Roman" w:hAnsi="Times New Roman"/>
          <w:color w:val="0D0D0D" w:themeColor="text1" w:themeTint="F2"/>
          <w:sz w:val="24"/>
          <w:szCs w:val="24"/>
          <w:lang w:val="sq-AL"/>
        </w:rPr>
        <w:t xml:space="preserve"> tek ortaku joshtetëror </w:t>
      </w:r>
      <w:r w:rsidRPr="00804124">
        <w:rPr>
          <w:rFonts w:ascii="Times New Roman" w:hAnsi="Times New Roman"/>
          <w:bCs/>
          <w:color w:val="0D0D0D" w:themeColor="text1" w:themeTint="F2"/>
          <w:sz w:val="24"/>
          <w:szCs w:val="24"/>
          <w:lang w:val="sq-AL"/>
        </w:rPr>
        <w:t>Ardian Prifti</w:t>
      </w:r>
      <w:r w:rsidRPr="00804124">
        <w:rPr>
          <w:rFonts w:ascii="Times New Roman" w:hAnsi="Times New Roman"/>
          <w:color w:val="0D0D0D" w:themeColor="text1" w:themeTint="F2"/>
          <w:sz w:val="24"/>
          <w:szCs w:val="24"/>
          <w:lang w:val="sq-AL"/>
        </w:rPr>
        <w:t>, pas shqyrtimit të propozimit të këtij të fundit, ndonëse me çmimin e ankandit.</w:t>
      </w:r>
      <w:r w:rsidRPr="00804124">
        <w:rPr>
          <w:rFonts w:ascii="Times New Roman" w:hAnsi="Times New Roman"/>
          <w:i/>
          <w:color w:val="0D0D0D" w:themeColor="text1" w:themeTint="F2"/>
          <w:sz w:val="24"/>
          <w:szCs w:val="24"/>
          <w:lang w:val="sq-AL"/>
        </w:rPr>
        <w:t xml:space="preserve"> </w:t>
      </w:r>
      <w:r w:rsidRPr="00804124">
        <w:rPr>
          <w:rFonts w:ascii="Times New Roman" w:hAnsi="Times New Roman"/>
          <w:bCs/>
          <w:color w:val="0D0D0D" w:themeColor="text1" w:themeTint="F2"/>
          <w:sz w:val="24"/>
          <w:szCs w:val="24"/>
          <w:lang w:val="sq-AL"/>
        </w:rPr>
        <w:t>Trualli ka qenë i përfshirë në kapitalin e shoqërisë</w:t>
      </w:r>
      <w:r w:rsidRPr="00804124">
        <w:rPr>
          <w:rFonts w:ascii="Times New Roman" w:hAnsi="Times New Roman"/>
          <w:color w:val="0D0D0D" w:themeColor="text1" w:themeTint="F2"/>
          <w:sz w:val="24"/>
          <w:szCs w:val="24"/>
          <w:lang w:val="sq-AL"/>
        </w:rPr>
        <w:t xml:space="preserve">, i vlerësuar me akt ekspertimi dhe </w:t>
      </w:r>
      <w:r w:rsidRPr="00804124">
        <w:rPr>
          <w:rFonts w:ascii="Times New Roman" w:hAnsi="Times New Roman"/>
          <w:bCs/>
          <w:color w:val="0D0D0D" w:themeColor="text1" w:themeTint="F2"/>
          <w:sz w:val="24"/>
          <w:szCs w:val="24"/>
          <w:lang w:val="sq-AL"/>
        </w:rPr>
        <w:t>i regjistruar me vendim gjykate</w:t>
      </w:r>
      <w:r w:rsidRPr="00804124">
        <w:rPr>
          <w:rFonts w:ascii="Times New Roman" w:hAnsi="Times New Roman"/>
          <w:color w:val="0D0D0D" w:themeColor="text1" w:themeTint="F2"/>
          <w:sz w:val="24"/>
          <w:szCs w:val="24"/>
          <w:lang w:val="sq-AL"/>
        </w:rPr>
        <w:t xml:space="preserve">, i cili </w:t>
      </w:r>
      <w:r w:rsidRPr="00804124">
        <w:rPr>
          <w:rFonts w:ascii="Times New Roman" w:hAnsi="Times New Roman"/>
          <w:bCs/>
          <w:color w:val="0D0D0D" w:themeColor="text1" w:themeTint="F2"/>
          <w:sz w:val="24"/>
          <w:szCs w:val="24"/>
          <w:lang w:val="sq-AL"/>
        </w:rPr>
        <w:t>nuk është kontestuar asnjëherë</w:t>
      </w:r>
      <w:r w:rsidRPr="00804124">
        <w:rPr>
          <w:rFonts w:ascii="Times New Roman" w:hAnsi="Times New Roman"/>
          <w:color w:val="0D0D0D" w:themeColor="text1" w:themeTint="F2"/>
          <w:sz w:val="24"/>
          <w:szCs w:val="24"/>
          <w:lang w:val="sq-AL"/>
        </w:rPr>
        <w:t>.</w:t>
      </w:r>
      <w:r w:rsidRPr="00804124">
        <w:rPr>
          <w:rFonts w:ascii="Times New Roman" w:hAnsi="Times New Roman"/>
          <w:i/>
          <w:color w:val="0D0D0D" w:themeColor="text1" w:themeTint="F2"/>
          <w:sz w:val="24"/>
          <w:szCs w:val="24"/>
          <w:lang w:val="sq-AL"/>
        </w:rPr>
        <w:t xml:space="preserve"> </w:t>
      </w:r>
      <w:r w:rsidRPr="00804124">
        <w:rPr>
          <w:rFonts w:ascii="Times New Roman" w:hAnsi="Times New Roman"/>
          <w:color w:val="0D0D0D" w:themeColor="text1" w:themeTint="F2"/>
          <w:sz w:val="24"/>
          <w:szCs w:val="24"/>
          <w:lang w:val="sq-AL"/>
        </w:rPr>
        <w:t xml:space="preserve">Sipas </w:t>
      </w:r>
      <w:r w:rsidRPr="00804124">
        <w:rPr>
          <w:rFonts w:ascii="Times New Roman" w:hAnsi="Times New Roman"/>
          <w:bCs/>
          <w:color w:val="0D0D0D" w:themeColor="text1" w:themeTint="F2"/>
          <w:sz w:val="24"/>
          <w:szCs w:val="24"/>
          <w:lang w:val="sq-AL"/>
        </w:rPr>
        <w:t>VKM-së nr.230,datë 04.04.1998 “Për privatizimin e pjesëve të kapitalit të zotëruara nga shteti në shoqëritë me kapital të përbashkët”</w:t>
      </w:r>
      <w:r w:rsidRPr="00804124">
        <w:rPr>
          <w:rFonts w:ascii="Times New Roman" w:hAnsi="Times New Roman"/>
          <w:color w:val="0D0D0D" w:themeColor="text1" w:themeTint="F2"/>
          <w:sz w:val="24"/>
          <w:szCs w:val="24"/>
          <w:lang w:val="sq-AL"/>
        </w:rPr>
        <w:t xml:space="preserve">, e ndryshuar, </w:t>
      </w:r>
      <w:r w:rsidRPr="00804124">
        <w:rPr>
          <w:rFonts w:ascii="Times New Roman" w:hAnsi="Times New Roman"/>
          <w:bCs/>
          <w:color w:val="0D0D0D" w:themeColor="text1" w:themeTint="F2"/>
          <w:sz w:val="24"/>
          <w:szCs w:val="24"/>
          <w:lang w:val="sq-AL"/>
        </w:rPr>
        <w:t>neni 7.1</w:t>
      </w:r>
      <w:r w:rsidRPr="00804124">
        <w:rPr>
          <w:rFonts w:ascii="Times New Roman" w:hAnsi="Times New Roman"/>
          <w:color w:val="0D0D0D" w:themeColor="text1" w:themeTint="F2"/>
          <w:sz w:val="24"/>
          <w:szCs w:val="24"/>
          <w:lang w:val="sq-AL"/>
        </w:rPr>
        <w:t xml:space="preserve"> parashikon se: </w:t>
      </w:r>
      <w:r w:rsidRPr="00804124">
        <w:rPr>
          <w:rFonts w:ascii="Times New Roman" w:hAnsi="Times New Roman"/>
          <w:i/>
          <w:color w:val="0D0D0D" w:themeColor="text1" w:themeTint="F2"/>
          <w:sz w:val="24"/>
          <w:szCs w:val="24"/>
          <w:lang w:val="sq-AL"/>
        </w:rPr>
        <w:t>“Kur ortaku joshtetëror shprehet dakord për blerjen e pjesëve të kapitalit shtetëror, lidh kontratë me AKP-në. Kur ortaku joshtetëror nuk shprehet dakord për blerjen e pjesëve të kapitalit shtetëror, AKP-ja ndjek procedurat për publikimin e pjesëve të kapitalit shtetëror.”</w:t>
      </w:r>
      <w:r w:rsidRPr="00804124">
        <w:rPr>
          <w:rFonts w:ascii="Times New Roman" w:hAnsi="Times New Roman"/>
          <w:color w:val="0D0D0D" w:themeColor="text1" w:themeTint="F2"/>
          <w:sz w:val="24"/>
          <w:szCs w:val="24"/>
          <w:lang w:val="sq-AL"/>
        </w:rPr>
        <w:t xml:space="preserve">. Në </w:t>
      </w:r>
      <w:r w:rsidRPr="00804124">
        <w:rPr>
          <w:rFonts w:ascii="Times New Roman" w:hAnsi="Times New Roman"/>
          <w:bCs/>
          <w:color w:val="0D0D0D" w:themeColor="text1" w:themeTint="F2"/>
          <w:sz w:val="24"/>
          <w:szCs w:val="24"/>
          <w:lang w:val="sq-AL"/>
        </w:rPr>
        <w:t>nenin 21 të VKM-së nr.230</w:t>
      </w:r>
      <w:r w:rsidRPr="00804124">
        <w:rPr>
          <w:rFonts w:ascii="Times New Roman" w:hAnsi="Times New Roman"/>
          <w:color w:val="0D0D0D" w:themeColor="text1" w:themeTint="F2"/>
          <w:sz w:val="24"/>
          <w:szCs w:val="24"/>
          <w:lang w:val="sq-AL"/>
        </w:rPr>
        <w:t xml:space="preserve">, datë 04.04.1998, parashikohet se: </w:t>
      </w:r>
      <w:r w:rsidRPr="00804124">
        <w:rPr>
          <w:rFonts w:ascii="Times New Roman" w:hAnsi="Times New Roman"/>
          <w:i/>
          <w:color w:val="0D0D0D" w:themeColor="text1" w:themeTint="F2"/>
          <w:sz w:val="24"/>
          <w:szCs w:val="24"/>
          <w:lang w:val="sq-AL"/>
        </w:rPr>
        <w:t xml:space="preserve">“Për pronarët e truallit, të cilëve u është njohur prona nga Komisioni i Kthimit të Pronave dhe ky truall është futur në kapitalin e zotëruar nga shteti në shoqërinë e përbashkët, </w:t>
      </w:r>
      <w:r w:rsidRPr="00804124">
        <w:rPr>
          <w:rFonts w:ascii="Times New Roman" w:hAnsi="Times New Roman"/>
          <w:bCs/>
          <w:i/>
          <w:color w:val="0D0D0D" w:themeColor="text1" w:themeTint="F2"/>
          <w:sz w:val="24"/>
          <w:szCs w:val="24"/>
          <w:lang w:val="sq-AL"/>
        </w:rPr>
        <w:t>kompensimi do të bëhet sipas legjislacionit në fuqi</w:t>
      </w:r>
      <w:r w:rsidRPr="00804124">
        <w:rPr>
          <w:rFonts w:ascii="Times New Roman" w:hAnsi="Times New Roman"/>
          <w:i/>
          <w:color w:val="0D0D0D" w:themeColor="text1" w:themeTint="F2"/>
          <w:sz w:val="24"/>
          <w:szCs w:val="24"/>
          <w:lang w:val="sq-AL"/>
        </w:rPr>
        <w:t xml:space="preserve">.”. </w:t>
      </w:r>
      <w:r w:rsidRPr="00804124">
        <w:rPr>
          <w:rFonts w:ascii="Times New Roman" w:hAnsi="Times New Roman"/>
          <w:color w:val="0D0D0D" w:themeColor="text1" w:themeTint="F2"/>
          <w:sz w:val="24"/>
          <w:szCs w:val="24"/>
          <w:lang w:val="sq-AL"/>
        </w:rPr>
        <w:t xml:space="preserve">Referuar </w:t>
      </w:r>
      <w:r w:rsidRPr="00804124">
        <w:rPr>
          <w:rFonts w:ascii="Times New Roman" w:hAnsi="Times New Roman"/>
          <w:bCs/>
          <w:color w:val="0D0D0D" w:themeColor="text1" w:themeTint="F2"/>
          <w:sz w:val="24"/>
          <w:szCs w:val="24"/>
          <w:lang w:val="sq-AL"/>
        </w:rPr>
        <w:t>shkresës nr.2561/1 prot., datë 13.04.2018 të ATP-së (Agjencia e Trajtimit të Pronave)</w:t>
      </w:r>
      <w:r w:rsidRPr="00804124">
        <w:rPr>
          <w:rFonts w:ascii="Times New Roman" w:hAnsi="Times New Roman"/>
          <w:color w:val="0D0D0D" w:themeColor="text1" w:themeTint="F2"/>
          <w:sz w:val="24"/>
          <w:szCs w:val="24"/>
          <w:lang w:val="sq-AL"/>
        </w:rPr>
        <w:t xml:space="preserve">, rezulton se ATP-ja ka </w:t>
      </w:r>
      <w:r w:rsidRPr="00804124">
        <w:rPr>
          <w:rFonts w:ascii="Times New Roman" w:hAnsi="Times New Roman"/>
          <w:bCs/>
          <w:color w:val="0D0D0D" w:themeColor="text1" w:themeTint="F2"/>
          <w:sz w:val="24"/>
          <w:szCs w:val="24"/>
          <w:lang w:val="sq-AL"/>
        </w:rPr>
        <w:t>publikuar në Buletinin e Njoftimeve Zyrtare, nr.16, datë 30.05.2016, vlerësimin financiar të vendimit nr.689,datë 06.09.1994</w:t>
      </w:r>
      <w:r w:rsidRPr="00804124">
        <w:rPr>
          <w:rFonts w:ascii="Times New Roman" w:hAnsi="Times New Roman"/>
          <w:color w:val="0D0D0D" w:themeColor="text1" w:themeTint="F2"/>
          <w:sz w:val="24"/>
          <w:szCs w:val="24"/>
          <w:lang w:val="sq-AL"/>
        </w:rPr>
        <w:t xml:space="preserve"> të ish-Komisionit të Kthimit dhe Kompensimit të Pronave, ish-pronarëve të Bashkisë së Qytetit Tiranë, me të cilin, ndër të tjera, </w:t>
      </w:r>
      <w:r w:rsidRPr="00804124">
        <w:rPr>
          <w:rFonts w:ascii="Times New Roman" w:hAnsi="Times New Roman"/>
          <w:bCs/>
          <w:color w:val="0D0D0D" w:themeColor="text1" w:themeTint="F2"/>
          <w:sz w:val="24"/>
          <w:szCs w:val="24"/>
          <w:lang w:val="sq-AL"/>
        </w:rPr>
        <w:t>u është njohur e drejta e kompensimit trashëgimtarëve të Murat Lugës</w:t>
      </w:r>
      <w:r w:rsidRPr="00804124">
        <w:rPr>
          <w:rFonts w:ascii="Times New Roman" w:hAnsi="Times New Roman"/>
          <w:color w:val="0D0D0D" w:themeColor="text1" w:themeTint="F2"/>
          <w:sz w:val="24"/>
          <w:szCs w:val="24"/>
          <w:lang w:val="sq-AL"/>
        </w:rPr>
        <w:t xml:space="preserve"> mbi një truall prej 20.000 m², brenda së cilës ndodhet edhe një sipërfaqe prej </w:t>
      </w:r>
      <w:r w:rsidRPr="00804124">
        <w:rPr>
          <w:rFonts w:ascii="Times New Roman" w:hAnsi="Times New Roman"/>
          <w:bCs/>
          <w:color w:val="0D0D0D" w:themeColor="text1" w:themeTint="F2"/>
          <w:sz w:val="24"/>
          <w:szCs w:val="24"/>
          <w:lang w:val="sq-AL"/>
        </w:rPr>
        <w:t>3.665 m²</w:t>
      </w:r>
      <w:r w:rsidRPr="00804124">
        <w:rPr>
          <w:rFonts w:ascii="Times New Roman" w:hAnsi="Times New Roman"/>
          <w:color w:val="0D0D0D" w:themeColor="text1" w:themeTint="F2"/>
          <w:sz w:val="24"/>
          <w:szCs w:val="24"/>
          <w:lang w:val="sq-AL"/>
        </w:rPr>
        <w:t xml:space="preserve"> që krijon </w:t>
      </w:r>
      <w:r w:rsidRPr="00804124">
        <w:rPr>
          <w:rFonts w:ascii="Times New Roman" w:hAnsi="Times New Roman"/>
          <w:color w:val="0D0D0D" w:themeColor="text1" w:themeTint="F2"/>
          <w:sz w:val="24"/>
          <w:szCs w:val="24"/>
          <w:lang w:val="sq-AL"/>
        </w:rPr>
        <w:lastRenderedPageBreak/>
        <w:t xml:space="preserve">mbivendosje me sipërfaqen e pronës prej </w:t>
      </w:r>
      <w:r w:rsidRPr="00804124">
        <w:rPr>
          <w:rFonts w:ascii="Times New Roman" w:hAnsi="Times New Roman"/>
          <w:bCs/>
          <w:color w:val="0D0D0D" w:themeColor="text1" w:themeTint="F2"/>
          <w:sz w:val="24"/>
          <w:szCs w:val="24"/>
          <w:lang w:val="sq-AL"/>
        </w:rPr>
        <w:t>6.459 m²</w:t>
      </w:r>
      <w:r w:rsidRPr="00804124">
        <w:rPr>
          <w:rFonts w:ascii="Times New Roman" w:hAnsi="Times New Roman"/>
          <w:color w:val="0D0D0D" w:themeColor="text1" w:themeTint="F2"/>
          <w:sz w:val="24"/>
          <w:szCs w:val="24"/>
          <w:lang w:val="sq-AL"/>
        </w:rPr>
        <w:t xml:space="preserve">, pjesë e kapitalit të Shoqërisë “Albitalia Construzioni” SH.P.K. Pra, rezulton se </w:t>
      </w:r>
      <w:r w:rsidRPr="00804124">
        <w:rPr>
          <w:rFonts w:ascii="Times New Roman" w:hAnsi="Times New Roman"/>
          <w:bCs/>
          <w:color w:val="0D0D0D" w:themeColor="text1" w:themeTint="F2"/>
          <w:sz w:val="24"/>
          <w:szCs w:val="24"/>
          <w:lang w:val="sq-AL"/>
        </w:rPr>
        <w:t>ATP-ja ka kryer kompensimin e ish-pronarëve</w:t>
      </w:r>
      <w:r w:rsidRPr="00804124">
        <w:rPr>
          <w:rFonts w:ascii="Times New Roman" w:hAnsi="Times New Roman"/>
          <w:color w:val="0D0D0D" w:themeColor="text1" w:themeTint="F2"/>
          <w:sz w:val="24"/>
          <w:szCs w:val="24"/>
          <w:lang w:val="sq-AL"/>
        </w:rPr>
        <w:t>.</w:t>
      </w:r>
      <w:r w:rsidRPr="00804124">
        <w:rPr>
          <w:rFonts w:ascii="Times New Roman" w:hAnsi="Times New Roman"/>
          <w:i/>
          <w:color w:val="0D0D0D" w:themeColor="text1" w:themeTint="F2"/>
          <w:sz w:val="24"/>
          <w:szCs w:val="24"/>
          <w:lang w:val="sq-AL"/>
        </w:rPr>
        <w:t xml:space="preserve"> </w:t>
      </w:r>
      <w:r w:rsidRPr="00804124">
        <w:rPr>
          <w:rFonts w:ascii="Times New Roman" w:hAnsi="Times New Roman"/>
          <w:color w:val="0D0D0D" w:themeColor="text1" w:themeTint="F2"/>
          <w:sz w:val="24"/>
          <w:szCs w:val="24"/>
          <w:lang w:val="sq-AL"/>
        </w:rPr>
        <w:t xml:space="preserve">Nëse ish-pronarët </w:t>
      </w:r>
      <w:r w:rsidRPr="00804124">
        <w:rPr>
          <w:rFonts w:ascii="Times New Roman" w:hAnsi="Times New Roman"/>
          <w:bCs/>
          <w:color w:val="0D0D0D" w:themeColor="text1" w:themeTint="F2"/>
          <w:sz w:val="24"/>
          <w:szCs w:val="24"/>
          <w:lang w:val="sq-AL"/>
        </w:rPr>
        <w:t>nuk do të ishin dakord me këtë vendimmarrje të ATP-së</w:t>
      </w:r>
      <w:r w:rsidRPr="00804124">
        <w:rPr>
          <w:rFonts w:ascii="Times New Roman" w:hAnsi="Times New Roman"/>
          <w:color w:val="0D0D0D" w:themeColor="text1" w:themeTint="F2"/>
          <w:sz w:val="24"/>
          <w:szCs w:val="24"/>
          <w:lang w:val="sq-AL"/>
        </w:rPr>
        <w:t xml:space="preserve">, ata </w:t>
      </w:r>
      <w:r w:rsidRPr="00804124">
        <w:rPr>
          <w:rFonts w:ascii="Times New Roman" w:hAnsi="Times New Roman"/>
          <w:bCs/>
          <w:color w:val="0D0D0D" w:themeColor="text1" w:themeTint="F2"/>
          <w:sz w:val="24"/>
          <w:szCs w:val="24"/>
          <w:lang w:val="sq-AL"/>
        </w:rPr>
        <w:t>duhej ta kundërshtonin atë në gjykatë</w:t>
      </w:r>
      <w:r w:rsidRPr="00804124">
        <w:rPr>
          <w:rFonts w:ascii="Times New Roman" w:hAnsi="Times New Roman"/>
          <w:color w:val="0D0D0D" w:themeColor="text1" w:themeTint="F2"/>
          <w:sz w:val="24"/>
          <w:szCs w:val="24"/>
          <w:lang w:val="sq-AL"/>
        </w:rPr>
        <w:t xml:space="preserve">, gjë që </w:t>
      </w:r>
      <w:r w:rsidRPr="00804124">
        <w:rPr>
          <w:rFonts w:ascii="Times New Roman" w:hAnsi="Times New Roman"/>
          <w:bCs/>
          <w:color w:val="0D0D0D" w:themeColor="text1" w:themeTint="F2"/>
          <w:sz w:val="24"/>
          <w:szCs w:val="24"/>
          <w:lang w:val="sq-AL"/>
        </w:rPr>
        <w:t>nuk rezulton ta kenë bërë</w:t>
      </w:r>
      <w:r w:rsidRPr="00804124">
        <w:rPr>
          <w:rFonts w:ascii="Times New Roman" w:hAnsi="Times New Roman"/>
          <w:color w:val="0D0D0D" w:themeColor="text1" w:themeTint="F2"/>
          <w:sz w:val="24"/>
          <w:szCs w:val="24"/>
          <w:lang w:val="sq-AL"/>
        </w:rPr>
        <w:t xml:space="preserve">, çka do të thotë se, </w:t>
      </w:r>
      <w:r w:rsidRPr="00804124">
        <w:rPr>
          <w:rFonts w:ascii="Times New Roman" w:hAnsi="Times New Roman"/>
          <w:bCs/>
          <w:color w:val="0D0D0D" w:themeColor="text1" w:themeTint="F2"/>
          <w:sz w:val="24"/>
          <w:szCs w:val="24"/>
          <w:lang w:val="sq-AL"/>
        </w:rPr>
        <w:t>çështja e kompensimit të njohur me vendimin nr.689, datë 06.09.1994, të ish-Komisionit të Kthimit dhe Kompensimit të Pronave, ish-pronarëve të Bashkisë së Qytetit Tiranë, është mbyllur me vendim të ATP-së.</w:t>
      </w:r>
      <w:r w:rsidRPr="00804124">
        <w:rPr>
          <w:rFonts w:ascii="Times New Roman" w:hAnsi="Times New Roman"/>
          <w:i/>
          <w:color w:val="0D0D0D" w:themeColor="text1" w:themeTint="F2"/>
          <w:sz w:val="24"/>
          <w:szCs w:val="24"/>
          <w:lang w:val="sq-AL"/>
        </w:rPr>
        <w:t xml:space="preserve"> </w:t>
      </w:r>
      <w:r w:rsidRPr="00804124">
        <w:rPr>
          <w:rFonts w:ascii="Times New Roman" w:hAnsi="Times New Roman"/>
          <w:color w:val="0D0D0D" w:themeColor="text1" w:themeTint="F2"/>
          <w:sz w:val="24"/>
          <w:szCs w:val="24"/>
          <w:lang w:val="sq-AL"/>
        </w:rPr>
        <w:t xml:space="preserve">Si pasojë, i është </w:t>
      </w:r>
      <w:r w:rsidRPr="00804124">
        <w:rPr>
          <w:rFonts w:ascii="Times New Roman" w:hAnsi="Times New Roman"/>
          <w:bCs/>
          <w:color w:val="0D0D0D" w:themeColor="text1" w:themeTint="F2"/>
          <w:sz w:val="24"/>
          <w:szCs w:val="24"/>
          <w:lang w:val="sq-AL"/>
        </w:rPr>
        <w:t>hequr paditësit (dhe trashëgimtarëve të tjerë të Murat Lugës) legjitimiteti aktiv</w:t>
      </w:r>
      <w:r w:rsidRPr="00804124">
        <w:rPr>
          <w:rFonts w:ascii="Times New Roman" w:hAnsi="Times New Roman"/>
          <w:color w:val="0D0D0D" w:themeColor="text1" w:themeTint="F2"/>
          <w:sz w:val="24"/>
          <w:szCs w:val="24"/>
          <w:lang w:val="sq-AL"/>
        </w:rPr>
        <w:t xml:space="preserve"> (të drejtën e pretenduar) </w:t>
      </w:r>
      <w:r w:rsidRPr="00804124">
        <w:rPr>
          <w:rFonts w:ascii="Times New Roman" w:hAnsi="Times New Roman"/>
          <w:bCs/>
          <w:color w:val="0D0D0D" w:themeColor="text1" w:themeTint="F2"/>
          <w:sz w:val="24"/>
          <w:szCs w:val="24"/>
          <w:lang w:val="sq-AL"/>
        </w:rPr>
        <w:t>për të kundërshtuar në gjykatë çdo pretendim mbi shitjen e kuotave të ortakut shtet në Shoqërinë “Albitalia Construzioni” SH.P.K.</w:t>
      </w:r>
    </w:p>
    <w:p w14:paraId="4066D3A5" w14:textId="77777777" w:rsidR="00882B3F" w:rsidRPr="00804124" w:rsidRDefault="00882B3F" w:rsidP="00882B3F">
      <w:pPr>
        <w:tabs>
          <w:tab w:val="left" w:pos="1800"/>
        </w:tabs>
        <w:spacing w:after="0" w:line="240" w:lineRule="auto"/>
        <w:ind w:firstLine="360"/>
        <w:jc w:val="both"/>
        <w:rPr>
          <w:rFonts w:ascii="Times New Roman" w:hAnsi="Times New Roman"/>
          <w:i/>
          <w:color w:val="0D0D0D" w:themeColor="text1" w:themeTint="F2"/>
          <w:sz w:val="24"/>
          <w:szCs w:val="24"/>
          <w:lang w:val="sq-AL"/>
        </w:rPr>
      </w:pPr>
      <w:r w:rsidRPr="00804124">
        <w:rPr>
          <w:rFonts w:ascii="Times New Roman" w:hAnsi="Times New Roman"/>
          <w:color w:val="0D0D0D" w:themeColor="text1" w:themeTint="F2"/>
          <w:sz w:val="24"/>
          <w:szCs w:val="24"/>
          <w:lang w:val="sq-AL"/>
        </w:rPr>
        <w:t xml:space="preserve">14.4. Gjykata konstaton se </w:t>
      </w:r>
      <w:r w:rsidRPr="00804124">
        <w:rPr>
          <w:rFonts w:ascii="Times New Roman" w:hAnsi="Times New Roman"/>
          <w:bCs/>
          <w:color w:val="0D0D0D" w:themeColor="text1" w:themeTint="F2"/>
          <w:sz w:val="24"/>
          <w:szCs w:val="24"/>
          <w:lang w:val="sq-AL"/>
        </w:rPr>
        <w:t>shitja e kuotave të ortakut shtet është bërë në përputhje me ligjin nr.9901,datë 14.04.2008 “Për shoqëritë tregtare”</w:t>
      </w:r>
      <w:r w:rsidRPr="00804124">
        <w:rPr>
          <w:rFonts w:ascii="Times New Roman" w:hAnsi="Times New Roman"/>
          <w:color w:val="0D0D0D" w:themeColor="text1" w:themeTint="F2"/>
          <w:sz w:val="24"/>
          <w:szCs w:val="24"/>
          <w:lang w:val="sq-AL"/>
        </w:rPr>
        <w:t xml:space="preserve"> (në fuqi në kohën e lidhjes së kontratës), i cili në nenet 72 dhe 73 parashikon se: </w:t>
      </w:r>
      <w:r w:rsidRPr="00804124">
        <w:rPr>
          <w:rFonts w:ascii="Times New Roman" w:hAnsi="Times New Roman"/>
          <w:bCs/>
          <w:color w:val="0D0D0D" w:themeColor="text1" w:themeTint="F2"/>
          <w:sz w:val="24"/>
          <w:szCs w:val="24"/>
          <w:lang w:val="sq-AL"/>
        </w:rPr>
        <w:t>Neni 72, pika 3 dhe 6:</w:t>
      </w:r>
      <w:r w:rsidRPr="00804124">
        <w:rPr>
          <w:rFonts w:ascii="Times New Roman" w:hAnsi="Times New Roman"/>
          <w:i/>
          <w:color w:val="0D0D0D" w:themeColor="text1" w:themeTint="F2"/>
          <w:sz w:val="24"/>
          <w:szCs w:val="24"/>
          <w:lang w:val="sq-AL"/>
        </w:rPr>
        <w:t xml:space="preserve">“3.Personat që zotërojnë një kuotë të kapitalit të shoqërisë me përgjegjësi të kufizuar, merren vesh ndërmjet tyre për ndarjen e të drejtave dhe detyrimeve që rrjedhin nga kjo kuotë. Këto të drejta dhe detyrime mund të ndahen në mënyrë të barabartë ose jo. 6. Nëse personat që zotërojnë një kuotë nuk arrijnë një marrëveshje, sipas pikës 3 të këtij neni, atëherë zbatohen dispozitat e Kodit Civil për bashkëpronësinë”. </w:t>
      </w:r>
      <w:r w:rsidRPr="00804124">
        <w:rPr>
          <w:rFonts w:ascii="Times New Roman" w:hAnsi="Times New Roman"/>
          <w:bCs/>
          <w:color w:val="0D0D0D" w:themeColor="text1" w:themeTint="F2"/>
          <w:sz w:val="24"/>
          <w:szCs w:val="24"/>
          <w:lang w:val="sq-AL"/>
        </w:rPr>
        <w:t xml:space="preserve">Neni 73 ”Mënyrat e fitimit dhe kalimit të kuotave: </w:t>
      </w:r>
      <w:r w:rsidRPr="00804124">
        <w:rPr>
          <w:rFonts w:ascii="Times New Roman" w:hAnsi="Times New Roman"/>
          <w:bCs/>
          <w:i/>
          <w:color w:val="0D0D0D" w:themeColor="text1" w:themeTint="F2"/>
          <w:sz w:val="24"/>
          <w:szCs w:val="24"/>
          <w:lang w:val="sq-AL"/>
        </w:rPr>
        <w:t>“1.</w:t>
      </w:r>
      <w:r w:rsidRPr="00804124">
        <w:rPr>
          <w:rFonts w:ascii="Times New Roman" w:hAnsi="Times New Roman"/>
          <w:i/>
          <w:color w:val="0D0D0D" w:themeColor="text1" w:themeTint="F2"/>
          <w:sz w:val="24"/>
          <w:szCs w:val="24"/>
          <w:lang w:val="sq-AL"/>
        </w:rPr>
        <w:t xml:space="preserve">Kuotat e kapitalit të një shoqërie me përgjegjësi të kufizuar dhe të drejtat që rrjedhin prej tyre mund të fitohen apo kalohen nëpërmjet: a) kontributit në kapitalin e shoqërisë; b)shitblerjes; c) trashëgimisë; ç) dhurimit; d) çdo mënyre tjetër të parashikuar me ligj.2.Në rastin e kalimit të kuotave me kontratë, kontrata duhet të bëhet me shkrim. 3. Statuti mund të kushtëzojë kalimin e kuotave, veçanërisht duke përcaktuar miratimin e shoqërisë ose të drejtën e parablerjes në favor të shoqërisë apo të ortakëve të tjerë”. </w:t>
      </w:r>
      <w:r w:rsidRPr="00804124">
        <w:rPr>
          <w:rFonts w:ascii="Times New Roman" w:hAnsi="Times New Roman"/>
          <w:color w:val="0D0D0D" w:themeColor="text1" w:themeTint="F2"/>
          <w:sz w:val="24"/>
          <w:szCs w:val="24"/>
          <w:lang w:val="sq-AL"/>
        </w:rPr>
        <w:t xml:space="preserve">Veprimi juridik për kalimin e pronësisë së kuotave shtetërore të kapitalit të përbashkët është bërë në </w:t>
      </w:r>
      <w:r w:rsidRPr="00804124">
        <w:rPr>
          <w:rFonts w:ascii="Times New Roman" w:hAnsi="Times New Roman"/>
          <w:bCs/>
          <w:color w:val="0D0D0D" w:themeColor="text1" w:themeTint="F2"/>
          <w:sz w:val="24"/>
          <w:szCs w:val="24"/>
          <w:lang w:val="sq-AL"/>
        </w:rPr>
        <w:t>përputhje të plotë me nenin 83/1 të Kodit Civil</w:t>
      </w:r>
      <w:r w:rsidRPr="00804124">
        <w:rPr>
          <w:rFonts w:ascii="Times New Roman" w:hAnsi="Times New Roman"/>
          <w:color w:val="0D0D0D" w:themeColor="text1" w:themeTint="F2"/>
          <w:sz w:val="24"/>
          <w:szCs w:val="24"/>
          <w:lang w:val="sq-AL"/>
        </w:rPr>
        <w:t xml:space="preserve">, në </w:t>
      </w:r>
      <w:r w:rsidRPr="00804124">
        <w:rPr>
          <w:rFonts w:ascii="Times New Roman" w:hAnsi="Times New Roman"/>
          <w:bCs/>
          <w:color w:val="0D0D0D" w:themeColor="text1" w:themeTint="F2"/>
          <w:sz w:val="24"/>
          <w:szCs w:val="24"/>
          <w:lang w:val="sq-AL"/>
        </w:rPr>
        <w:t>formën e kërkuar ligjore (me akt noterial)</w:t>
      </w:r>
      <w:r w:rsidRPr="00804124">
        <w:rPr>
          <w:rFonts w:ascii="Times New Roman" w:hAnsi="Times New Roman"/>
          <w:color w:val="0D0D0D" w:themeColor="text1" w:themeTint="F2"/>
          <w:sz w:val="24"/>
          <w:szCs w:val="24"/>
          <w:lang w:val="sq-AL"/>
        </w:rPr>
        <w:t xml:space="preserve">.Shitja e kuotave është bërë </w:t>
      </w:r>
      <w:r w:rsidRPr="00804124">
        <w:rPr>
          <w:rFonts w:ascii="Times New Roman" w:hAnsi="Times New Roman"/>
          <w:bCs/>
          <w:color w:val="0D0D0D" w:themeColor="text1" w:themeTint="F2"/>
          <w:sz w:val="24"/>
          <w:szCs w:val="24"/>
          <w:lang w:val="sq-AL"/>
        </w:rPr>
        <w:t>brenda shoqërisë, nga një ortak te tjetri</w:t>
      </w:r>
      <w:r w:rsidRPr="00804124">
        <w:rPr>
          <w:rFonts w:ascii="Times New Roman" w:hAnsi="Times New Roman"/>
          <w:color w:val="0D0D0D" w:themeColor="text1" w:themeTint="F2"/>
          <w:sz w:val="24"/>
          <w:szCs w:val="24"/>
          <w:lang w:val="sq-AL"/>
        </w:rPr>
        <w:t xml:space="preserve">, në përputhje me nenet 72 dhe 73 të ligjit nr.9901, datë 14.04.2008 “Për shoqëritë tregtare”, si dhe </w:t>
      </w:r>
      <w:r w:rsidRPr="00804124">
        <w:rPr>
          <w:rFonts w:ascii="Times New Roman" w:hAnsi="Times New Roman"/>
          <w:bCs/>
          <w:color w:val="0D0D0D" w:themeColor="text1" w:themeTint="F2"/>
          <w:sz w:val="24"/>
          <w:szCs w:val="24"/>
          <w:lang w:val="sq-AL"/>
        </w:rPr>
        <w:t>sipas procedurës së përcaktuar në VKM nr.230, datë 04.04.1998</w:t>
      </w:r>
      <w:r w:rsidRPr="00804124">
        <w:rPr>
          <w:rFonts w:ascii="Times New Roman" w:hAnsi="Times New Roman"/>
          <w:color w:val="0D0D0D" w:themeColor="text1" w:themeTint="F2"/>
          <w:sz w:val="24"/>
          <w:szCs w:val="24"/>
          <w:lang w:val="sq-AL"/>
        </w:rPr>
        <w:t>, e ndryshuar.</w:t>
      </w:r>
    </w:p>
    <w:p w14:paraId="43D248DE" w14:textId="77777777" w:rsidR="00882B3F" w:rsidRPr="00804124" w:rsidRDefault="00882B3F" w:rsidP="00882B3F">
      <w:pPr>
        <w:tabs>
          <w:tab w:val="left" w:pos="1800"/>
        </w:tabs>
        <w:spacing w:after="0" w:line="240" w:lineRule="auto"/>
        <w:ind w:firstLine="360"/>
        <w:jc w:val="both"/>
        <w:rPr>
          <w:rFonts w:ascii="Times New Roman" w:hAnsi="Times New Roman"/>
          <w:i/>
          <w:color w:val="0D0D0D" w:themeColor="text1" w:themeTint="F2"/>
          <w:sz w:val="24"/>
          <w:szCs w:val="24"/>
          <w:lang w:val="sq-AL"/>
        </w:rPr>
      </w:pPr>
      <w:r w:rsidRPr="00804124">
        <w:rPr>
          <w:rFonts w:ascii="Times New Roman" w:hAnsi="Times New Roman"/>
          <w:bCs/>
          <w:color w:val="0D0D0D" w:themeColor="text1" w:themeTint="F2"/>
          <w:sz w:val="24"/>
          <w:szCs w:val="24"/>
          <w:lang w:val="sq-AL"/>
        </w:rPr>
        <w:t>14.5.</w:t>
      </w:r>
      <w:r w:rsidRPr="00804124">
        <w:rPr>
          <w:rFonts w:ascii="Times New Roman" w:hAnsi="Times New Roman"/>
          <w:color w:val="0D0D0D" w:themeColor="text1" w:themeTint="F2"/>
          <w:sz w:val="24"/>
          <w:szCs w:val="24"/>
          <w:lang w:val="sq-AL"/>
        </w:rPr>
        <w:t xml:space="preserve">Në lidhje me </w:t>
      </w:r>
      <w:r w:rsidRPr="00804124">
        <w:rPr>
          <w:rFonts w:ascii="Times New Roman" w:hAnsi="Times New Roman"/>
          <w:bCs/>
          <w:color w:val="0D0D0D" w:themeColor="text1" w:themeTint="F2"/>
          <w:sz w:val="24"/>
          <w:szCs w:val="24"/>
          <w:lang w:val="sq-AL"/>
        </w:rPr>
        <w:t>pavlefshmërinë e kontratës së shitjes objekt gjykimi</w:t>
      </w:r>
      <w:r w:rsidRPr="00804124">
        <w:rPr>
          <w:rFonts w:ascii="Times New Roman" w:hAnsi="Times New Roman"/>
          <w:color w:val="0D0D0D" w:themeColor="text1" w:themeTint="F2"/>
          <w:sz w:val="24"/>
          <w:szCs w:val="24"/>
          <w:lang w:val="sq-AL"/>
        </w:rPr>
        <w:t xml:space="preserve">, gjykata çmon se, </w:t>
      </w:r>
      <w:r w:rsidRPr="00804124">
        <w:rPr>
          <w:rFonts w:ascii="Times New Roman" w:hAnsi="Times New Roman"/>
          <w:bCs/>
          <w:color w:val="0D0D0D" w:themeColor="text1" w:themeTint="F2"/>
          <w:sz w:val="24"/>
          <w:szCs w:val="24"/>
          <w:lang w:val="sq-AL"/>
        </w:rPr>
        <w:t>sapo kjo kontratë është një veprim juridik</w:t>
      </w:r>
      <w:r w:rsidRPr="00804124">
        <w:rPr>
          <w:rFonts w:ascii="Times New Roman" w:hAnsi="Times New Roman"/>
          <w:color w:val="0D0D0D" w:themeColor="text1" w:themeTint="F2"/>
          <w:sz w:val="24"/>
          <w:szCs w:val="24"/>
          <w:lang w:val="sq-AL"/>
        </w:rPr>
        <w:t xml:space="preserve">, atëherë do të </w:t>
      </w:r>
      <w:r w:rsidRPr="00804124">
        <w:rPr>
          <w:rFonts w:ascii="Times New Roman" w:hAnsi="Times New Roman"/>
          <w:bCs/>
          <w:color w:val="0D0D0D" w:themeColor="text1" w:themeTint="F2"/>
          <w:sz w:val="24"/>
          <w:szCs w:val="24"/>
          <w:lang w:val="sq-AL"/>
        </w:rPr>
        <w:t>zbatohen dispozitat mbi pavlefshmërinë e veprimeve juridike</w:t>
      </w:r>
      <w:r w:rsidRPr="00804124">
        <w:rPr>
          <w:rFonts w:ascii="Times New Roman" w:hAnsi="Times New Roman"/>
          <w:color w:val="0D0D0D" w:themeColor="text1" w:themeTint="F2"/>
          <w:sz w:val="24"/>
          <w:szCs w:val="24"/>
          <w:lang w:val="sq-AL"/>
        </w:rPr>
        <w:t xml:space="preserve">, të cilat parashikohen në </w:t>
      </w:r>
      <w:r w:rsidRPr="00804124">
        <w:rPr>
          <w:rFonts w:ascii="Times New Roman" w:hAnsi="Times New Roman"/>
          <w:bCs/>
          <w:color w:val="0D0D0D" w:themeColor="text1" w:themeTint="F2"/>
          <w:sz w:val="24"/>
          <w:szCs w:val="24"/>
          <w:lang w:val="sq-AL"/>
        </w:rPr>
        <w:t>Kodin Civil në nenet 92-111</w:t>
      </w:r>
      <w:r w:rsidRPr="00804124">
        <w:rPr>
          <w:rFonts w:ascii="Times New Roman" w:hAnsi="Times New Roman"/>
          <w:color w:val="0D0D0D" w:themeColor="text1" w:themeTint="F2"/>
          <w:sz w:val="24"/>
          <w:szCs w:val="24"/>
          <w:lang w:val="sq-AL"/>
        </w:rPr>
        <w:t xml:space="preserve">, si dhe në </w:t>
      </w:r>
      <w:r w:rsidRPr="00804124">
        <w:rPr>
          <w:rFonts w:ascii="Times New Roman" w:hAnsi="Times New Roman"/>
          <w:bCs/>
          <w:color w:val="0D0D0D" w:themeColor="text1" w:themeTint="F2"/>
          <w:sz w:val="24"/>
          <w:szCs w:val="24"/>
          <w:lang w:val="sq-AL"/>
        </w:rPr>
        <w:t>nenet 115 e vijues të Kodit të Procedurave Administrative</w:t>
      </w:r>
      <w:r w:rsidRPr="00804124">
        <w:rPr>
          <w:rFonts w:ascii="Times New Roman" w:hAnsi="Times New Roman"/>
          <w:color w:val="0D0D0D" w:themeColor="text1" w:themeTint="F2"/>
          <w:sz w:val="24"/>
          <w:szCs w:val="24"/>
          <w:lang w:val="sq-AL"/>
        </w:rPr>
        <w:t xml:space="preserve">. </w:t>
      </w:r>
      <w:r w:rsidRPr="00804124">
        <w:rPr>
          <w:rFonts w:ascii="Times New Roman" w:hAnsi="Times New Roman"/>
          <w:bCs/>
          <w:color w:val="0D0D0D" w:themeColor="text1" w:themeTint="F2"/>
          <w:sz w:val="24"/>
          <w:szCs w:val="24"/>
          <w:lang w:val="sq-AL"/>
        </w:rPr>
        <w:t>Neni 92 dhe 93 i Kodit Civil</w:t>
      </w:r>
      <w:r w:rsidRPr="00804124">
        <w:rPr>
          <w:rFonts w:ascii="Times New Roman" w:hAnsi="Times New Roman"/>
          <w:color w:val="0D0D0D" w:themeColor="text1" w:themeTint="F2"/>
          <w:sz w:val="24"/>
          <w:szCs w:val="24"/>
          <w:lang w:val="sq-AL"/>
        </w:rPr>
        <w:t>, parashikojnë: Veprimet juridike të pavlefshme nuk krijojnë asnjë pasojë juridike. Të tilla janë ato që: a) vijnë në kundërshtim me një dispozitë urdhëruese të ligjit.</w:t>
      </w:r>
      <w:r w:rsidRPr="00804124">
        <w:rPr>
          <w:rFonts w:ascii="Times New Roman" w:hAnsi="Times New Roman"/>
          <w:i/>
          <w:color w:val="0D0D0D" w:themeColor="text1" w:themeTint="F2"/>
          <w:sz w:val="24"/>
          <w:szCs w:val="24"/>
          <w:lang w:val="sq-AL"/>
        </w:rPr>
        <w:t xml:space="preserve"> </w:t>
      </w:r>
      <w:r w:rsidRPr="00804124">
        <w:rPr>
          <w:rFonts w:ascii="Times New Roman" w:hAnsi="Times New Roman"/>
          <w:bCs/>
          <w:color w:val="0D0D0D" w:themeColor="text1" w:themeTint="F2"/>
          <w:sz w:val="24"/>
          <w:szCs w:val="24"/>
          <w:lang w:val="sq-AL"/>
        </w:rPr>
        <w:t>Nenet 115 dhe 116 të K.Pr.Administrative</w:t>
      </w:r>
      <w:r w:rsidRPr="00804124">
        <w:rPr>
          <w:rFonts w:ascii="Times New Roman" w:hAnsi="Times New Roman"/>
          <w:color w:val="0D0D0D" w:themeColor="text1" w:themeTint="F2"/>
          <w:sz w:val="24"/>
          <w:szCs w:val="24"/>
          <w:lang w:val="sq-AL"/>
        </w:rPr>
        <w:t xml:space="preserve"> parashikojnë:</w:t>
      </w:r>
      <w:r w:rsidRPr="00804124">
        <w:rPr>
          <w:rFonts w:ascii="Times New Roman" w:hAnsi="Times New Roman"/>
          <w:i/>
          <w:color w:val="0D0D0D" w:themeColor="text1" w:themeTint="F2"/>
          <w:sz w:val="24"/>
          <w:szCs w:val="24"/>
          <w:lang w:val="sq-AL"/>
        </w:rPr>
        <w:t xml:space="preserve"> ”Pavlefshmëria e aktit administrativ, në kuptimin e këtij Kodi, paraqitet në format e mëposhtme:-Akte administrative </w:t>
      </w:r>
      <w:r w:rsidRPr="00804124">
        <w:rPr>
          <w:rFonts w:ascii="Times New Roman" w:hAnsi="Times New Roman"/>
          <w:bCs/>
          <w:i/>
          <w:color w:val="0D0D0D" w:themeColor="text1" w:themeTint="F2"/>
          <w:sz w:val="24"/>
          <w:szCs w:val="24"/>
          <w:lang w:val="sq-AL"/>
        </w:rPr>
        <w:t>absolutisht të pavlefshme</w:t>
      </w:r>
      <w:r w:rsidRPr="00804124">
        <w:rPr>
          <w:rFonts w:ascii="Times New Roman" w:hAnsi="Times New Roman"/>
          <w:i/>
          <w:color w:val="0D0D0D" w:themeColor="text1" w:themeTint="F2"/>
          <w:sz w:val="24"/>
          <w:szCs w:val="24"/>
          <w:lang w:val="sq-AL"/>
        </w:rPr>
        <w:t xml:space="preserve"> (akte të nxjerra në kundërshtim flagrant me ligjin);-Akte administrative </w:t>
      </w:r>
      <w:r w:rsidRPr="00804124">
        <w:rPr>
          <w:rFonts w:ascii="Times New Roman" w:hAnsi="Times New Roman"/>
          <w:bCs/>
          <w:i/>
          <w:color w:val="0D0D0D" w:themeColor="text1" w:themeTint="F2"/>
          <w:sz w:val="24"/>
          <w:szCs w:val="24"/>
          <w:lang w:val="sq-AL"/>
        </w:rPr>
        <w:t>relativisht të pavlefshme</w:t>
      </w:r>
      <w:r w:rsidRPr="00804124">
        <w:rPr>
          <w:rFonts w:ascii="Times New Roman" w:hAnsi="Times New Roman"/>
          <w:i/>
          <w:color w:val="0D0D0D" w:themeColor="text1" w:themeTint="F2"/>
          <w:sz w:val="24"/>
          <w:szCs w:val="24"/>
          <w:lang w:val="sq-AL"/>
        </w:rPr>
        <w:t xml:space="preserve"> (akte të nxjerra në kundërshtim me ligjin).Akti administrativ do të quhet </w:t>
      </w:r>
      <w:r w:rsidRPr="00804124">
        <w:rPr>
          <w:rFonts w:ascii="Times New Roman" w:hAnsi="Times New Roman"/>
          <w:bCs/>
          <w:i/>
          <w:color w:val="0D0D0D" w:themeColor="text1" w:themeTint="F2"/>
          <w:sz w:val="24"/>
          <w:szCs w:val="24"/>
          <w:lang w:val="sq-AL"/>
        </w:rPr>
        <w:t>absolutisht i pavlefshëm</w:t>
      </w:r>
      <w:r w:rsidRPr="00804124">
        <w:rPr>
          <w:rFonts w:ascii="Times New Roman" w:hAnsi="Times New Roman"/>
          <w:i/>
          <w:color w:val="0D0D0D" w:themeColor="text1" w:themeTint="F2"/>
          <w:sz w:val="24"/>
          <w:szCs w:val="24"/>
          <w:lang w:val="sq-AL"/>
        </w:rPr>
        <w:t>, në kuptimin e këtij Kodi, në rastet e mëposhtme: a)kur akti është nxjerrë nga një organ administrative i paidentifikuar; b)kur akti është nxjerrë nga një organ administrativ në kapërcim të kompetencave të tij ligjore; c) kur akti është nxjerrë në kundërshtim me formën dhe procedurën e kërkuar nga ligji”</w:t>
      </w:r>
      <w:r w:rsidRPr="00804124">
        <w:rPr>
          <w:rFonts w:ascii="Times New Roman" w:hAnsi="Times New Roman"/>
          <w:color w:val="0D0D0D" w:themeColor="text1" w:themeTint="F2"/>
          <w:sz w:val="24"/>
          <w:szCs w:val="24"/>
          <w:lang w:val="sq-AL"/>
        </w:rPr>
        <w:t xml:space="preserve">. </w:t>
      </w:r>
      <w:r w:rsidRPr="00804124">
        <w:rPr>
          <w:rFonts w:ascii="Times New Roman" w:hAnsi="Times New Roman"/>
          <w:bCs/>
          <w:color w:val="0D0D0D" w:themeColor="text1" w:themeTint="F2"/>
          <w:sz w:val="24"/>
          <w:szCs w:val="24"/>
          <w:lang w:val="sq-AL"/>
        </w:rPr>
        <w:t>Referuar këtyre dispozitave</w:t>
      </w:r>
      <w:r w:rsidRPr="00804124">
        <w:rPr>
          <w:rFonts w:ascii="Times New Roman" w:hAnsi="Times New Roman"/>
          <w:color w:val="0D0D0D" w:themeColor="text1" w:themeTint="F2"/>
          <w:sz w:val="24"/>
          <w:szCs w:val="24"/>
          <w:lang w:val="sq-AL"/>
        </w:rPr>
        <w:t xml:space="preserve">, gjykata </w:t>
      </w:r>
      <w:r w:rsidRPr="00804124">
        <w:rPr>
          <w:rFonts w:ascii="Times New Roman" w:hAnsi="Times New Roman"/>
          <w:bCs/>
          <w:color w:val="0D0D0D" w:themeColor="text1" w:themeTint="F2"/>
          <w:sz w:val="24"/>
          <w:szCs w:val="24"/>
          <w:lang w:val="sq-AL"/>
        </w:rPr>
        <w:t>nuk konstaton asnjë nga rastet e pavlefshmërisë së veprimit juridik (kontratës)</w:t>
      </w:r>
      <w:r w:rsidRPr="00804124">
        <w:rPr>
          <w:rFonts w:ascii="Times New Roman" w:hAnsi="Times New Roman"/>
          <w:color w:val="0D0D0D" w:themeColor="text1" w:themeTint="F2"/>
          <w:sz w:val="24"/>
          <w:szCs w:val="24"/>
          <w:lang w:val="sq-AL"/>
        </w:rPr>
        <w:t xml:space="preserve">, dhe </w:t>
      </w:r>
      <w:r w:rsidRPr="00804124">
        <w:rPr>
          <w:rFonts w:ascii="Times New Roman" w:hAnsi="Times New Roman"/>
          <w:bCs/>
          <w:color w:val="0D0D0D" w:themeColor="text1" w:themeTint="F2"/>
          <w:sz w:val="24"/>
          <w:szCs w:val="24"/>
          <w:lang w:val="sq-AL"/>
        </w:rPr>
        <w:t>as raste të pavlefshmërisë së veprimeve administrative</w:t>
      </w:r>
      <w:r w:rsidRPr="00804124">
        <w:rPr>
          <w:rFonts w:ascii="Times New Roman" w:hAnsi="Times New Roman"/>
          <w:color w:val="0D0D0D" w:themeColor="text1" w:themeTint="F2"/>
          <w:sz w:val="24"/>
          <w:szCs w:val="24"/>
          <w:lang w:val="sq-AL"/>
        </w:rPr>
        <w:t xml:space="preserve">. </w:t>
      </w:r>
      <w:r w:rsidRPr="00804124">
        <w:rPr>
          <w:rFonts w:ascii="Times New Roman" w:hAnsi="Times New Roman"/>
          <w:bCs/>
          <w:color w:val="0D0D0D" w:themeColor="text1" w:themeTint="F2"/>
          <w:sz w:val="24"/>
          <w:szCs w:val="24"/>
          <w:lang w:val="sq-AL"/>
        </w:rPr>
        <w:t>Duke u bazuar në sa më sipër</w:t>
      </w:r>
      <w:r w:rsidRPr="00804124">
        <w:rPr>
          <w:rFonts w:ascii="Times New Roman" w:hAnsi="Times New Roman"/>
          <w:color w:val="0D0D0D" w:themeColor="text1" w:themeTint="F2"/>
          <w:sz w:val="24"/>
          <w:szCs w:val="24"/>
          <w:lang w:val="sq-AL"/>
        </w:rPr>
        <w:t xml:space="preserve">, Gjykata Administrative e Apelit, </w:t>
      </w:r>
      <w:r w:rsidRPr="00804124">
        <w:rPr>
          <w:rFonts w:ascii="Times New Roman" w:hAnsi="Times New Roman"/>
          <w:bCs/>
          <w:color w:val="0D0D0D" w:themeColor="text1" w:themeTint="F2"/>
          <w:sz w:val="24"/>
          <w:szCs w:val="24"/>
          <w:lang w:val="sq-AL"/>
        </w:rPr>
        <w:t>mbështetur në nenin 53, shkronja “a”, të ligjit nr.49/2012</w:t>
      </w:r>
      <w:r w:rsidRPr="00804124">
        <w:rPr>
          <w:rFonts w:ascii="Times New Roman" w:hAnsi="Times New Roman"/>
          <w:color w:val="0D0D0D" w:themeColor="text1" w:themeTint="F2"/>
          <w:sz w:val="24"/>
          <w:szCs w:val="24"/>
          <w:lang w:val="sq-AL"/>
        </w:rPr>
        <w:t xml:space="preserve">, përfundimisht </w:t>
      </w:r>
      <w:r w:rsidRPr="00804124">
        <w:rPr>
          <w:rFonts w:ascii="Times New Roman" w:hAnsi="Times New Roman"/>
          <w:bCs/>
          <w:color w:val="0D0D0D" w:themeColor="text1" w:themeTint="F2"/>
          <w:sz w:val="24"/>
          <w:szCs w:val="24"/>
          <w:lang w:val="sq-AL"/>
        </w:rPr>
        <w:t>çmon se vendimi i Gjykatës Administrative të Shkallës së Parë Tiranë duhet lënë në fuqi.</w:t>
      </w:r>
    </w:p>
    <w:p w14:paraId="75424403" w14:textId="497064D7" w:rsidR="00882B3F" w:rsidRPr="00804124" w:rsidRDefault="00882B3F" w:rsidP="00882B3F">
      <w:pPr>
        <w:tabs>
          <w:tab w:val="left" w:pos="1800"/>
        </w:tabs>
        <w:spacing w:after="0" w:line="240" w:lineRule="auto"/>
        <w:ind w:firstLine="360"/>
        <w:jc w:val="both"/>
        <w:rPr>
          <w:rFonts w:ascii="Times New Roman" w:hAnsi="Times New Roman"/>
          <w:color w:val="0D0D0D" w:themeColor="text1" w:themeTint="F2"/>
          <w:sz w:val="24"/>
          <w:szCs w:val="24"/>
          <w:lang w:val="sq-AL"/>
        </w:rPr>
      </w:pPr>
      <w:r w:rsidRPr="00804124">
        <w:rPr>
          <w:rFonts w:ascii="Times New Roman" w:hAnsi="Times New Roman"/>
          <w:color w:val="0D0D0D" w:themeColor="text1" w:themeTint="F2"/>
          <w:sz w:val="24"/>
          <w:szCs w:val="24"/>
          <w:lang w:val="sq-AL"/>
        </w:rPr>
        <w:t>15</w:t>
      </w:r>
      <w:r w:rsidRPr="00804124">
        <w:rPr>
          <w:rFonts w:ascii="Times New Roman" w:hAnsi="Times New Roman"/>
          <w:bCs/>
          <w:color w:val="0D0D0D" w:themeColor="text1" w:themeTint="F2"/>
          <w:sz w:val="24"/>
          <w:szCs w:val="24"/>
          <w:lang w:val="sq-AL"/>
        </w:rPr>
        <w:t>. Kundër vendimit</w:t>
      </w:r>
      <w:r w:rsidRPr="00804124">
        <w:rPr>
          <w:rFonts w:ascii="Times New Roman" w:eastAsia="Times New Roman" w:hAnsi="Times New Roman"/>
          <w:color w:val="0D0D0D" w:themeColor="text1" w:themeTint="F2"/>
          <w:sz w:val="24"/>
          <w:szCs w:val="24"/>
          <w:lang w:val="sq-AL"/>
        </w:rPr>
        <w:t xml:space="preserve"> </w:t>
      </w:r>
      <w:r w:rsidRPr="00804124">
        <w:rPr>
          <w:rFonts w:ascii="Times New Roman" w:hAnsi="Times New Roman"/>
          <w:color w:val="0D0D0D" w:themeColor="text1" w:themeTint="F2"/>
          <w:sz w:val="24"/>
          <w:szCs w:val="24"/>
          <w:lang w:val="sq-AL"/>
        </w:rPr>
        <w:t>nr.2593, datë 26.06.2018</w:t>
      </w:r>
      <w:r w:rsidRPr="00804124">
        <w:rPr>
          <w:rFonts w:ascii="Times New Roman" w:eastAsia="Times New Roman" w:hAnsi="Times New Roman"/>
          <w:bCs/>
          <w:color w:val="0D0D0D" w:themeColor="text1" w:themeTint="F2"/>
          <w:sz w:val="24"/>
          <w:szCs w:val="24"/>
          <w:lang w:val="sq-AL"/>
        </w:rPr>
        <w:t>,</w:t>
      </w:r>
      <w:r w:rsidRPr="00804124">
        <w:rPr>
          <w:rFonts w:ascii="Times New Roman" w:eastAsia="Times New Roman" w:hAnsi="Times New Roman"/>
          <w:b/>
          <w:bCs/>
          <w:color w:val="0D0D0D" w:themeColor="text1" w:themeTint="F2"/>
          <w:sz w:val="24"/>
          <w:szCs w:val="24"/>
          <w:lang w:val="sq-AL"/>
        </w:rPr>
        <w:t xml:space="preserve"> </w:t>
      </w:r>
      <w:r w:rsidRPr="00804124">
        <w:rPr>
          <w:rFonts w:ascii="Times New Roman" w:hAnsi="Times New Roman"/>
          <w:bCs/>
          <w:color w:val="0D0D0D" w:themeColor="text1" w:themeTint="F2"/>
          <w:sz w:val="24"/>
          <w:szCs w:val="24"/>
          <w:lang w:val="sq-AL"/>
        </w:rPr>
        <w:t xml:space="preserve">të Gjykatës Administrative të Apelit, ka ushtruar </w:t>
      </w:r>
      <w:r w:rsidRPr="00804124">
        <w:rPr>
          <w:rFonts w:ascii="Times New Roman" w:hAnsi="Times New Roman"/>
          <w:b/>
          <w:bCs/>
          <w:color w:val="0D0D0D" w:themeColor="text1" w:themeTint="F2"/>
          <w:sz w:val="24"/>
          <w:szCs w:val="24"/>
          <w:lang w:val="sq-AL"/>
        </w:rPr>
        <w:t>rekurs</w:t>
      </w:r>
      <w:r w:rsidRPr="00804124">
        <w:rPr>
          <w:rFonts w:ascii="Times New Roman" w:hAnsi="Times New Roman"/>
          <w:bCs/>
          <w:color w:val="0D0D0D" w:themeColor="text1" w:themeTint="F2"/>
          <w:sz w:val="24"/>
          <w:szCs w:val="24"/>
          <w:lang w:val="sq-AL"/>
        </w:rPr>
        <w:t xml:space="preserve"> </w:t>
      </w:r>
      <w:r w:rsidRPr="00804124">
        <w:rPr>
          <w:rFonts w:ascii="Times New Roman" w:hAnsi="Times New Roman"/>
          <w:b/>
          <w:bCs/>
          <w:color w:val="0D0D0D" w:themeColor="text1" w:themeTint="F2"/>
          <w:sz w:val="24"/>
          <w:szCs w:val="24"/>
          <w:lang w:val="sq-AL"/>
        </w:rPr>
        <w:t>në datë</w:t>
      </w:r>
      <w:r w:rsidRPr="00804124">
        <w:rPr>
          <w:rFonts w:ascii="Times New Roman" w:hAnsi="Times New Roman"/>
          <w:bCs/>
          <w:color w:val="0D0D0D" w:themeColor="text1" w:themeTint="F2"/>
          <w:sz w:val="24"/>
          <w:szCs w:val="24"/>
          <w:lang w:val="sq-AL"/>
        </w:rPr>
        <w:t xml:space="preserve"> </w:t>
      </w:r>
      <w:r w:rsidRPr="00804124">
        <w:rPr>
          <w:rFonts w:ascii="Times New Roman" w:hAnsi="Times New Roman"/>
          <w:b/>
          <w:bCs/>
          <w:color w:val="0D0D0D" w:themeColor="text1" w:themeTint="F2"/>
          <w:sz w:val="24"/>
          <w:szCs w:val="24"/>
          <w:lang w:val="sq-AL"/>
        </w:rPr>
        <w:t>24.07.2018</w:t>
      </w:r>
      <w:r w:rsidRPr="00804124">
        <w:rPr>
          <w:rFonts w:ascii="Times New Roman" w:hAnsi="Times New Roman"/>
          <w:bCs/>
          <w:color w:val="0D0D0D" w:themeColor="text1" w:themeTint="F2"/>
          <w:sz w:val="24"/>
          <w:szCs w:val="24"/>
          <w:lang w:val="sq-AL"/>
        </w:rPr>
        <w:t xml:space="preserve">, </w:t>
      </w:r>
      <w:r w:rsidRPr="00804124">
        <w:rPr>
          <w:rFonts w:ascii="Times New Roman" w:hAnsi="Times New Roman"/>
          <w:color w:val="0D0D0D" w:themeColor="text1" w:themeTint="F2"/>
          <w:sz w:val="24"/>
          <w:szCs w:val="24"/>
          <w:lang w:val="sq-AL"/>
        </w:rPr>
        <w:t>pala paditëse Sadik Luga</w:t>
      </w:r>
      <w:r w:rsidR="00E31CD5" w:rsidRPr="00804124">
        <w:rPr>
          <w:rFonts w:ascii="Times New Roman" w:hAnsi="Times New Roman"/>
          <w:color w:val="0D0D0D" w:themeColor="text1" w:themeTint="F2"/>
          <w:sz w:val="24"/>
          <w:szCs w:val="24"/>
          <w:lang w:val="sq-AL"/>
        </w:rPr>
        <w:t>,</w:t>
      </w:r>
      <w:r w:rsidRPr="00804124">
        <w:rPr>
          <w:rFonts w:ascii="Times New Roman" w:hAnsi="Times New Roman"/>
          <w:color w:val="0D0D0D" w:themeColor="text1" w:themeTint="F2"/>
          <w:sz w:val="24"/>
          <w:szCs w:val="24"/>
          <w:lang w:val="sq-AL"/>
        </w:rPr>
        <w:t xml:space="preserve"> </w:t>
      </w:r>
      <w:r w:rsidR="00E31CD5" w:rsidRPr="00804124">
        <w:rPr>
          <w:rFonts w:ascii="Times New Roman" w:hAnsi="Times New Roman"/>
          <w:color w:val="0D0D0D" w:themeColor="text1" w:themeTint="F2"/>
          <w:sz w:val="24"/>
          <w:szCs w:val="24"/>
          <w:lang w:val="sq-AL"/>
        </w:rPr>
        <w:t>i</w:t>
      </w:r>
      <w:r w:rsidRPr="00804124">
        <w:rPr>
          <w:rFonts w:ascii="Times New Roman" w:hAnsi="Times New Roman"/>
          <w:color w:val="0D0D0D" w:themeColor="text1" w:themeTint="F2"/>
          <w:sz w:val="24"/>
          <w:szCs w:val="24"/>
          <w:lang w:val="sq-AL"/>
        </w:rPr>
        <w:t xml:space="preserve"> cil</w:t>
      </w:r>
      <w:r w:rsidR="00E31CD5" w:rsidRPr="00804124">
        <w:rPr>
          <w:rFonts w:ascii="Times New Roman" w:hAnsi="Times New Roman"/>
          <w:color w:val="0D0D0D" w:themeColor="text1" w:themeTint="F2"/>
          <w:sz w:val="24"/>
          <w:szCs w:val="24"/>
          <w:lang w:val="sq-AL"/>
        </w:rPr>
        <w:t>i</w:t>
      </w:r>
      <w:r w:rsidRPr="00804124">
        <w:rPr>
          <w:rFonts w:ascii="Times New Roman" w:hAnsi="Times New Roman"/>
          <w:color w:val="0D0D0D" w:themeColor="text1" w:themeTint="F2"/>
          <w:sz w:val="24"/>
          <w:szCs w:val="24"/>
          <w:lang w:val="sq-AL"/>
        </w:rPr>
        <w:t xml:space="preserve"> ka </w:t>
      </w:r>
      <w:r w:rsidRPr="00804124">
        <w:rPr>
          <w:rFonts w:ascii="Times New Roman" w:hAnsi="Times New Roman"/>
          <w:bCs/>
          <w:color w:val="0D0D0D" w:themeColor="text1" w:themeTint="F2"/>
          <w:sz w:val="24"/>
          <w:szCs w:val="24"/>
          <w:lang w:val="sq-AL"/>
        </w:rPr>
        <w:t xml:space="preserve">kërkuar prishjen e këtij vendimi </w:t>
      </w:r>
      <w:r w:rsidRPr="00804124">
        <w:rPr>
          <w:rFonts w:ascii="Times New Roman" w:hAnsi="Times New Roman"/>
          <w:color w:val="0D0D0D" w:themeColor="text1" w:themeTint="F2"/>
          <w:sz w:val="24"/>
          <w:szCs w:val="24"/>
          <w:lang w:val="sq-AL"/>
        </w:rPr>
        <w:t>dhe dërgimin e çështjes për rishqyrtim në Gjykatën Administrative të Apelit Tiranë me tjetër trup gjykues</w:t>
      </w:r>
      <w:r w:rsidRPr="00804124">
        <w:rPr>
          <w:rFonts w:ascii="Times New Roman" w:hAnsi="Times New Roman"/>
          <w:bCs/>
          <w:color w:val="0D0D0D" w:themeColor="text1" w:themeTint="F2"/>
          <w:sz w:val="24"/>
          <w:szCs w:val="24"/>
          <w:lang w:val="sq-AL"/>
        </w:rPr>
        <w:t xml:space="preserve">, </w:t>
      </w:r>
      <w:r w:rsidRPr="00804124">
        <w:rPr>
          <w:rFonts w:ascii="Times New Roman" w:hAnsi="Times New Roman"/>
          <w:color w:val="0D0D0D" w:themeColor="text1" w:themeTint="F2"/>
          <w:sz w:val="24"/>
          <w:szCs w:val="24"/>
          <w:lang w:val="sq-AL"/>
        </w:rPr>
        <w:t>duke parashtruar këto shkaqe:</w:t>
      </w:r>
    </w:p>
    <w:bookmarkEnd w:id="3"/>
    <w:p w14:paraId="0A381F5A" w14:textId="77777777" w:rsidR="00882B3F" w:rsidRPr="00804124" w:rsidRDefault="00882B3F" w:rsidP="00882B3F">
      <w:pPr>
        <w:tabs>
          <w:tab w:val="left" w:pos="90"/>
          <w:tab w:val="left" w:pos="450"/>
          <w:tab w:val="left" w:pos="1800"/>
        </w:tabs>
        <w:spacing w:after="0" w:line="240" w:lineRule="auto"/>
        <w:ind w:firstLine="360"/>
        <w:jc w:val="both"/>
        <w:rPr>
          <w:rFonts w:ascii="Times New Roman" w:hAnsi="Times New Roman"/>
          <w:color w:val="0D0D0D" w:themeColor="text1" w:themeTint="F2"/>
          <w:sz w:val="24"/>
          <w:szCs w:val="24"/>
          <w:lang w:val="sq-AL"/>
        </w:rPr>
      </w:pPr>
      <w:r w:rsidRPr="00804124">
        <w:rPr>
          <w:rFonts w:ascii="Times New Roman" w:hAnsi="Times New Roman"/>
          <w:bCs/>
          <w:color w:val="0D0D0D" w:themeColor="text1" w:themeTint="F2"/>
          <w:sz w:val="24"/>
          <w:szCs w:val="24"/>
          <w:lang w:val="sq-AL"/>
        </w:rPr>
        <w:t>-</w:t>
      </w:r>
      <w:r w:rsidRPr="00804124">
        <w:rPr>
          <w:rFonts w:ascii="Times New Roman" w:hAnsi="Times New Roman"/>
          <w:color w:val="0D0D0D" w:themeColor="text1" w:themeTint="F2"/>
          <w:sz w:val="24"/>
          <w:szCs w:val="24"/>
          <w:lang w:val="sq-AL"/>
        </w:rPr>
        <w:t>Vendimi i Gjykatës Administrative të Apelit është marrë në kundërshtim me ligjin.</w:t>
      </w:r>
    </w:p>
    <w:p w14:paraId="261787B4" w14:textId="2CDCF87D" w:rsidR="00882B3F" w:rsidRPr="00804124" w:rsidRDefault="00882B3F" w:rsidP="00882B3F">
      <w:pPr>
        <w:pStyle w:val="NoSpacing"/>
        <w:tabs>
          <w:tab w:val="left" w:pos="1800"/>
        </w:tabs>
        <w:ind w:firstLine="360"/>
        <w:jc w:val="both"/>
        <w:rPr>
          <w:color w:val="0D0D0D" w:themeColor="text1" w:themeTint="F2"/>
          <w:sz w:val="24"/>
          <w:szCs w:val="24"/>
        </w:rPr>
      </w:pPr>
      <w:r w:rsidRPr="00804124">
        <w:rPr>
          <w:bCs/>
          <w:color w:val="0D0D0D" w:themeColor="text1" w:themeTint="F2"/>
          <w:sz w:val="24"/>
          <w:szCs w:val="24"/>
        </w:rPr>
        <w:lastRenderedPageBreak/>
        <w:t>-</w:t>
      </w:r>
      <w:r w:rsidRPr="00804124">
        <w:rPr>
          <w:color w:val="0D0D0D" w:themeColor="text1" w:themeTint="F2"/>
          <w:sz w:val="24"/>
          <w:szCs w:val="24"/>
        </w:rPr>
        <w:t>Në faqen nr.15 të vendimit të ankimuar gjykata është shprehur se vendimi nr.689, datë 06.09.1994 i ish KKKP Bashkia Tiranë i trashëgimtarëve të familjes Luga referuar buletinit të njoftimeve zyrtare nr.16, datë 30.05.2016, brenda sipërfaqes së njohur të familjes Luga prej 20.000 m² ndodhet edhe sipërfaqe prej 3665 m² që krijon mbivendosje me sipërfaqen e pronës prej 6,459 m</w:t>
      </w:r>
      <w:r w:rsidR="00232DB3" w:rsidRPr="00804124">
        <w:rPr>
          <w:color w:val="0D0D0D" w:themeColor="text1" w:themeTint="F2"/>
          <w:sz w:val="24"/>
          <w:szCs w:val="24"/>
        </w:rPr>
        <w:t>²</w:t>
      </w:r>
      <w:r w:rsidRPr="00804124">
        <w:rPr>
          <w:color w:val="0D0D0D" w:themeColor="text1" w:themeTint="F2"/>
          <w:sz w:val="24"/>
          <w:szCs w:val="24"/>
        </w:rPr>
        <w:t xml:space="preserve"> pjesë e kapitalit të Shoqërisë "Albitalia Construzion”. Pra rezulton se ATP ka kryer kompensimin e ish pronarëve. Konkluzioni i mësipërm i cili është në trajtën juridike të faktit të pranuar në gjykim është tërësisht i pa bazuar në prova madje bie në kundërshtim me aktin e ekspertimit të përgatitur nga eksperti i pavarur. Ekspert të cilin Gjykata Administrative e Apelit e thërrit kryesisht në proces pikërisht për të sqaruar këtë situate e cila kërkonte njohuri të posaçme teknike. Në vëmendjen tuaj konkluzioni i aktit të ekspertimit.</w:t>
      </w:r>
    </w:p>
    <w:p w14:paraId="6FBDCD38" w14:textId="77777777" w:rsidR="00882B3F" w:rsidRPr="00804124" w:rsidRDefault="00882B3F" w:rsidP="00882B3F">
      <w:pPr>
        <w:pStyle w:val="NoSpacing"/>
        <w:tabs>
          <w:tab w:val="left" w:pos="1800"/>
        </w:tabs>
        <w:ind w:firstLine="360"/>
        <w:jc w:val="both"/>
        <w:rPr>
          <w:color w:val="0D0D0D" w:themeColor="text1" w:themeTint="F2"/>
          <w:sz w:val="24"/>
          <w:szCs w:val="24"/>
        </w:rPr>
      </w:pPr>
      <w:r w:rsidRPr="00804124">
        <w:rPr>
          <w:color w:val="0D0D0D" w:themeColor="text1" w:themeTint="F2"/>
          <w:sz w:val="24"/>
          <w:szCs w:val="24"/>
        </w:rPr>
        <w:t>-Në shkresën e ATP, me nr.256111 prot, datë 13.04.2018, me lëndë "Kthim përgjigje” dhe tabelën bashkëngjitur Buletinit të Njoftimeve Zyrtare, nr.16, datë 30.05.2016, eksperti nuk konstatoi ndonjë hartë treguese ku të paraqitet sipërfaqja e kompensuar, por ka të shënuar zonën kadastrale. Sa më lart në mungesë të ndonjë dokumenti hartografik bashkëngjitur shkresave të mësipërme, eksperti nuk mund të hartojë planvendosje të pronës së kompensuar.</w:t>
      </w:r>
    </w:p>
    <w:p w14:paraId="5F76CC76" w14:textId="09C2E7BF" w:rsidR="00882B3F" w:rsidRPr="00804124" w:rsidRDefault="00882B3F" w:rsidP="00882B3F">
      <w:pPr>
        <w:pStyle w:val="NoSpacing"/>
        <w:tabs>
          <w:tab w:val="left" w:pos="1800"/>
        </w:tabs>
        <w:ind w:firstLine="360"/>
        <w:jc w:val="both"/>
        <w:rPr>
          <w:color w:val="0D0D0D" w:themeColor="text1" w:themeTint="F2"/>
          <w:sz w:val="24"/>
          <w:szCs w:val="24"/>
        </w:rPr>
      </w:pPr>
      <w:r w:rsidRPr="00804124">
        <w:rPr>
          <w:color w:val="0D0D0D" w:themeColor="text1" w:themeTint="F2"/>
          <w:sz w:val="24"/>
          <w:szCs w:val="24"/>
        </w:rPr>
        <w:t>-Gjithashtu, është e pashpjegueshme sesi Gjykata, transferimin e kuotave shtetërore të kapitalit të përbashkët brenda shoqërisë tek një ortak i jashtëm josh</w:t>
      </w:r>
      <w:r w:rsidR="00232DB3" w:rsidRPr="00804124">
        <w:rPr>
          <w:color w:val="0D0D0D" w:themeColor="text1" w:themeTint="F2"/>
          <w:sz w:val="24"/>
          <w:szCs w:val="24"/>
        </w:rPr>
        <w:t>t</w:t>
      </w:r>
      <w:r w:rsidRPr="00804124">
        <w:rPr>
          <w:color w:val="0D0D0D" w:themeColor="text1" w:themeTint="F2"/>
          <w:sz w:val="24"/>
          <w:szCs w:val="24"/>
        </w:rPr>
        <w:t>etëror, nuk e quan privatizim të objekteve të veçanta shtetërore. Nëse ky proces, i konkluduar me një kontratë shitjeje kuotash shtetërore, nuk është privatizim, atëherë çfarë termi tjetër juridik mund t’i atashohet?!Kjo përbën një pikëpyetje të madhe për qartësinë juridike të vendimit të ankimuar.</w:t>
      </w:r>
    </w:p>
    <w:p w14:paraId="6B8EB317" w14:textId="77777777" w:rsidR="00882B3F" w:rsidRPr="00804124" w:rsidRDefault="00882B3F" w:rsidP="00882B3F">
      <w:pPr>
        <w:pStyle w:val="NoSpacing"/>
        <w:tabs>
          <w:tab w:val="left" w:pos="1800"/>
        </w:tabs>
        <w:ind w:firstLine="360"/>
        <w:jc w:val="both"/>
        <w:rPr>
          <w:color w:val="0D0D0D" w:themeColor="text1" w:themeTint="F2"/>
          <w:sz w:val="24"/>
          <w:szCs w:val="24"/>
        </w:rPr>
      </w:pPr>
      <w:r w:rsidRPr="00804124">
        <w:rPr>
          <w:color w:val="0D0D0D" w:themeColor="text1" w:themeTint="F2"/>
          <w:sz w:val="24"/>
          <w:szCs w:val="24"/>
        </w:rPr>
        <w:t>-Qartësisht, gjykata me dashje apo jo, kërkon të japë jetë një artific juridik, pasi në thelb, fakti është që kuotat shtetërore janë privatizuar përmes një kontrate shitjeje, përmes një procesi ankandi publik, fakt që konfirmohet edhe nga pohimi i Ardian Priftit, i cili thekson se kuotat janë shitur në Ankand Publik, sepse citon që pala paditëse nuk ka marrë pjesë në të dhe nuk tërheq një interes të ligjshëm.</w:t>
      </w:r>
    </w:p>
    <w:p w14:paraId="5C796C98" w14:textId="77777777" w:rsidR="00882B3F" w:rsidRPr="00804124" w:rsidRDefault="00882B3F" w:rsidP="00882B3F">
      <w:pPr>
        <w:pStyle w:val="NoSpacing"/>
        <w:tabs>
          <w:tab w:val="left" w:pos="1800"/>
        </w:tabs>
        <w:ind w:firstLine="360"/>
        <w:jc w:val="both"/>
        <w:rPr>
          <w:color w:val="0D0D0D" w:themeColor="text1" w:themeTint="F2"/>
          <w:sz w:val="24"/>
          <w:szCs w:val="24"/>
        </w:rPr>
      </w:pPr>
      <w:r w:rsidRPr="00804124">
        <w:rPr>
          <w:color w:val="0D0D0D" w:themeColor="text1" w:themeTint="F2"/>
          <w:sz w:val="24"/>
          <w:szCs w:val="24"/>
        </w:rPr>
        <w:t>-Në mbështetje të pohimit të mësipërm, theksojmë se bazuar në shkresën e depozituar në cilësinë e provës materiale në dosjen gjyqësore nr.18521 prot., datë 26.01.2012, të Drejtorisë së Administrimit dhe Shitjes së Pronave Publike, vërtetohet se fitues i ankandit të zhvilluar për shitjen e kuotave të shoqërisë “Alb Italia Constuzzioni” është shpallur pala e paditur, Ardian Prifti.</w:t>
      </w:r>
    </w:p>
    <w:p w14:paraId="3947EB25" w14:textId="77777777" w:rsidR="00882B3F" w:rsidRPr="00804124" w:rsidRDefault="00882B3F" w:rsidP="00882B3F">
      <w:pPr>
        <w:pStyle w:val="NoSpacing"/>
        <w:tabs>
          <w:tab w:val="left" w:pos="1800"/>
        </w:tabs>
        <w:ind w:firstLine="360"/>
        <w:jc w:val="both"/>
        <w:rPr>
          <w:color w:val="0D0D0D" w:themeColor="text1" w:themeTint="F2"/>
          <w:sz w:val="24"/>
          <w:szCs w:val="24"/>
        </w:rPr>
      </w:pPr>
      <w:r w:rsidRPr="00804124">
        <w:rPr>
          <w:color w:val="0D0D0D" w:themeColor="text1" w:themeTint="F2"/>
          <w:sz w:val="24"/>
          <w:szCs w:val="24"/>
        </w:rPr>
        <w:t>-Në këtë moment, vërtetohet sërish se konkluzionet e Gjykatës janë në keqinterpretim të ligjit, të normave ligjore të zbatueshme dhe të fakteve të çështjes objekt gjykimi, për të vetmen arsye se në momentin që këto kuota dalin për shitje në ankand publik, pra nuk ka dakordësi ndërmjet ortakëve ekzistues, palët e paditura, organet shtetërore duhet të zbatonin pikën nr.2 të vendimit nr.689, datë 06.09.1994, të Komisionit të Kthimit dhe Kompensimit të Pronave dhe t’ia ofronin së pari palës paditëse shitjen e kuotave, për rrjedhojë, zbatimin me ligj të të drejtës së parablerjes së këtyre kuotave.</w:t>
      </w:r>
    </w:p>
    <w:p w14:paraId="1714C1D0" w14:textId="77777777" w:rsidR="00882B3F" w:rsidRPr="00804124" w:rsidRDefault="00882B3F" w:rsidP="00882B3F">
      <w:pPr>
        <w:pStyle w:val="NoSpacing"/>
        <w:tabs>
          <w:tab w:val="left" w:pos="1800"/>
        </w:tabs>
        <w:ind w:firstLine="360"/>
        <w:jc w:val="both"/>
        <w:rPr>
          <w:i/>
          <w:iCs/>
          <w:color w:val="0D0D0D" w:themeColor="text1" w:themeTint="F2"/>
          <w:sz w:val="24"/>
          <w:szCs w:val="24"/>
        </w:rPr>
      </w:pPr>
      <w:r w:rsidRPr="00804124">
        <w:rPr>
          <w:color w:val="0D0D0D" w:themeColor="text1" w:themeTint="F2"/>
          <w:sz w:val="24"/>
          <w:szCs w:val="24"/>
        </w:rPr>
        <w:t xml:space="preserve">-Ky veprim do të duhej të shihej në respektim të nenit 21 të VKM nr.230, datë 04.04.1998, ku thuhet: </w:t>
      </w:r>
      <w:r w:rsidRPr="00804124">
        <w:rPr>
          <w:i/>
          <w:iCs/>
          <w:color w:val="0D0D0D" w:themeColor="text1" w:themeTint="F2"/>
          <w:sz w:val="24"/>
          <w:szCs w:val="24"/>
        </w:rPr>
        <w:t xml:space="preserve">“Për ish-pronarët e truallit të cilëve u është njohur prona nga komisioni i kthimit dhe kompensimit të pronave dhe ky truall është futur në kapitalin e zotëruar nga shteti në shoqërinë e përbashkët, kompensimi do të bëhet sipas legjislacionit në fuqi.”. </w:t>
      </w:r>
      <w:r w:rsidRPr="00804124">
        <w:rPr>
          <w:color w:val="0D0D0D" w:themeColor="text1" w:themeTint="F2"/>
          <w:sz w:val="24"/>
          <w:szCs w:val="24"/>
        </w:rPr>
        <w:t>Gjykata parashikimin e nenit 21 e lexon në mënyrë të gabuar, pasi arsyeton se meqë ky truall është futur në kapitalin shtetëror të shoqërisë, kompensimi do të bëhet sipas legjislacionit në fuqi, duke lënë të kuptohet se ka një formë tjetër kompensimi përveç asaj të zbatimit të të drejtës së parablerjes.</w:t>
      </w:r>
    </w:p>
    <w:p w14:paraId="125BF419" w14:textId="77777777" w:rsidR="00882B3F" w:rsidRPr="00804124" w:rsidRDefault="00882B3F" w:rsidP="00882B3F">
      <w:pPr>
        <w:pStyle w:val="NoSpacing"/>
        <w:tabs>
          <w:tab w:val="left" w:pos="1800"/>
        </w:tabs>
        <w:ind w:firstLine="360"/>
        <w:jc w:val="both"/>
        <w:rPr>
          <w:i/>
          <w:iCs/>
          <w:color w:val="0D0D0D" w:themeColor="text1" w:themeTint="F2"/>
          <w:sz w:val="24"/>
          <w:szCs w:val="24"/>
        </w:rPr>
      </w:pPr>
      <w:r w:rsidRPr="00804124">
        <w:rPr>
          <w:color w:val="0D0D0D" w:themeColor="text1" w:themeTint="F2"/>
          <w:sz w:val="24"/>
          <w:szCs w:val="24"/>
        </w:rPr>
        <w:t>-Gjatë shqyrtimit të rihapjes së hetimit gjyqësor, të argumenteve të mësipërme që lidhen me themelin e çështjes, u provua se në një formë apo tjetër, palës paditëse, përmes veprimeve dhe procedurave administrative antiligjore të ndjekura nga pala e paditur, i është mohuar ushtrimi në thelb i një të drejte ligjore, siç është e drejta e parablerjes, pjesë e të drejtës së pronësisë së mbrojtur kushtetutshmërisht, si dhe nga normat ligjore të aplikueshme.</w:t>
      </w:r>
    </w:p>
    <w:p w14:paraId="6CB02B03" w14:textId="77777777" w:rsidR="00882B3F" w:rsidRPr="00804124" w:rsidRDefault="00882B3F" w:rsidP="00882B3F">
      <w:pPr>
        <w:pStyle w:val="NoSpacing"/>
        <w:tabs>
          <w:tab w:val="left" w:pos="1800"/>
        </w:tabs>
        <w:ind w:firstLine="360"/>
        <w:jc w:val="both"/>
        <w:rPr>
          <w:i/>
          <w:iCs/>
          <w:color w:val="0D0D0D" w:themeColor="text1" w:themeTint="F2"/>
          <w:sz w:val="24"/>
          <w:szCs w:val="24"/>
        </w:rPr>
      </w:pPr>
      <w:r w:rsidRPr="00804124">
        <w:rPr>
          <w:i/>
          <w:iCs/>
          <w:color w:val="0D0D0D" w:themeColor="text1" w:themeTint="F2"/>
          <w:sz w:val="24"/>
          <w:szCs w:val="24"/>
        </w:rPr>
        <w:lastRenderedPageBreak/>
        <w:t>-</w:t>
      </w:r>
      <w:r w:rsidRPr="00804124">
        <w:rPr>
          <w:color w:val="0D0D0D" w:themeColor="text1" w:themeTint="F2"/>
          <w:sz w:val="24"/>
          <w:szCs w:val="24"/>
        </w:rPr>
        <w:t>Kjo do të thotë se në qoftë se do të ishte ndjekur procedura e kërkuar ligjore, përmes ankandit publik, pala paditëse do të ishte në ushtrim të plotë të së drejtës ligjore të parablerjes, përmes paraqitjes së ofertës së saj, nga e cila nuk ka hequr asnjëherë dorë, dhe për të cilën ka paraqitur disa ankesa administrative për zbatimin e saj. Gjykata është plotësisht e pasaktë kur shprehet se e gjen të pambështetur pretendimin e palës paditëse (rekursuesit), se pala e paditur dhe ekspertët kanë vepruar në kundërshtim me VKM nr. 230, datë 04.04.1998, duke mos marrë asnjë dokumentacion ligjor për verifikim, pasi, sipas shkresës me nr.15033/1prot., datë 09.10.2012, të ZVRPP, pasuria me nr.8/231 ishte e regjistruar në emër të shoqërisë "Alb Italia Construzzione" SH.P.K.</w:t>
      </w:r>
    </w:p>
    <w:p w14:paraId="3D6EFA51" w14:textId="77777777" w:rsidR="00882B3F" w:rsidRPr="00804124" w:rsidRDefault="00882B3F" w:rsidP="00882B3F">
      <w:pPr>
        <w:pStyle w:val="NoSpacing"/>
        <w:tabs>
          <w:tab w:val="left" w:pos="1800"/>
        </w:tabs>
        <w:ind w:firstLine="360"/>
        <w:jc w:val="both"/>
        <w:rPr>
          <w:i/>
          <w:iCs/>
          <w:color w:val="0D0D0D" w:themeColor="text1" w:themeTint="F2"/>
          <w:sz w:val="24"/>
          <w:szCs w:val="24"/>
        </w:rPr>
      </w:pPr>
      <w:r w:rsidRPr="00804124">
        <w:rPr>
          <w:i/>
          <w:iCs/>
          <w:color w:val="0D0D0D" w:themeColor="text1" w:themeTint="F2"/>
          <w:sz w:val="24"/>
          <w:szCs w:val="24"/>
        </w:rPr>
        <w:t>-</w:t>
      </w:r>
      <w:r w:rsidRPr="00804124">
        <w:rPr>
          <w:color w:val="0D0D0D" w:themeColor="text1" w:themeTint="F2"/>
          <w:sz w:val="24"/>
          <w:szCs w:val="24"/>
        </w:rPr>
        <w:t>Është e vërtetë që pasuria e njohur dhe e pritur për t’u kompensuar përmes zbatimit të së drejtës së parablerjes nuk regjistrohet, pasi ajo nuk është e kthyer fizikisht ende, por kjo nuk do të thotë kurrsesi që organet shtetërore të mos ishin në dijeni të fakteve juridike me rëndësi, siç ishte ekzistenca e të drejtës së pronësisë mbi truallin e afektuar nga kuotat e kapitalit shtetëror në shoqërinë e përbashkët, sepse janë fakte të pakundërshtueshme, pasi sipas vendimit nr.689, datë 06.09.1994, të Komisionit të Kthimit dhe Kompensimit të Pronave Tiranë.</w:t>
      </w:r>
    </w:p>
    <w:p w14:paraId="6585C260" w14:textId="77777777" w:rsidR="00882B3F" w:rsidRPr="00804124" w:rsidRDefault="00882B3F" w:rsidP="00882B3F">
      <w:pPr>
        <w:pStyle w:val="NoSpacing"/>
        <w:tabs>
          <w:tab w:val="left" w:pos="1800"/>
        </w:tabs>
        <w:ind w:firstLine="360"/>
        <w:jc w:val="both"/>
        <w:rPr>
          <w:i/>
          <w:iCs/>
          <w:color w:val="0D0D0D" w:themeColor="text1" w:themeTint="F2"/>
          <w:sz w:val="24"/>
          <w:szCs w:val="24"/>
        </w:rPr>
      </w:pPr>
      <w:r w:rsidRPr="00804124">
        <w:rPr>
          <w:i/>
          <w:iCs/>
          <w:color w:val="0D0D0D" w:themeColor="text1" w:themeTint="F2"/>
          <w:sz w:val="24"/>
          <w:szCs w:val="24"/>
        </w:rPr>
        <w:t>-</w:t>
      </w:r>
      <w:r w:rsidRPr="00804124">
        <w:rPr>
          <w:color w:val="0D0D0D" w:themeColor="text1" w:themeTint="F2"/>
          <w:sz w:val="24"/>
          <w:szCs w:val="24"/>
        </w:rPr>
        <w:t>Rekursuesi ishte pronar i sipërfaqes së truallit prej 20.000 m². Gjithashtu, bazuar në pikën dy të vendimit të sipërpërmendur, atij i ishte njohur e drejta e parablerjes së godinave shtetërore të ndërtuara në truallin e tij dhe ky fakt u është bërë me dije në mënyrë të plotë dhe zyrtare palëve të paditura. Në periudha të ndryshme, rekursuesi, në cilësinë e pronarit të truallit dhe duke pasur të drejtën për parablerjen e godinave shtetërore e drejtë e garantuar me ligj i është drejtuar organeve kompetente, sipas provave shkresore të administruara, konkretisht edhe palës së paditur ish-METE, për privatizimin e këtyre objekteve të dala jashtë çdo funksioni.</w:t>
      </w:r>
    </w:p>
    <w:p w14:paraId="577ECB9E" w14:textId="77777777" w:rsidR="00882B3F" w:rsidRPr="00804124" w:rsidRDefault="00882B3F" w:rsidP="00882B3F">
      <w:pPr>
        <w:pStyle w:val="NoSpacing"/>
        <w:tabs>
          <w:tab w:val="left" w:pos="1800"/>
        </w:tabs>
        <w:ind w:firstLine="360"/>
        <w:jc w:val="both"/>
        <w:rPr>
          <w:i/>
          <w:iCs/>
          <w:color w:val="0D0D0D" w:themeColor="text1" w:themeTint="F2"/>
          <w:sz w:val="24"/>
          <w:szCs w:val="24"/>
        </w:rPr>
      </w:pPr>
      <w:r w:rsidRPr="00804124">
        <w:rPr>
          <w:i/>
          <w:iCs/>
          <w:color w:val="0D0D0D" w:themeColor="text1" w:themeTint="F2"/>
          <w:sz w:val="24"/>
          <w:szCs w:val="24"/>
        </w:rPr>
        <w:t>-</w:t>
      </w:r>
      <w:r w:rsidRPr="00804124">
        <w:rPr>
          <w:color w:val="0D0D0D" w:themeColor="text1" w:themeTint="F2"/>
          <w:sz w:val="24"/>
          <w:szCs w:val="24"/>
        </w:rPr>
        <w:t>Nga ana e organeve kompetente janë kthyer përgjigje të ndryshme, ku në të gjitha rastet pala e paditur, ish-METE, i ka njohur rekursuesit të drejtën e parablerjes së këtyre godinave e drejtë e cila do të zbatohej në favor të palës paditëse në momentin kur do të vendosej privatizimi i këtyre godinave.</w:t>
      </w:r>
      <w:r w:rsidRPr="00804124">
        <w:rPr>
          <w:i/>
          <w:iCs/>
          <w:color w:val="0D0D0D" w:themeColor="text1" w:themeTint="F2"/>
          <w:sz w:val="24"/>
          <w:szCs w:val="24"/>
        </w:rPr>
        <w:t xml:space="preserve"> </w:t>
      </w:r>
      <w:r w:rsidRPr="00804124">
        <w:rPr>
          <w:color w:val="0D0D0D" w:themeColor="text1" w:themeTint="F2"/>
          <w:sz w:val="24"/>
          <w:szCs w:val="24"/>
        </w:rPr>
        <w:t>Rekursuesi është vënë në dijeni se, sipas kontratës së shitjes nr.556 rep., nr.268 kol., datë 20.12.2012, lidhur midis shitësit Ministria e Financave, Drejtoria e Administrimit dhe Shitjes së Pronave Publike, Tiranë dhe blerësit Ardian Prifti, janë shitur pjesët e kapitalit shtetëror të Shoqërisë “Albitalia Construzion” SH.P.K., të përbëra nga vlera 52.460.000 lekë, si dhe sipërfaqja e truallit prej 6.459 m².</w:t>
      </w:r>
    </w:p>
    <w:p w14:paraId="36565812" w14:textId="1541370C" w:rsidR="00882B3F" w:rsidRPr="00804124" w:rsidRDefault="00882B3F" w:rsidP="00882B3F">
      <w:pPr>
        <w:pStyle w:val="NoSpacing"/>
        <w:tabs>
          <w:tab w:val="left" w:pos="1800"/>
        </w:tabs>
        <w:ind w:firstLine="360"/>
        <w:jc w:val="both"/>
        <w:rPr>
          <w:i/>
          <w:iCs/>
          <w:color w:val="0D0D0D" w:themeColor="text1" w:themeTint="F2"/>
          <w:sz w:val="24"/>
          <w:szCs w:val="24"/>
        </w:rPr>
      </w:pPr>
      <w:r w:rsidRPr="00804124">
        <w:rPr>
          <w:i/>
          <w:iCs/>
          <w:color w:val="0D0D0D" w:themeColor="text1" w:themeTint="F2"/>
          <w:sz w:val="24"/>
          <w:szCs w:val="24"/>
        </w:rPr>
        <w:t>-</w:t>
      </w:r>
      <w:r w:rsidRPr="00804124">
        <w:rPr>
          <w:color w:val="0D0D0D" w:themeColor="text1" w:themeTint="F2"/>
          <w:sz w:val="24"/>
          <w:szCs w:val="24"/>
        </w:rPr>
        <w:t>Në dritën e fakteve të mësipërme, në kushtet ku pala e paditur ka qenë e njoftuar sistematikisht për këto fakte si dhe interesimin e rekursuesit për ushtrimin e të drejtës së parablerjes, si dhe në kushtet kur është zhvilluar një ankand publik pa patur mundësi të vihej në dijeni efektive pala paditëse, pala e paditur, ish-METE, ka shkelur në mënyrë flagrante ligjin nr.8334, datë 23.04.1998</w:t>
      </w:r>
      <w:r w:rsidR="00232DB3" w:rsidRPr="00804124">
        <w:rPr>
          <w:color w:val="0D0D0D" w:themeColor="text1" w:themeTint="F2"/>
          <w:sz w:val="24"/>
          <w:szCs w:val="24"/>
        </w:rPr>
        <w:t xml:space="preserve"> </w:t>
      </w:r>
      <w:r w:rsidRPr="00804124">
        <w:rPr>
          <w:color w:val="0D0D0D" w:themeColor="text1" w:themeTint="F2"/>
          <w:sz w:val="24"/>
          <w:szCs w:val="24"/>
        </w:rPr>
        <w:t>“Për privatizimin e shoqërive tregtare që veprojnë në sektorët jostrategjikë”, i ndryshuar, si dhe VKM nr.832, datë 03.12.2014, në lidhje me respektimin e procedurës së posaçme të parashikuar në ligj.</w:t>
      </w:r>
      <w:r w:rsidRPr="00804124">
        <w:rPr>
          <w:i/>
          <w:iCs/>
          <w:color w:val="0D0D0D" w:themeColor="text1" w:themeTint="F2"/>
          <w:sz w:val="24"/>
          <w:szCs w:val="24"/>
        </w:rPr>
        <w:t xml:space="preserve"> </w:t>
      </w:r>
      <w:r w:rsidRPr="00804124">
        <w:rPr>
          <w:color w:val="0D0D0D" w:themeColor="text1" w:themeTint="F2"/>
          <w:sz w:val="24"/>
          <w:szCs w:val="24"/>
        </w:rPr>
        <w:t>Si rrjedhojë, kontrata objekt gjykimi rezulton të jetë absolutisht e pavlefshme.</w:t>
      </w:r>
    </w:p>
    <w:p w14:paraId="297D850E" w14:textId="77777777" w:rsidR="00882B3F" w:rsidRPr="00804124" w:rsidRDefault="00882B3F" w:rsidP="00882B3F">
      <w:pPr>
        <w:pStyle w:val="NoSpacing"/>
        <w:tabs>
          <w:tab w:val="left" w:pos="1800"/>
        </w:tabs>
        <w:ind w:firstLine="360"/>
        <w:jc w:val="both"/>
        <w:rPr>
          <w:i/>
          <w:iCs/>
          <w:color w:val="0D0D0D" w:themeColor="text1" w:themeTint="F2"/>
          <w:sz w:val="24"/>
          <w:szCs w:val="24"/>
        </w:rPr>
      </w:pPr>
      <w:r w:rsidRPr="00804124">
        <w:rPr>
          <w:i/>
          <w:iCs/>
          <w:color w:val="0D0D0D" w:themeColor="text1" w:themeTint="F2"/>
          <w:sz w:val="24"/>
          <w:szCs w:val="24"/>
        </w:rPr>
        <w:t>-</w:t>
      </w:r>
      <w:r w:rsidRPr="00804124">
        <w:rPr>
          <w:color w:val="0D0D0D" w:themeColor="text1" w:themeTint="F2"/>
          <w:sz w:val="24"/>
          <w:szCs w:val="24"/>
        </w:rPr>
        <w:t>Ish-METE dhe Ministria e Financave, Drejtoria e Administrimit dhe Shitjes së Pronave Publike, Tiranë, kanë keqpërdorur ligjin dhe VKM-të përkatëse, përfshirë VKM nr. 230, datë 04.04.1998, duke konkluduar në një procedurë të gabuar dhe të pavlefshme për privatizimin e pjesëve të kapitalit të zotëruar nga shteti në shoqëritë me kapital të përbashkët.</w:t>
      </w:r>
    </w:p>
    <w:p w14:paraId="4F662DBF" w14:textId="77777777" w:rsidR="00882B3F" w:rsidRPr="00804124" w:rsidRDefault="00882B3F" w:rsidP="00882B3F">
      <w:pPr>
        <w:pStyle w:val="NoSpacing"/>
        <w:tabs>
          <w:tab w:val="left" w:pos="1800"/>
        </w:tabs>
        <w:ind w:firstLine="360"/>
        <w:jc w:val="both"/>
        <w:rPr>
          <w:color w:val="0D0D0D" w:themeColor="text1" w:themeTint="F2"/>
          <w:sz w:val="24"/>
          <w:szCs w:val="24"/>
        </w:rPr>
      </w:pPr>
      <w:r w:rsidRPr="00804124">
        <w:rPr>
          <w:i/>
          <w:iCs/>
          <w:color w:val="0D0D0D" w:themeColor="text1" w:themeTint="F2"/>
          <w:sz w:val="24"/>
          <w:szCs w:val="24"/>
        </w:rPr>
        <w:t>-</w:t>
      </w:r>
      <w:r w:rsidRPr="00804124">
        <w:rPr>
          <w:color w:val="0D0D0D" w:themeColor="text1" w:themeTint="F2"/>
          <w:sz w:val="24"/>
          <w:szCs w:val="24"/>
        </w:rPr>
        <w:t>Një nga pikat kryesore ku institucionet përkatëse kanë gabuar në privatizimin e pjesës së kapitalit të Shoqërisë "Albitalia Construzion" SH.P.K., është pikërisht pika 5/e e VKM nr.230, datë 04.04.1998 (e ndryshuar).</w:t>
      </w:r>
      <w:r w:rsidRPr="00804124">
        <w:rPr>
          <w:i/>
          <w:iCs/>
          <w:color w:val="0D0D0D" w:themeColor="text1" w:themeTint="F2"/>
          <w:sz w:val="24"/>
          <w:szCs w:val="24"/>
        </w:rPr>
        <w:t xml:space="preserve"> </w:t>
      </w:r>
      <w:r w:rsidRPr="00804124">
        <w:rPr>
          <w:color w:val="0D0D0D" w:themeColor="text1" w:themeTint="F2"/>
          <w:sz w:val="24"/>
          <w:szCs w:val="24"/>
        </w:rPr>
        <w:t xml:space="preserve">Sipas kësaj pike: </w:t>
      </w:r>
      <w:r w:rsidRPr="00804124">
        <w:rPr>
          <w:i/>
          <w:iCs/>
          <w:color w:val="0D0D0D" w:themeColor="text1" w:themeTint="F2"/>
          <w:sz w:val="24"/>
          <w:szCs w:val="24"/>
        </w:rPr>
        <w:t>“Ekspertët, së bashku me organin shtetëror, sipas përcaktimit në paragrafin e dytë të pikës 2, do të plotësojnë dosjen e privatizimit të kapitalit shtetëror të shoqërisë, e cila duhet të ketë domosdoshmërish këto dokumente: e) dokumentacionin përkatës për truallin, ku e zhvillon veprimtarinë shoqëria dhe të dhëna për pozicionin gjeografik të saj.”.</w:t>
      </w:r>
    </w:p>
    <w:p w14:paraId="1DF5D30D" w14:textId="77777777" w:rsidR="00882B3F" w:rsidRPr="00804124" w:rsidRDefault="00882B3F" w:rsidP="00882B3F">
      <w:pPr>
        <w:pStyle w:val="NoSpacing"/>
        <w:tabs>
          <w:tab w:val="left" w:pos="1800"/>
        </w:tabs>
        <w:ind w:firstLine="360"/>
        <w:jc w:val="both"/>
        <w:rPr>
          <w:i/>
          <w:iCs/>
          <w:color w:val="0D0D0D" w:themeColor="text1" w:themeTint="F2"/>
          <w:sz w:val="24"/>
          <w:szCs w:val="24"/>
        </w:rPr>
      </w:pPr>
      <w:r w:rsidRPr="00804124">
        <w:rPr>
          <w:color w:val="0D0D0D" w:themeColor="text1" w:themeTint="F2"/>
          <w:sz w:val="24"/>
          <w:szCs w:val="24"/>
        </w:rPr>
        <w:t xml:space="preserve">-Pikërisht, referuar kësaj pike të VKM-së së sipërpërmendur, pala e paditur dhe ekspertët nuk kanë zbatuar drejt ligjin, duke mos marrë asnjë dokumentacion ligjor për verifikimin </w:t>
      </w:r>
      <w:r w:rsidRPr="00804124">
        <w:rPr>
          <w:color w:val="0D0D0D" w:themeColor="text1" w:themeTint="F2"/>
          <w:sz w:val="24"/>
          <w:szCs w:val="24"/>
        </w:rPr>
        <w:lastRenderedPageBreak/>
        <w:t>juridik të sipërfaqes së truallit, në të cilin pala e paditur kishte dijeni se, sipas vendimit nr.689, datë 06.09.1994, të Komisionit të Kthimit dhe Kompensimit të Pronave Tiranë, i është njohur familjes Luga pronësia mbi truallin.</w:t>
      </w:r>
    </w:p>
    <w:p w14:paraId="7AAE6B51" w14:textId="77777777" w:rsidR="00882B3F" w:rsidRPr="00804124" w:rsidRDefault="00882B3F" w:rsidP="00882B3F">
      <w:pPr>
        <w:pStyle w:val="NoSpacing"/>
        <w:tabs>
          <w:tab w:val="left" w:pos="1800"/>
        </w:tabs>
        <w:ind w:firstLine="360"/>
        <w:jc w:val="both"/>
        <w:rPr>
          <w:i/>
          <w:iCs/>
          <w:color w:val="0D0D0D" w:themeColor="text1" w:themeTint="F2"/>
          <w:sz w:val="24"/>
          <w:szCs w:val="24"/>
        </w:rPr>
      </w:pPr>
      <w:r w:rsidRPr="00804124">
        <w:rPr>
          <w:i/>
          <w:iCs/>
          <w:color w:val="0D0D0D" w:themeColor="text1" w:themeTint="F2"/>
          <w:sz w:val="24"/>
          <w:szCs w:val="24"/>
        </w:rPr>
        <w:t>-</w:t>
      </w:r>
      <w:r w:rsidRPr="00804124">
        <w:rPr>
          <w:color w:val="0D0D0D" w:themeColor="text1" w:themeTint="F2"/>
          <w:sz w:val="24"/>
          <w:szCs w:val="24"/>
        </w:rPr>
        <w:t>Ky vendim, i cili e njeh familjen Luga si pronare, i është vënë në dispozicion palës paditëse, si dhe ish-METE-së (aktualisht Ministria e Zhvillimit Ekonomik, Tregtisë, Turizmit dhe Sipërmarrjes). Kjo e fundit i disponon këto dokumente në arkivën e saj, fakt që provohet nga shkresat kthim-përgjigje nr.3810 prot., datë 11.05.2008, si dhe shkresa nr.4/8 prot., datë 08.04.2008, ku pala e paditur e konfirmon faktin që është në dijeni të vendimit nr.689, datë 06.09.1994, të KKP Tiranë.</w:t>
      </w:r>
      <w:r w:rsidRPr="00804124">
        <w:rPr>
          <w:i/>
          <w:iCs/>
          <w:color w:val="0D0D0D" w:themeColor="text1" w:themeTint="F2"/>
          <w:sz w:val="24"/>
          <w:szCs w:val="24"/>
        </w:rPr>
        <w:t xml:space="preserve"> </w:t>
      </w:r>
      <w:r w:rsidRPr="00804124">
        <w:rPr>
          <w:color w:val="0D0D0D" w:themeColor="text1" w:themeTint="F2"/>
          <w:sz w:val="24"/>
          <w:szCs w:val="24"/>
        </w:rPr>
        <w:t>Për rrjedhojë, pala e paditur duhej të zbatonte saktësisht pikën 5/e të VKM nr. 230, datë 04.04.1998 (e ndryshuar), duke marrë në konsideratë edhe këtë vendim të formës së prerë.</w:t>
      </w:r>
    </w:p>
    <w:p w14:paraId="1057FB37" w14:textId="77777777" w:rsidR="00882B3F" w:rsidRPr="00804124" w:rsidRDefault="00882B3F" w:rsidP="00882B3F">
      <w:pPr>
        <w:pStyle w:val="NoSpacing"/>
        <w:tabs>
          <w:tab w:val="left" w:pos="1800"/>
        </w:tabs>
        <w:ind w:firstLine="360"/>
        <w:jc w:val="both"/>
        <w:rPr>
          <w:i/>
          <w:iCs/>
          <w:color w:val="0D0D0D" w:themeColor="text1" w:themeTint="F2"/>
          <w:sz w:val="24"/>
          <w:szCs w:val="24"/>
        </w:rPr>
      </w:pPr>
      <w:r w:rsidRPr="00804124">
        <w:rPr>
          <w:i/>
          <w:iCs/>
          <w:color w:val="0D0D0D" w:themeColor="text1" w:themeTint="F2"/>
          <w:sz w:val="24"/>
          <w:szCs w:val="24"/>
        </w:rPr>
        <w:t>-</w:t>
      </w:r>
      <w:r w:rsidRPr="00804124">
        <w:rPr>
          <w:color w:val="0D0D0D" w:themeColor="text1" w:themeTint="F2"/>
          <w:sz w:val="24"/>
          <w:szCs w:val="24"/>
        </w:rPr>
        <w:t>E drejta e rekursuesit, në cilësinë e pronarit të truallit, në rastin konkret, për të pasur mundësinë e parablerjes së godinave shtetërore të ndërtuara mbi truallin e tij, si një e drejtë legjitime dhe e parashikuar qartë në ligj, nuk është marrë në konsideratë dhe nuk është zbatuar nga organet shtetërore. Atij i është mohuar kjo e drejtë dhe në mënyrë abuzive dhe antikushtetuese, nuk i është dhënë mundësia e parablerjes së godinës shtetërore të ndërtuar mbi truallin në pronësi të tij.</w:t>
      </w:r>
      <w:r w:rsidRPr="00804124">
        <w:rPr>
          <w:i/>
          <w:iCs/>
          <w:color w:val="0D0D0D" w:themeColor="text1" w:themeTint="F2"/>
          <w:sz w:val="24"/>
          <w:szCs w:val="24"/>
        </w:rPr>
        <w:t xml:space="preserve"> </w:t>
      </w:r>
      <w:r w:rsidRPr="00804124">
        <w:rPr>
          <w:color w:val="0D0D0D" w:themeColor="text1" w:themeTint="F2"/>
          <w:sz w:val="24"/>
          <w:szCs w:val="24"/>
        </w:rPr>
        <w:t>Kushtetuta e Republikës së Shqipërisë, neni 41 i saj, përcakton qartë:</w:t>
      </w:r>
      <w:r w:rsidRPr="00804124">
        <w:rPr>
          <w:i/>
          <w:iCs/>
          <w:color w:val="0D0D0D" w:themeColor="text1" w:themeTint="F2"/>
          <w:sz w:val="24"/>
          <w:szCs w:val="24"/>
        </w:rPr>
        <w:t xml:space="preserve"> “E drejta e pronës private është e garantuar.”.</w:t>
      </w:r>
    </w:p>
    <w:p w14:paraId="1A4D18F7" w14:textId="77777777" w:rsidR="00882B3F" w:rsidRPr="00804124" w:rsidRDefault="00882B3F" w:rsidP="00882B3F">
      <w:pPr>
        <w:pStyle w:val="NoSpacing"/>
        <w:tabs>
          <w:tab w:val="left" w:pos="1800"/>
        </w:tabs>
        <w:ind w:firstLine="360"/>
        <w:jc w:val="both"/>
        <w:rPr>
          <w:color w:val="0D0D0D" w:themeColor="text1" w:themeTint="F2"/>
          <w:sz w:val="24"/>
          <w:szCs w:val="24"/>
        </w:rPr>
      </w:pPr>
      <w:r w:rsidRPr="00804124">
        <w:rPr>
          <w:color w:val="0D0D0D" w:themeColor="text1" w:themeTint="F2"/>
          <w:sz w:val="24"/>
          <w:szCs w:val="24"/>
        </w:rPr>
        <w:t>-Pala e paditur, përmes veprimeve dhe mosveprimeve të saj, ka shkelur të drejtat e palës paditëse të mbrojtura nga Kushtetuta, duke i cenuar të drejtën themelore të garantimit të pronës private.</w:t>
      </w:r>
    </w:p>
    <w:p w14:paraId="1AC3871C" w14:textId="77777777" w:rsidR="00882B3F" w:rsidRPr="00804124" w:rsidRDefault="00882B3F" w:rsidP="00882B3F">
      <w:pPr>
        <w:pStyle w:val="NoSpacing"/>
        <w:tabs>
          <w:tab w:val="left" w:pos="1800"/>
        </w:tabs>
        <w:ind w:firstLine="360"/>
        <w:jc w:val="both"/>
        <w:rPr>
          <w:color w:val="0D0D0D" w:themeColor="text1" w:themeTint="F2"/>
          <w:sz w:val="24"/>
          <w:szCs w:val="24"/>
        </w:rPr>
      </w:pPr>
      <w:r w:rsidRPr="00804124">
        <w:rPr>
          <w:color w:val="0D0D0D" w:themeColor="text1" w:themeTint="F2"/>
          <w:sz w:val="24"/>
          <w:szCs w:val="24"/>
        </w:rPr>
        <w:t>-Nga ana e palës së paditur, Ardian Prifti, gjatë hetimit gjyqësor pranë Gjykatës, u pretendua që pala paditëse (rekursuesi) është kompensuar për vendimin nr.689, datë 06.09.1994, të Komisionit të Kthimit dhe Kompensimit të Pronave, pikërisht për të drejtën e parablerjes. Ky pretendim, i cili është tërësisht i pabazuar si dhe i paprovuar. U provua gjatë hetimit gjyqësor, bazuar edhe në aktin e ekspertimit, përgatitur nga eksperti i thirrur nga Gjykata, se ky pretendim i palës së paditur nuk qëndron, pasi e drejta e kompensimit nuk kishte lidhje me pasurinë objekt gjykimi.</w:t>
      </w:r>
    </w:p>
    <w:p w14:paraId="5A230CAB" w14:textId="77777777" w:rsidR="00882B3F" w:rsidRPr="00804124" w:rsidRDefault="00882B3F" w:rsidP="00882B3F">
      <w:pPr>
        <w:pStyle w:val="NoSpacing"/>
        <w:tabs>
          <w:tab w:val="left" w:pos="1800"/>
        </w:tabs>
        <w:ind w:firstLine="360"/>
        <w:jc w:val="both"/>
        <w:rPr>
          <w:color w:val="0D0D0D" w:themeColor="text1" w:themeTint="F2"/>
          <w:sz w:val="24"/>
          <w:szCs w:val="24"/>
        </w:rPr>
      </w:pPr>
      <w:r w:rsidRPr="00804124">
        <w:rPr>
          <w:color w:val="0D0D0D" w:themeColor="text1" w:themeTint="F2"/>
          <w:sz w:val="24"/>
          <w:szCs w:val="24"/>
        </w:rPr>
        <w:t>-Në një ndërthurje midis aktit të ekspertimit, të përgatitur nga eksperti Vladimir Pellumbi dhe pikës nr.2 të vendimit nr.689, datë 06.09.1994, të Komisionit të Kthimit dhe Kompensimit të Pronave, nuk rezulton që rekursuesi të jetë kompensuar për truallin objekt gjykimi, pikërisht edhe për faktin se në Fletoren Zyrtare nr.148, datë 9 shtator 2013, është botuar VKM nr.752, datë 05.09.2013,"Për shpronësimin, për interes publik, të pronarëve të pasurive të paluajtshme, pronë private, që preken nga zbatimi i projektit “Bulevardi Verior dhe rehabilitimi i lumit të Tiranës”, faza 1, në Bashkinë e Tiranës".</w:t>
      </w:r>
    </w:p>
    <w:p w14:paraId="0DA9F19D" w14:textId="77777777" w:rsidR="00882B3F" w:rsidRPr="00804124" w:rsidRDefault="00882B3F" w:rsidP="00882B3F">
      <w:pPr>
        <w:pStyle w:val="NoSpacing"/>
        <w:tabs>
          <w:tab w:val="left" w:pos="1800"/>
        </w:tabs>
        <w:ind w:firstLine="360"/>
        <w:jc w:val="both"/>
        <w:rPr>
          <w:color w:val="0D0D0D" w:themeColor="text1" w:themeTint="F2"/>
          <w:sz w:val="24"/>
          <w:szCs w:val="24"/>
        </w:rPr>
      </w:pPr>
      <w:r w:rsidRPr="00804124">
        <w:rPr>
          <w:color w:val="0D0D0D" w:themeColor="text1" w:themeTint="F2"/>
          <w:sz w:val="24"/>
          <w:szCs w:val="24"/>
        </w:rPr>
        <w:t>-Gjithashtu, në Fletoren Zyrtare nr.174, datë 6 tetor 2015, është botuar VKM nr.801, datë 30.09.2015, "Për shpërblimin e pronarëve mbi sipërfaqet takuese të pasurive të paluajtshme, pronë private, që preken nga ndërtimet informale", si dhe në referim të aktit të ekspertimit të paraqitur nga eksperti, provohet se pasuria e njohur rekursuesit, objekt gjykimi në këtë gjykatë, nuk preket në asnjë pjesë të saj nga këto akte ligjore të pretenduara nga pala e paditur, Ardian Prifti.</w:t>
      </w:r>
    </w:p>
    <w:p w14:paraId="4BA6C051" w14:textId="77D95C93" w:rsidR="00882B3F" w:rsidRPr="00804124" w:rsidRDefault="00882B3F" w:rsidP="00882B3F">
      <w:pPr>
        <w:pStyle w:val="NoSpacing"/>
        <w:tabs>
          <w:tab w:val="left" w:pos="1800"/>
        </w:tabs>
        <w:ind w:firstLine="360"/>
        <w:jc w:val="both"/>
        <w:rPr>
          <w:color w:val="0D0D0D" w:themeColor="text1" w:themeTint="F2"/>
          <w:sz w:val="24"/>
          <w:szCs w:val="24"/>
        </w:rPr>
      </w:pPr>
      <w:r w:rsidRPr="00804124">
        <w:rPr>
          <w:color w:val="0D0D0D" w:themeColor="text1" w:themeTint="F2"/>
          <w:sz w:val="24"/>
          <w:szCs w:val="24"/>
        </w:rPr>
        <w:t>-Sa i përket njoftimit të Agjencisë së Trajtimit të Pronave nr.1873/1,</w:t>
      </w:r>
      <w:r w:rsidR="00E31CD5" w:rsidRPr="00804124">
        <w:rPr>
          <w:color w:val="0D0D0D" w:themeColor="text1" w:themeTint="F2"/>
          <w:sz w:val="24"/>
          <w:szCs w:val="24"/>
        </w:rPr>
        <w:t xml:space="preserve"> </w:t>
      </w:r>
      <w:r w:rsidRPr="00804124">
        <w:rPr>
          <w:color w:val="0D0D0D" w:themeColor="text1" w:themeTint="F2"/>
          <w:sz w:val="24"/>
          <w:szCs w:val="24"/>
        </w:rPr>
        <w:t xml:space="preserve">datë 27.05.2016, </w:t>
      </w:r>
      <w:r w:rsidRPr="00804124">
        <w:rPr>
          <w:i/>
          <w:color w:val="0D0D0D" w:themeColor="text1" w:themeTint="F2"/>
          <w:sz w:val="24"/>
          <w:szCs w:val="24"/>
        </w:rPr>
        <w:t>"Për publikimin e regjistrit të vendimeve, të cilat kanë njohur të drejtën për kompensim dhe vlerësimin e vendimeve të viteve 1993 dhe 1994"</w:t>
      </w:r>
      <w:r w:rsidRPr="00804124">
        <w:rPr>
          <w:color w:val="0D0D0D" w:themeColor="text1" w:themeTint="F2"/>
          <w:sz w:val="24"/>
          <w:szCs w:val="24"/>
        </w:rPr>
        <w:t>, siç provohet, ky është vetëm një njoftim, i cili informon ish-pronarët për mënyrën për të aplikuar për të kërkuar sipërfaqen e miratuar për kompensim.</w:t>
      </w:r>
    </w:p>
    <w:p w14:paraId="572CCAAD" w14:textId="77777777" w:rsidR="00882B3F" w:rsidRPr="00804124" w:rsidRDefault="00882B3F" w:rsidP="00882B3F">
      <w:pPr>
        <w:pStyle w:val="NoSpacing"/>
        <w:tabs>
          <w:tab w:val="left" w:pos="1800"/>
        </w:tabs>
        <w:ind w:firstLine="360"/>
        <w:jc w:val="both"/>
        <w:rPr>
          <w:color w:val="0D0D0D" w:themeColor="text1" w:themeTint="F2"/>
          <w:sz w:val="24"/>
          <w:szCs w:val="24"/>
        </w:rPr>
      </w:pPr>
      <w:r w:rsidRPr="00804124">
        <w:rPr>
          <w:color w:val="0D0D0D" w:themeColor="text1" w:themeTint="F2"/>
          <w:sz w:val="24"/>
          <w:szCs w:val="24"/>
        </w:rPr>
        <w:t>-Në rastin konkret, në këtë buletin është miratuar një sipërfaqe prej 6,000 m², ndërkohë që një aplikim i tillë nga rekursuesi nuk është kryer pranë ATP-së. Me të drejtë, eksperti Vladimir Pellumbi në aktin e ekspertimit citon që nuk e pozicionon dot në hartë sipërfaqen e miratuar për kompensim, pasi nuk është aplikuar nga rekursuesi.</w:t>
      </w:r>
    </w:p>
    <w:p w14:paraId="6C683439" w14:textId="77777777" w:rsidR="00882B3F" w:rsidRPr="00804124" w:rsidRDefault="00882B3F" w:rsidP="00882B3F">
      <w:pPr>
        <w:pStyle w:val="NoSpacing"/>
        <w:tabs>
          <w:tab w:val="left" w:pos="1800"/>
        </w:tabs>
        <w:ind w:firstLine="360"/>
        <w:jc w:val="both"/>
        <w:rPr>
          <w:color w:val="0D0D0D" w:themeColor="text1" w:themeTint="F2"/>
          <w:sz w:val="24"/>
          <w:szCs w:val="24"/>
        </w:rPr>
      </w:pPr>
      <w:r w:rsidRPr="00804124">
        <w:rPr>
          <w:color w:val="0D0D0D" w:themeColor="text1" w:themeTint="F2"/>
          <w:sz w:val="24"/>
          <w:szCs w:val="24"/>
        </w:rPr>
        <w:lastRenderedPageBreak/>
        <w:t>-Gjithashtu, bazuar në pikën nr.2 të vendimit nr.689, datë 06.09.1994, të Komisionit të Kthimit dhe Kompensimit të Pronave, sipërfaqja e cila palës paditëse duhet t’i kompensohet është shumë herë më e madhe se sipërfaqja e botuar në buletin. Rekursuesi nuk ka reshtur së kërkuari në rrugë gjyqësore të drejtën e pamohueshme të parablerjes, kjo e provuar me shkresat: Kthim përgjigje nr.3810 prot., datë 11.05.2008, si dhe shkresës nr.4/8 prot., datë 08.04.2008.</w:t>
      </w:r>
    </w:p>
    <w:p w14:paraId="74A865B1" w14:textId="77777777" w:rsidR="00882B3F" w:rsidRPr="00804124" w:rsidRDefault="00882B3F" w:rsidP="00882B3F">
      <w:pPr>
        <w:pStyle w:val="NoSpacing"/>
        <w:tabs>
          <w:tab w:val="left" w:pos="1800"/>
        </w:tabs>
        <w:ind w:firstLine="360"/>
        <w:jc w:val="both"/>
        <w:rPr>
          <w:i/>
          <w:color w:val="0D0D0D" w:themeColor="text1" w:themeTint="F2"/>
          <w:sz w:val="24"/>
          <w:szCs w:val="24"/>
        </w:rPr>
      </w:pPr>
      <w:r w:rsidRPr="00804124">
        <w:rPr>
          <w:color w:val="0D0D0D" w:themeColor="text1" w:themeTint="F2"/>
          <w:sz w:val="24"/>
          <w:szCs w:val="24"/>
        </w:rPr>
        <w:t>-Pala e paditur konfirmon faktin që është në dijeni të vendimit nr.689, datë 06.09.1994 të KKP Tiranë dhe i kthen përgjigje palës paditëse, ku i konfirmon gjithashtu faktin se, citoj: “</w:t>
      </w:r>
      <w:r w:rsidRPr="00804124">
        <w:rPr>
          <w:i/>
          <w:color w:val="0D0D0D" w:themeColor="text1" w:themeTint="F2"/>
          <w:sz w:val="24"/>
          <w:szCs w:val="24"/>
        </w:rPr>
        <w:t>Në momentin kur do të vendoset privatizimi i kuotave, pala kërkuese Sadik Luga ka dhe do t’i njihet e drejta e parablerjes”.</w:t>
      </w:r>
    </w:p>
    <w:p w14:paraId="7B522238" w14:textId="77777777" w:rsidR="00882B3F" w:rsidRPr="00804124" w:rsidRDefault="00882B3F" w:rsidP="00882B3F">
      <w:pPr>
        <w:pStyle w:val="NoSpacing"/>
        <w:tabs>
          <w:tab w:val="left" w:pos="1800"/>
        </w:tabs>
        <w:ind w:firstLine="360"/>
        <w:jc w:val="both"/>
        <w:rPr>
          <w:color w:val="0D0D0D" w:themeColor="text1" w:themeTint="F2"/>
          <w:sz w:val="24"/>
          <w:szCs w:val="24"/>
        </w:rPr>
      </w:pPr>
      <w:r w:rsidRPr="00804124">
        <w:rPr>
          <w:color w:val="0D0D0D" w:themeColor="text1" w:themeTint="F2"/>
          <w:sz w:val="24"/>
          <w:szCs w:val="24"/>
        </w:rPr>
        <w:t>-Bazuar në VKM nr.223, datë 23.03.2016, pika 14 citon se: "Në vendimet përfundimtare të kompensimit, ku është përcaktuar e drejta e parablerjes, subjektet kanë të drejtë të heqin dorë nga e drejta e parablerjes përkundrejt kompensimit, brenda një afati 1-vjeçar nga data e publikimit të regjistrit", buletin i Agjencisë së Trajtimit të Pronave nr. 1873/1, datë 27.05.2016, i cili është botuar në Fletoren Zyrtare me nr.16, datë 30 maj 2016.Nga ana e rekursuesit, asnjëherë nuk është aplikuar për të kërkuar këtë kompensim, por asnjëherë ai nuk ka hequr dorë nga e drejta e parablerjes, siç citohet në pikën 14 të VKM nr.223, datë 23.03.2016. Madje, pala paditëse nuk ka reshtur së kërkuari edhe në rrugë gjyqësore të drejtën e parablerjes.</w:t>
      </w:r>
    </w:p>
    <w:p w14:paraId="18F7C657" w14:textId="77777777" w:rsidR="00882B3F" w:rsidRPr="00804124" w:rsidRDefault="00882B3F" w:rsidP="00882B3F">
      <w:pPr>
        <w:pStyle w:val="NoSpacing"/>
        <w:tabs>
          <w:tab w:val="left" w:pos="1800"/>
        </w:tabs>
        <w:ind w:firstLine="360"/>
        <w:jc w:val="both"/>
        <w:rPr>
          <w:color w:val="0D0D0D" w:themeColor="text1" w:themeTint="F2"/>
          <w:sz w:val="24"/>
          <w:szCs w:val="24"/>
        </w:rPr>
      </w:pPr>
      <w:r w:rsidRPr="00804124">
        <w:rPr>
          <w:color w:val="0D0D0D" w:themeColor="text1" w:themeTint="F2"/>
          <w:sz w:val="24"/>
          <w:szCs w:val="24"/>
        </w:rPr>
        <w:t>-Në këto kushte, ku nuk është zbatuar procedura e parashikuar në ligj për privatizimin e pjesëve të kapitalit të zotëruara nga shteti në shoqëritë me kapital të përbashkët, ku dhe u provua që rekursuesi nuk ka hequr dorë asnjëherë nga e drejta e parablerjes, si rrjedhojë, kontrata e shitjes nr.556 rep., nr.268 kol., datë 20.12.2012 është absolutisht e pavlefshme, pra nuk mund të krijojë asnjë pasojë juridike.</w:t>
      </w:r>
    </w:p>
    <w:p w14:paraId="7480C527" w14:textId="77777777" w:rsidR="00882B3F" w:rsidRPr="00804124" w:rsidRDefault="00882B3F" w:rsidP="00882B3F">
      <w:pPr>
        <w:tabs>
          <w:tab w:val="left" w:pos="1800"/>
          <w:tab w:val="left" w:pos="3119"/>
          <w:tab w:val="left" w:pos="3600"/>
          <w:tab w:val="left" w:pos="4320"/>
          <w:tab w:val="left" w:pos="5040"/>
          <w:tab w:val="left" w:pos="5760"/>
          <w:tab w:val="left" w:pos="6480"/>
          <w:tab w:val="left" w:pos="7200"/>
          <w:tab w:val="left" w:pos="7920"/>
          <w:tab w:val="left" w:pos="8550"/>
          <w:tab w:val="left" w:pos="8640"/>
          <w:tab w:val="left" w:pos="9360"/>
          <w:tab w:val="left" w:pos="10080"/>
          <w:tab w:val="left" w:pos="10800"/>
          <w:tab w:val="left" w:pos="11520"/>
        </w:tabs>
        <w:spacing w:after="0" w:line="240" w:lineRule="auto"/>
        <w:ind w:firstLine="360"/>
        <w:jc w:val="both"/>
        <w:rPr>
          <w:rFonts w:ascii="Times New Roman" w:hAnsi="Times New Roman"/>
          <w:b/>
          <w:color w:val="0D0D0D" w:themeColor="text1" w:themeTint="F2"/>
          <w:sz w:val="24"/>
          <w:szCs w:val="24"/>
          <w:lang w:val="sq-AL"/>
        </w:rPr>
      </w:pPr>
    </w:p>
    <w:p w14:paraId="0B18694D" w14:textId="77777777" w:rsidR="00882B3F" w:rsidRPr="00804124" w:rsidRDefault="00882B3F" w:rsidP="00882B3F">
      <w:pPr>
        <w:tabs>
          <w:tab w:val="left" w:pos="1800"/>
          <w:tab w:val="left" w:pos="3119"/>
          <w:tab w:val="left" w:pos="3600"/>
          <w:tab w:val="left" w:pos="4320"/>
          <w:tab w:val="left" w:pos="5040"/>
          <w:tab w:val="left" w:pos="5760"/>
          <w:tab w:val="left" w:pos="6480"/>
          <w:tab w:val="left" w:pos="7200"/>
          <w:tab w:val="left" w:pos="7920"/>
          <w:tab w:val="left" w:pos="8550"/>
          <w:tab w:val="left" w:pos="8640"/>
          <w:tab w:val="left" w:pos="9360"/>
          <w:tab w:val="left" w:pos="10080"/>
          <w:tab w:val="left" w:pos="10800"/>
          <w:tab w:val="left" w:pos="11520"/>
        </w:tabs>
        <w:spacing w:after="0" w:line="240" w:lineRule="auto"/>
        <w:ind w:firstLine="360"/>
        <w:jc w:val="both"/>
        <w:rPr>
          <w:rFonts w:ascii="Times New Roman" w:hAnsi="Times New Roman"/>
          <w:b/>
          <w:color w:val="0D0D0D" w:themeColor="text1" w:themeTint="F2"/>
          <w:sz w:val="24"/>
          <w:szCs w:val="24"/>
          <w:lang w:val="sq-AL"/>
        </w:rPr>
      </w:pPr>
      <w:r w:rsidRPr="00804124">
        <w:rPr>
          <w:rFonts w:ascii="Times New Roman" w:hAnsi="Times New Roman"/>
          <w:b/>
          <w:color w:val="0D0D0D" w:themeColor="text1" w:themeTint="F2"/>
          <w:sz w:val="24"/>
          <w:szCs w:val="24"/>
          <w:lang w:val="sq-AL"/>
        </w:rPr>
        <w:t>II. Vlerësimi i Kolegjit Administrativ</w:t>
      </w:r>
    </w:p>
    <w:p w14:paraId="428C5377" w14:textId="77777777" w:rsidR="00882B3F" w:rsidRPr="00804124" w:rsidRDefault="00882B3F" w:rsidP="00882B3F">
      <w:pPr>
        <w:tabs>
          <w:tab w:val="left" w:pos="910"/>
          <w:tab w:val="left" w:pos="1800"/>
        </w:tabs>
        <w:spacing w:after="0" w:line="240" w:lineRule="auto"/>
        <w:ind w:firstLine="360"/>
        <w:jc w:val="both"/>
        <w:rPr>
          <w:rFonts w:ascii="Times New Roman" w:hAnsi="Times New Roman"/>
          <w:color w:val="0D0D0D" w:themeColor="text1" w:themeTint="F2"/>
          <w:sz w:val="24"/>
          <w:szCs w:val="24"/>
          <w:lang w:val="sq-AL"/>
        </w:rPr>
      </w:pPr>
    </w:p>
    <w:p w14:paraId="1C6AC151" w14:textId="4D8174CA" w:rsidR="00882B3F" w:rsidRPr="00804124" w:rsidRDefault="00882B3F" w:rsidP="00882B3F">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360"/>
        <w:jc w:val="both"/>
        <w:rPr>
          <w:rFonts w:ascii="Times New Roman" w:hAnsi="Times New Roman"/>
          <w:bCs/>
          <w:color w:val="0D0D0D" w:themeColor="text1" w:themeTint="F2"/>
          <w:sz w:val="24"/>
          <w:szCs w:val="24"/>
          <w:lang w:val="sq-AL"/>
        </w:rPr>
      </w:pPr>
      <w:r w:rsidRPr="00804124">
        <w:rPr>
          <w:rFonts w:ascii="Times New Roman" w:eastAsia="MS Mincho" w:hAnsi="Times New Roman"/>
          <w:color w:val="0D0D0D" w:themeColor="text1" w:themeTint="F2"/>
          <w:sz w:val="24"/>
          <w:szCs w:val="24"/>
          <w:lang w:val="sq-AL"/>
        </w:rPr>
        <w:t xml:space="preserve">16. </w:t>
      </w:r>
      <w:r w:rsidRPr="00804124">
        <w:rPr>
          <w:rFonts w:ascii="Times New Roman" w:eastAsia="MS Mincho" w:hAnsi="Times New Roman"/>
          <w:color w:val="0D0D0D" w:themeColor="text1" w:themeTint="F2"/>
          <w:sz w:val="24"/>
          <w:szCs w:val="24"/>
          <w:bdr w:val="none" w:sz="0" w:space="0" w:color="auto" w:frame="1"/>
          <w:shd w:val="clear" w:color="auto" w:fill="FFFFFF"/>
          <w:lang w:val="sq-AL"/>
        </w:rPr>
        <w:t xml:space="preserve">Kolegji Administrativ i Gjykatës së Lartë (në vijim Kolegji) konstaton se </w:t>
      </w:r>
      <w:r w:rsidRPr="00804124">
        <w:rPr>
          <w:rFonts w:ascii="Times New Roman" w:hAnsi="Times New Roman"/>
          <w:color w:val="0D0D0D" w:themeColor="text1" w:themeTint="F2"/>
          <w:sz w:val="24"/>
          <w:szCs w:val="24"/>
          <w:lang w:val="sq-AL"/>
        </w:rPr>
        <w:t>pala rekursuese,</w:t>
      </w:r>
      <w:r w:rsidRPr="00804124">
        <w:rPr>
          <w:rFonts w:ascii="Times New Roman" w:hAnsi="Times New Roman"/>
          <w:bCs/>
          <w:color w:val="0D0D0D" w:themeColor="text1" w:themeTint="F2"/>
          <w:sz w:val="24"/>
          <w:szCs w:val="24"/>
          <w:lang w:val="sq-AL"/>
        </w:rPr>
        <w:t xml:space="preserve"> </w:t>
      </w:r>
      <w:r w:rsidRPr="00804124">
        <w:rPr>
          <w:rFonts w:ascii="Times New Roman" w:hAnsi="Times New Roman"/>
          <w:color w:val="0D0D0D" w:themeColor="text1" w:themeTint="F2"/>
          <w:sz w:val="24"/>
          <w:szCs w:val="24"/>
          <w:lang w:val="sq-AL"/>
        </w:rPr>
        <w:t>paditësi Sadik Luga ka paraqitur rekurs kundër vendimit nr.2593, datë 26.06.2018</w:t>
      </w:r>
      <w:r w:rsidR="00804124" w:rsidRPr="00804124">
        <w:rPr>
          <w:rFonts w:ascii="Times New Roman" w:hAnsi="Times New Roman"/>
          <w:color w:val="0D0D0D" w:themeColor="text1" w:themeTint="F2"/>
          <w:sz w:val="24"/>
          <w:szCs w:val="24"/>
          <w:lang w:val="sq-AL"/>
        </w:rPr>
        <w:t xml:space="preserve"> të Gjykatës Administrative të Apelit</w:t>
      </w:r>
      <w:r w:rsidRPr="00804124">
        <w:rPr>
          <w:rFonts w:ascii="Times New Roman" w:eastAsia="Times New Roman" w:hAnsi="Times New Roman"/>
          <w:color w:val="0D0D0D" w:themeColor="text1" w:themeTint="F2"/>
          <w:sz w:val="24"/>
          <w:szCs w:val="24"/>
          <w:lang w:val="sq-AL"/>
        </w:rPr>
        <w:t>, në datë</w:t>
      </w:r>
      <w:r w:rsidR="00804124" w:rsidRPr="00804124">
        <w:rPr>
          <w:rFonts w:ascii="Times New Roman" w:eastAsia="Times New Roman" w:hAnsi="Times New Roman"/>
          <w:color w:val="0D0D0D" w:themeColor="text1" w:themeTint="F2"/>
          <w:sz w:val="24"/>
          <w:szCs w:val="24"/>
          <w:lang w:val="sq-AL"/>
        </w:rPr>
        <w:t>n</w:t>
      </w:r>
      <w:r w:rsidRPr="00804124">
        <w:rPr>
          <w:rFonts w:ascii="Times New Roman" w:eastAsia="Times New Roman" w:hAnsi="Times New Roman"/>
          <w:color w:val="0D0D0D" w:themeColor="text1" w:themeTint="F2"/>
          <w:sz w:val="24"/>
          <w:szCs w:val="24"/>
          <w:lang w:val="sq-AL"/>
        </w:rPr>
        <w:t xml:space="preserve"> </w:t>
      </w:r>
      <w:bookmarkStart w:id="7" w:name="_Hlk222257386"/>
      <w:r w:rsidRPr="00804124">
        <w:rPr>
          <w:rFonts w:ascii="Times New Roman" w:hAnsi="Times New Roman"/>
          <w:color w:val="0D0D0D" w:themeColor="text1" w:themeTint="F2"/>
          <w:sz w:val="24"/>
          <w:szCs w:val="24"/>
          <w:lang w:val="sq-AL"/>
        </w:rPr>
        <w:t>24.07.2018</w:t>
      </w:r>
      <w:bookmarkEnd w:id="7"/>
      <w:r w:rsidRPr="00804124">
        <w:rPr>
          <w:rFonts w:ascii="Times New Roman" w:hAnsi="Times New Roman"/>
          <w:color w:val="0D0D0D" w:themeColor="text1" w:themeTint="F2"/>
          <w:sz w:val="24"/>
          <w:szCs w:val="24"/>
          <w:lang w:val="sq-AL"/>
        </w:rPr>
        <w:t>, brenda afatit prej 30 (tridhjetë) ditësh, të parashikuar në nenin 443(2) të Kodit të Procedurës Civile. Pas njoftimit të rekursit nuk rezulton të jetë paraqitur kundërrekurs nga palët e tjera.</w:t>
      </w:r>
    </w:p>
    <w:p w14:paraId="46870609" w14:textId="37254CBE" w:rsidR="00882B3F" w:rsidRPr="00804124" w:rsidRDefault="00882B3F" w:rsidP="008A3B48">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360"/>
        <w:jc w:val="both"/>
        <w:rPr>
          <w:rFonts w:ascii="Times New Roman" w:hAnsi="Times New Roman"/>
          <w:color w:val="0D0D0D" w:themeColor="text1" w:themeTint="F2"/>
          <w:sz w:val="24"/>
          <w:szCs w:val="24"/>
        </w:rPr>
      </w:pPr>
      <w:r w:rsidRPr="00804124">
        <w:rPr>
          <w:rFonts w:ascii="Times New Roman" w:hAnsi="Times New Roman"/>
          <w:color w:val="0D0D0D" w:themeColor="text1" w:themeTint="F2"/>
          <w:sz w:val="24"/>
          <w:szCs w:val="24"/>
          <w:lang w:val="sq-AL"/>
        </w:rPr>
        <w:t>17.</w:t>
      </w:r>
      <w:r w:rsidR="008A3B48" w:rsidRPr="00804124">
        <w:rPr>
          <w:rFonts w:ascii="Aptos" w:eastAsia="Times New Roman" w:hAnsi="Aptos"/>
          <w:color w:val="0D0D0D" w:themeColor="text1" w:themeTint="F2"/>
          <w:sz w:val="24"/>
          <w:szCs w:val="24"/>
        </w:rPr>
        <w:t xml:space="preserve"> </w:t>
      </w:r>
      <w:r w:rsidR="008A3B48" w:rsidRPr="00804124">
        <w:rPr>
          <w:rFonts w:ascii="Times New Roman" w:hAnsi="Times New Roman"/>
          <w:color w:val="0D0D0D" w:themeColor="text1" w:themeTint="F2"/>
          <w:sz w:val="24"/>
          <w:szCs w:val="24"/>
        </w:rPr>
        <w:t>Kolegji thekson se çështja është shpallur për gjykim në datë 09.10.2025 me gjyqtar relator Asim Vokshi dhe në zbatim të vendimit nr.16, datë 27.11.2025 “Për disa ndryshime në vendimin nr.6, datë 21.03.2024,“Për caktimin e gjyqtarëve në përbërje të Kolegjeve të Gjykatës së Lartë si dhe caktimin e gjyqtarëve në përbërje të trupave gjykuese të secilit kolegj” të Këshillit të Gjykatës së Lartë, çështja është rishortuar ku është zgjedhur si gjyqtare relatore Enkelejda Metaliaj (Softa) dhe anëtari i trupës gjykues Asim Vokshi është zëvendësuar me gjyqtarin  Gentian Medja.</w:t>
      </w:r>
    </w:p>
    <w:p w14:paraId="44FF574B" w14:textId="71CF1919" w:rsidR="00882B3F" w:rsidRPr="00804124" w:rsidRDefault="00882B3F" w:rsidP="00882B3F">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360"/>
        <w:jc w:val="both"/>
        <w:rPr>
          <w:rFonts w:ascii="Times New Roman" w:hAnsi="Times New Roman"/>
          <w:color w:val="0D0D0D" w:themeColor="text1" w:themeTint="F2"/>
          <w:sz w:val="24"/>
          <w:szCs w:val="24"/>
          <w:lang w:val="sq-AL"/>
        </w:rPr>
      </w:pPr>
      <w:r w:rsidRPr="00804124">
        <w:rPr>
          <w:rFonts w:ascii="Times New Roman" w:hAnsi="Times New Roman"/>
          <w:color w:val="0D0D0D" w:themeColor="text1" w:themeTint="F2"/>
          <w:sz w:val="24"/>
          <w:szCs w:val="24"/>
          <w:lang w:val="sq-AL"/>
        </w:rPr>
        <w:t xml:space="preserve">18. </w:t>
      </w:r>
      <w:r w:rsidRPr="00804124">
        <w:rPr>
          <w:rFonts w:ascii="Times New Roman" w:hAnsi="Times New Roman"/>
          <w:bCs/>
          <w:color w:val="0D0D0D" w:themeColor="text1" w:themeTint="F2"/>
          <w:sz w:val="24"/>
          <w:szCs w:val="24"/>
          <w:lang w:val="sq-AL"/>
        </w:rPr>
        <w:t>Kolegji vlerëson se rekursi i paraqitur përmban shkaqe që parashikon neni 58 i ligjit nr. 49/2012 “Për gjykatat administrative dhe gjykimin e mosmarrëveshjeve administrative” (</w:t>
      </w:r>
      <w:r w:rsidRPr="00804124">
        <w:rPr>
          <w:rFonts w:ascii="Times New Roman" w:hAnsi="Times New Roman"/>
          <w:bCs/>
          <w:i/>
          <w:color w:val="0D0D0D" w:themeColor="text1" w:themeTint="F2"/>
          <w:sz w:val="24"/>
          <w:szCs w:val="24"/>
          <w:lang w:val="sq-AL"/>
        </w:rPr>
        <w:t>i ndryshuar</w:t>
      </w:r>
      <w:r w:rsidRPr="00804124">
        <w:rPr>
          <w:rFonts w:ascii="Times New Roman" w:hAnsi="Times New Roman"/>
          <w:bCs/>
          <w:color w:val="0D0D0D" w:themeColor="text1" w:themeTint="F2"/>
          <w:sz w:val="24"/>
          <w:szCs w:val="24"/>
          <w:lang w:val="sq-AL"/>
        </w:rPr>
        <w:t xml:space="preserve">), ekzistenca e të cilave e bën të cenueshëm vendimin e </w:t>
      </w:r>
      <w:r w:rsidRPr="00804124">
        <w:rPr>
          <w:rFonts w:ascii="Times New Roman" w:hAnsi="Times New Roman"/>
          <w:color w:val="0D0D0D" w:themeColor="text1" w:themeTint="F2"/>
          <w:sz w:val="24"/>
          <w:szCs w:val="24"/>
          <w:lang w:val="sq-AL"/>
        </w:rPr>
        <w:t xml:space="preserve">Gjykatës Administrative të Apelit. Kjo dispozitë ka renditur qartësisht tre shkaqe për të cilat ushtrohet rekursi në Gjykatën e Lartë. Konkretisht sipas këtij neni: </w:t>
      </w:r>
      <w:r w:rsidRPr="00804124">
        <w:rPr>
          <w:rFonts w:ascii="Times New Roman" w:hAnsi="Times New Roman"/>
          <w:i/>
          <w:color w:val="0D0D0D" w:themeColor="text1" w:themeTint="F2"/>
          <w:sz w:val="24"/>
          <w:szCs w:val="24"/>
          <w:lang w:val="sq-AL"/>
        </w:rPr>
        <w:t xml:space="preserve">“Vendimet e shpallura nga Gjykata Administrative e Apelit në rastet që parashikohen në këtë ligj, mund të ankimohen me rekurs në Gjykatën e Lartë: a) për zbatim të gabuar të ligjit material ose procedural, të një rëndësie themelore për njehsimin, sigurinë dhe/ose zhvillimin e praktikës gjyqësore; b) kur vendimi i ankimuar është i ndryshëm nga praktika e Kolegjit Administrativ ose e Kolegjeve të Bashkuara të Gjykatës së Lartë; c) ka shkelje të rënda të normave procedurale, me pasojë pavlefshmërinë e vendimit ose të procedurës së gjykimit”. </w:t>
      </w:r>
      <w:r w:rsidRPr="00804124">
        <w:rPr>
          <w:rStyle w:val="NoSpacingChar"/>
          <w:rFonts w:eastAsia="Calibri"/>
          <w:color w:val="0D0D0D" w:themeColor="text1" w:themeTint="F2"/>
          <w:sz w:val="24"/>
          <w:szCs w:val="24"/>
        </w:rPr>
        <w:t xml:space="preserve">Duke qenë se shkaqet e ngritura në rekurs, lidhen me nevojën e vlerësimit të fakteve dhe provave të çështjes, të pakryer nga Gjykata Administrative e Apelit, vendimi </w:t>
      </w:r>
      <w:r w:rsidRPr="00804124">
        <w:rPr>
          <w:rFonts w:ascii="Times New Roman" w:hAnsi="Times New Roman"/>
          <w:color w:val="0D0D0D" w:themeColor="text1" w:themeTint="F2"/>
          <w:sz w:val="24"/>
          <w:szCs w:val="24"/>
          <w:lang w:val="sq-AL"/>
        </w:rPr>
        <w:t xml:space="preserve">nr.2593, datë 26.06.2018 </w:t>
      </w:r>
      <w:r w:rsidRPr="00804124">
        <w:rPr>
          <w:rStyle w:val="NoSpacingChar"/>
          <w:rFonts w:eastAsia="Calibri"/>
          <w:color w:val="0D0D0D" w:themeColor="text1" w:themeTint="F2"/>
          <w:sz w:val="24"/>
          <w:szCs w:val="24"/>
        </w:rPr>
        <w:t>i Gjykatës</w:t>
      </w:r>
      <w:r w:rsidRPr="00804124">
        <w:rPr>
          <w:rFonts w:ascii="Times New Roman" w:hAnsi="Times New Roman"/>
          <w:color w:val="0D0D0D" w:themeColor="text1" w:themeTint="F2"/>
          <w:sz w:val="24"/>
          <w:szCs w:val="24"/>
          <w:lang w:val="sq-AL"/>
        </w:rPr>
        <w:t xml:space="preserve"> Administrative të Apelit duhet të prishet dhe </w:t>
      </w:r>
      <w:r w:rsidRPr="00804124">
        <w:rPr>
          <w:rFonts w:ascii="Times New Roman" w:hAnsi="Times New Roman"/>
          <w:color w:val="0D0D0D" w:themeColor="text1" w:themeTint="F2"/>
          <w:sz w:val="24"/>
          <w:szCs w:val="24"/>
          <w:lang w:val="sq-AL"/>
        </w:rPr>
        <w:lastRenderedPageBreak/>
        <w:t>çështja të dërgohet për rishqyrtim në po atë gjykatë, por me tjetër trup gjykues, për hetimin e plotë të çështjes dhe interpretimin e drejtë të ligjit material dhe procedural të zbatueshëm.</w:t>
      </w:r>
    </w:p>
    <w:p w14:paraId="12C4B1CA" w14:textId="77777777" w:rsidR="00882B3F" w:rsidRPr="00804124" w:rsidRDefault="00882B3F" w:rsidP="00882B3F">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360"/>
        <w:jc w:val="both"/>
        <w:rPr>
          <w:rFonts w:ascii="Times New Roman" w:hAnsi="Times New Roman"/>
          <w:color w:val="0D0D0D" w:themeColor="text1" w:themeTint="F2"/>
          <w:sz w:val="24"/>
          <w:szCs w:val="24"/>
          <w:lang w:val="sq-AL"/>
        </w:rPr>
      </w:pPr>
      <w:r w:rsidRPr="00804124">
        <w:rPr>
          <w:rFonts w:ascii="Times New Roman" w:hAnsi="Times New Roman"/>
          <w:color w:val="0D0D0D" w:themeColor="text1" w:themeTint="F2"/>
          <w:sz w:val="24"/>
          <w:szCs w:val="24"/>
          <w:lang w:val="sq-AL"/>
        </w:rPr>
        <w:t>19. Neni 63, i ligjit nr.49/2012, ka parashikuar llojet e vendimmarrjeve të Kolegjit Administrativ të Gjykatës së Lartë. Në përmbajtjen e kësaj dispozite, pas ndryshimeve të bëra me ligjin nr.49/2021, Gjykata e Lartë gëzon autoritetin e n</w:t>
      </w:r>
      <w:r w:rsidRPr="00804124">
        <w:rPr>
          <w:rFonts w:ascii="Times New Roman" w:hAnsi="Times New Roman"/>
          <w:color w:val="0D0D0D" w:themeColor="text1" w:themeTint="F2"/>
          <w:spacing w:val="-1"/>
          <w:sz w:val="24"/>
          <w:szCs w:val="24"/>
          <w:lang w:val="sq-AL"/>
        </w:rPr>
        <w:t xml:space="preserve">dryshimit të vendimeve të Gjykatës Administrative të Apelit dhe të gjykatave administrative  të  shkallës  së  parë  dhe  zgjidhjes  së çështjes  në  themel  kur  zbatimi  i  ligjit  procedural apo material nuk diktohet nga nevoja për rivlerësimin e fakteve apo të provave të çështjes. Në këtë mënyrë është përcaktuar roli i Gjykatës së Lartë, si gjykatë ligji, duke shmangur shndërrimin e saj në një gjykatë me funksion rishikues në nivel faktik të shkallës së tretë.  </w:t>
      </w:r>
    </w:p>
    <w:p w14:paraId="1EE5482F" w14:textId="77777777" w:rsidR="00882B3F" w:rsidRPr="00804124" w:rsidRDefault="00882B3F" w:rsidP="00882B3F">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360"/>
        <w:jc w:val="both"/>
        <w:rPr>
          <w:rFonts w:ascii="Times New Roman" w:hAnsi="Times New Roman"/>
          <w:color w:val="0D0D0D" w:themeColor="text1" w:themeTint="F2"/>
          <w:sz w:val="24"/>
          <w:szCs w:val="24"/>
          <w:lang w:val="sq-AL"/>
        </w:rPr>
      </w:pPr>
      <w:r w:rsidRPr="00804124">
        <w:rPr>
          <w:rFonts w:ascii="Times New Roman" w:hAnsi="Times New Roman"/>
          <w:color w:val="0D0D0D" w:themeColor="text1" w:themeTint="F2"/>
          <w:sz w:val="24"/>
          <w:szCs w:val="24"/>
          <w:lang w:val="sq-AL"/>
        </w:rPr>
        <w:t xml:space="preserve">20. </w:t>
      </w:r>
      <w:r w:rsidRPr="00804124">
        <w:rPr>
          <w:rFonts w:ascii="Times New Roman" w:hAnsi="Times New Roman"/>
          <w:color w:val="0D0D0D" w:themeColor="text1" w:themeTint="F2"/>
          <w:spacing w:val="-1"/>
          <w:sz w:val="24"/>
          <w:szCs w:val="24"/>
          <w:lang w:val="sq-AL"/>
        </w:rPr>
        <w:t xml:space="preserve">Në këtë drejtim vlen të sillet në vëmendje jurisprudenca e Gjykatës Kushtetuese e cila në disa raste është shprehur mbi juridiksionin ekskluzivisht ligjor të Gjykatës së Lartë. Gjykata Kushtetuese ka vlerësuar se </w:t>
      </w:r>
      <w:r w:rsidRPr="00804124">
        <w:rPr>
          <w:rFonts w:ascii="Times New Roman" w:hAnsi="Times New Roman"/>
          <w:color w:val="0D0D0D" w:themeColor="text1" w:themeTint="F2"/>
          <w:sz w:val="24"/>
          <w:szCs w:val="24"/>
          <w:lang w:val="sq-AL"/>
        </w:rPr>
        <w:t>në ushtrimin e funksionit të saj si gjykatë e ligjit, Gjykata e Lartë mund të vendosë për themelin e çështjes vetëm nëse mosmarrëveshja mund të zgjidhet në bazë të të njëjtave fakte dhe prova të vlerësuara nga gjyqtari i faktit dhe që përbëjnë bazën e vendimit në të cilin është bërë një interpretim i gabuar i ligjit. Kontrolli i saj duhet të fokusohet vetëm në drejtim të ligjshmërisë dhe bazueshmërisë së vendimeve të ankimuara, pra mbi mënyrën e zbatimit të ligjit nga gjykatat më të ulëta. Gjykata e Lartë nuk mund të anashkalojë apo të lërë pa vlerë prova që janë shqyrtuar dhe vlerësuar nga gjykatat e faktit si dhe nuk mund të pranojë prova të cilat nuk janë administruar në gjykimin në fakt. Gjykata thekson se kusht për dhënien nga Gjykata e Lartë të një vendimi mbi themelin e çështjes, është që jo vetëm të mos nevojitet administrimi i provave të reja por edhe që provat e administruara të jenë shqyrtuar dhe vlerësuar në mënyrë të mjaftueshme nga gjyqtari i faktit. Në rast se Gjykata e Lartë vlerëson se provat e administruara nuk janë të mjaftueshme për arritjen e një konkluzioni apo se nevojitet kryerja e vlerësimeve të mëtejshme të tyre, ajo nuk mund të marrë kompetencat e gjyqtarit të faktit, por duhet të kthejë çështjen për rishqyrtim me qëllim plotësimin e këtyre të metave të vendimit. Në jurisprudencën kushtetuese është theksuar se procesi nuk konsiderohet i parregullt, në kuptim të nenit 42 të Kushtetutës, kur Kolegji Civil i Gjykatës së Lartë, mbi të njëjtat prova e fakte të vlerësuara në gjykimet e mëparshme, vendos të prishë vendimet dhe zgjidh vetë çështjen, për shkak të zbatimit të gabuar të ligjit (</w:t>
      </w:r>
      <w:r w:rsidRPr="00804124">
        <w:rPr>
          <w:rFonts w:ascii="Times New Roman" w:hAnsi="Times New Roman"/>
          <w:i/>
          <w:color w:val="0D0D0D" w:themeColor="text1" w:themeTint="F2"/>
          <w:sz w:val="24"/>
          <w:szCs w:val="24"/>
          <w:lang w:val="sq-AL"/>
        </w:rPr>
        <w:t>shih vendimin nr.7, datë 09.03.2009, vendimi nr. 27, datë 24.06.2013 të Gjykatës Kushtetuese</w:t>
      </w:r>
      <w:r w:rsidRPr="00804124">
        <w:rPr>
          <w:rFonts w:ascii="Times New Roman" w:hAnsi="Times New Roman"/>
          <w:color w:val="0D0D0D" w:themeColor="text1" w:themeTint="F2"/>
          <w:sz w:val="24"/>
          <w:szCs w:val="24"/>
          <w:lang w:val="sq-AL"/>
        </w:rPr>
        <w:t xml:space="preserve">). </w:t>
      </w:r>
    </w:p>
    <w:p w14:paraId="5D0EF695" w14:textId="77777777" w:rsidR="00882B3F" w:rsidRPr="00804124" w:rsidRDefault="00882B3F" w:rsidP="00882B3F">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360"/>
        <w:jc w:val="both"/>
        <w:rPr>
          <w:rFonts w:ascii="Times New Roman" w:hAnsi="Times New Roman"/>
          <w:color w:val="0D0D0D" w:themeColor="text1" w:themeTint="F2"/>
          <w:sz w:val="24"/>
          <w:szCs w:val="24"/>
          <w:lang w:val="sq-AL"/>
        </w:rPr>
      </w:pPr>
      <w:r w:rsidRPr="00804124">
        <w:rPr>
          <w:rFonts w:ascii="Times New Roman" w:hAnsi="Times New Roman"/>
          <w:color w:val="0D0D0D" w:themeColor="text1" w:themeTint="F2"/>
          <w:sz w:val="24"/>
          <w:szCs w:val="24"/>
          <w:lang w:val="sq-AL"/>
        </w:rPr>
        <w:t>21. Në vlerësim të natyrës juridike të mosmarrëveshjes, shkakut të lindjes së saj, akteve që ndodhen në dosjen gjyqësore e të administruara gjatë gjykimit, objektit dhe shkakut ligjor të padisë, pretendimeve e prapësimeve të palëve, të vendimit të gjykatës së apelit, shkaqeve të rekursit, Kolegji vlerëson se arsyetimi dhe përfundimi që ka arritur Gjykata Administrative e Apelit nuk është në përputhje me zbatimin e drejtë të ligjit material e procedural.</w:t>
      </w:r>
    </w:p>
    <w:p w14:paraId="2216A539" w14:textId="77777777" w:rsidR="00882B3F" w:rsidRPr="00804124" w:rsidRDefault="00882B3F" w:rsidP="00882B3F">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360"/>
        <w:jc w:val="both"/>
        <w:rPr>
          <w:rFonts w:ascii="Times New Roman" w:hAnsi="Times New Roman"/>
          <w:color w:val="0D0D0D" w:themeColor="text1" w:themeTint="F2"/>
          <w:sz w:val="24"/>
          <w:szCs w:val="24"/>
          <w:lang w:val="sq-AL"/>
        </w:rPr>
      </w:pPr>
      <w:r w:rsidRPr="00804124">
        <w:rPr>
          <w:rFonts w:ascii="Times New Roman" w:hAnsi="Times New Roman"/>
          <w:color w:val="0D0D0D" w:themeColor="text1" w:themeTint="F2"/>
          <w:sz w:val="24"/>
          <w:szCs w:val="24"/>
          <w:lang w:val="sq-AL"/>
        </w:rPr>
        <w:t xml:space="preserve">22. Gjykata Administrative e Apelit nuk ka përmbushur detyrimin ligjor për të dhënë një përgjigje të plotë, të arsyetuar dhe shteruese lidhur me të gjitha shkaqet e ankimit të paraqitura nga pala ankimuese. Nga analiza e vendimit rezulton se kjo gjykatë është mjaftuar me konkluzione të përgjithshme dhe formale, pa kryer një hetim të mirëfilltë gjyqësor dhe pa analizuar në mënyrë konkrete pretendimet e ngritura në raport me situatën faktike të provuar në gjykim. Në këto kushte, arsyetimi i vendimit paraqitet i paplotë dhe jo në përputhje me standardin e vendimmarrjes së arsyetuar, i cili kërkon që gjykata të shqyrtojë dhe të vlerësojë çdo pretendim që ka rëndësi për zgjidhjen e çështjes. </w:t>
      </w:r>
    </w:p>
    <w:p w14:paraId="59CD2F2E" w14:textId="77777777" w:rsidR="00882B3F" w:rsidRPr="00804124" w:rsidRDefault="00882B3F" w:rsidP="00882B3F">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360"/>
        <w:jc w:val="both"/>
        <w:rPr>
          <w:rFonts w:ascii="Times New Roman" w:hAnsi="Times New Roman"/>
          <w:color w:val="0D0D0D" w:themeColor="text1" w:themeTint="F2"/>
          <w:sz w:val="24"/>
          <w:szCs w:val="24"/>
          <w:lang w:val="sq-AL"/>
        </w:rPr>
      </w:pPr>
      <w:r w:rsidRPr="00804124">
        <w:rPr>
          <w:rFonts w:ascii="Times New Roman" w:hAnsi="Times New Roman"/>
          <w:color w:val="0D0D0D" w:themeColor="text1" w:themeTint="F2"/>
          <w:sz w:val="24"/>
          <w:szCs w:val="24"/>
          <w:lang w:val="sq-AL"/>
        </w:rPr>
        <w:t xml:space="preserve">23. Rezulton se me vendimin nr.689, datë 06.09.1994, nga ana e ish-Komisionit të Kthimit dhe Kompensimit të Pronave, ish-Pronarëve të Bashkisë së Qytetit Tiranë, është vendosur: </w:t>
      </w:r>
      <w:r w:rsidRPr="00804124">
        <w:rPr>
          <w:rFonts w:ascii="Times New Roman" w:hAnsi="Times New Roman"/>
          <w:i/>
          <w:iCs/>
          <w:color w:val="0D0D0D" w:themeColor="text1" w:themeTint="F2"/>
          <w:sz w:val="24"/>
          <w:szCs w:val="24"/>
          <w:lang w:val="sq-AL"/>
        </w:rPr>
        <w:t xml:space="preserve">“Të njihet pronësia e Murat Lugës mbi një truall prej 20.000 m² në bazë të nenit 1 të ligjit nr.7698, datë 15.04.1993“Për Kthimin dhe Kompensimin e Pronës ish-Pronarëve” si vijon: a)Mbështetur në nenin 4 dhe 19 të ligjit nr.7698, datë 15.04.1993, i kthen pronarit Murat Luga 5.000 m² truall të lirë; b)Mbështetur në nenin 5 të ligjit, të bëhet kompensim për sipërfaqen tjetër si m  ë poshtë:5.000 m² kompensim i plotë (neni 5, paragrafi i parë); 10.000 m² me </w:t>
      </w:r>
      <w:r w:rsidRPr="00804124">
        <w:rPr>
          <w:rFonts w:ascii="Times New Roman" w:hAnsi="Times New Roman"/>
          <w:i/>
          <w:iCs/>
          <w:color w:val="0D0D0D" w:themeColor="text1" w:themeTint="F2"/>
          <w:sz w:val="24"/>
          <w:szCs w:val="24"/>
          <w:lang w:val="sq-AL"/>
        </w:rPr>
        <w:lastRenderedPageBreak/>
        <w:t xml:space="preserve">kompensim në masën +10% (neni 5, paragrafi i dytë).T’i njihet pronarit Murat Luga, në mbështetje të nenit 21 të ligjit nr.7698, datë 15.04.1993, e drejta e parablerjes në rastin e privatizimit të objekteve shtetërore që ndodhen në truallin e tij.”. </w:t>
      </w:r>
    </w:p>
    <w:p w14:paraId="2F97EFBF" w14:textId="77777777" w:rsidR="00882B3F" w:rsidRPr="00804124" w:rsidRDefault="00882B3F" w:rsidP="00882B3F">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360"/>
        <w:jc w:val="both"/>
        <w:rPr>
          <w:rFonts w:ascii="Times New Roman" w:hAnsi="Times New Roman"/>
          <w:color w:val="0D0D0D" w:themeColor="text1" w:themeTint="F2"/>
          <w:sz w:val="24"/>
          <w:szCs w:val="24"/>
          <w:lang w:val="sq-AL"/>
        </w:rPr>
      </w:pPr>
      <w:r w:rsidRPr="00804124">
        <w:rPr>
          <w:rFonts w:ascii="Times New Roman" w:hAnsi="Times New Roman"/>
          <w:iCs/>
          <w:color w:val="0D0D0D" w:themeColor="text1" w:themeTint="F2"/>
          <w:sz w:val="24"/>
          <w:szCs w:val="24"/>
          <w:lang w:val="sq-AL"/>
        </w:rPr>
        <w:t xml:space="preserve">23.1. </w:t>
      </w:r>
      <w:r w:rsidRPr="00804124">
        <w:rPr>
          <w:rFonts w:ascii="Times New Roman" w:hAnsi="Times New Roman"/>
          <w:color w:val="0D0D0D" w:themeColor="text1" w:themeTint="F2"/>
          <w:sz w:val="24"/>
          <w:szCs w:val="24"/>
          <w:lang w:val="sq-AL"/>
        </w:rPr>
        <w:t>Sipas shkresës nr.59954/8, datë 17.09.2012 të Ministrisë së Ekonomisë, Tregtisë dhe Energjetikës, vlera totale e pjesës së kapitalit themeltar prej 40% e zotëruar nga shteti në Shoqërinë “Alb Italia Construzioni” SH.P.K, është 52.460.000 lekë. Vlerësimi i pjesëve të kapitalit të shoqërisë është bërë nga një ekspert kontabël i autorizuar dhe një eksperte vlerësuese e pasurive të paluajtshme në datë 25.06.2012, vlerësim i cili është miratuar sipas vendimit datë 27.06.2012 nga Asambleja e Ortakëve të Shoqërisë “Alb Italia Construzioni” SH.P.K.</w:t>
      </w:r>
    </w:p>
    <w:p w14:paraId="72D54BC6" w14:textId="54B384F9" w:rsidR="00882B3F" w:rsidRPr="00804124" w:rsidRDefault="00882B3F" w:rsidP="00882B3F">
      <w:pPr>
        <w:tabs>
          <w:tab w:val="left" w:pos="910"/>
          <w:tab w:val="left" w:pos="1800"/>
        </w:tabs>
        <w:spacing w:after="0" w:line="240" w:lineRule="auto"/>
        <w:ind w:firstLine="360"/>
        <w:jc w:val="both"/>
        <w:rPr>
          <w:rFonts w:ascii="Times New Roman" w:hAnsi="Times New Roman"/>
          <w:color w:val="0D0D0D" w:themeColor="text1" w:themeTint="F2"/>
          <w:sz w:val="24"/>
          <w:szCs w:val="24"/>
          <w:lang w:val="sq-AL"/>
        </w:rPr>
      </w:pPr>
      <w:r w:rsidRPr="00804124">
        <w:rPr>
          <w:rFonts w:ascii="Times New Roman" w:hAnsi="Times New Roman"/>
          <w:color w:val="0D0D0D" w:themeColor="text1" w:themeTint="F2"/>
          <w:sz w:val="24"/>
          <w:szCs w:val="24"/>
          <w:lang w:val="sq-AL"/>
        </w:rPr>
        <w:t>23.2. Me kontratën e shitjes nr.556 rep.,</w:t>
      </w:r>
      <w:r w:rsidR="00BF63E4" w:rsidRPr="00804124">
        <w:rPr>
          <w:rFonts w:ascii="Times New Roman" w:hAnsi="Times New Roman"/>
          <w:color w:val="0D0D0D" w:themeColor="text1" w:themeTint="F2"/>
          <w:sz w:val="24"/>
          <w:szCs w:val="24"/>
          <w:lang w:val="sq-AL"/>
        </w:rPr>
        <w:t xml:space="preserve"> </w:t>
      </w:r>
      <w:r w:rsidRPr="00804124">
        <w:rPr>
          <w:rFonts w:ascii="Times New Roman" w:hAnsi="Times New Roman"/>
          <w:color w:val="0D0D0D" w:themeColor="text1" w:themeTint="F2"/>
          <w:sz w:val="24"/>
          <w:szCs w:val="24"/>
          <w:lang w:val="sq-AL"/>
        </w:rPr>
        <w:t>nr.268 kol.,</w:t>
      </w:r>
      <w:r w:rsidR="00BF63E4" w:rsidRPr="00804124">
        <w:rPr>
          <w:rFonts w:ascii="Times New Roman" w:hAnsi="Times New Roman"/>
          <w:color w:val="0D0D0D" w:themeColor="text1" w:themeTint="F2"/>
          <w:sz w:val="24"/>
          <w:szCs w:val="24"/>
          <w:lang w:val="sq-AL"/>
        </w:rPr>
        <w:t xml:space="preserve"> </w:t>
      </w:r>
      <w:r w:rsidRPr="00804124">
        <w:rPr>
          <w:rFonts w:ascii="Times New Roman" w:hAnsi="Times New Roman"/>
          <w:color w:val="0D0D0D" w:themeColor="text1" w:themeTint="F2"/>
          <w:sz w:val="24"/>
          <w:szCs w:val="24"/>
          <w:lang w:val="sq-AL"/>
        </w:rPr>
        <w:t>datë 20.12.2012, rezulton se pala shitëse, Drejtoria e Administrimit dhe Shitjes së Pronave Publike pranë Ministrisë së Financave (si përfaqësuese e ortakut shtet), i ka shitur kuotat e zotëruara nga shteti prej 40% palës blerëse, që është ortaku i Shoqërisë “Alb Italia Construzioni” SH.P.K.Në këtë kontratë citohet se, objekt i kontratës është shitja e kuotave të zotëruara nga shteti me vlerë 52.460.000 lekë, që përfaqëson 40% të kuotave të kapitalit shtetëror në këtë shoqëri. Pjesë e kapitalit shtetëror që shitet dhe që është objekt i kësaj kontrate është edhe sipërfaqja e truallit prej 6,459 m² me vlerë 168.818.883 lekë. Vlera e kapitalit shtetëror për shitje është 52.460.000 lekë. Pas kësaj shitjeje, i gjithë kapitali shtetëror i ka kaluar ortakut tjetër, Ardian Prifti, i cili mbetet ortaku i vetëm i Shoqërisë “Alb Italia Construzioni” SH.P.K, duke zotëruar 100% të pjesëve të kapitalit.</w:t>
      </w:r>
    </w:p>
    <w:p w14:paraId="7BC8DF84" w14:textId="77777777" w:rsidR="00882B3F" w:rsidRPr="00804124" w:rsidRDefault="00882B3F" w:rsidP="00882B3F">
      <w:pPr>
        <w:tabs>
          <w:tab w:val="left" w:pos="910"/>
          <w:tab w:val="left" w:pos="1800"/>
        </w:tabs>
        <w:spacing w:after="0" w:line="240" w:lineRule="auto"/>
        <w:ind w:firstLine="360"/>
        <w:jc w:val="both"/>
        <w:rPr>
          <w:rFonts w:ascii="Times New Roman" w:hAnsi="Times New Roman"/>
          <w:color w:val="0D0D0D" w:themeColor="text1" w:themeTint="F2"/>
          <w:sz w:val="24"/>
          <w:szCs w:val="24"/>
          <w:lang w:val="sq-AL"/>
        </w:rPr>
      </w:pPr>
      <w:r w:rsidRPr="00804124">
        <w:rPr>
          <w:rFonts w:ascii="Times New Roman" w:hAnsi="Times New Roman"/>
          <w:color w:val="0D0D0D" w:themeColor="text1" w:themeTint="F2"/>
          <w:sz w:val="24"/>
          <w:szCs w:val="24"/>
          <w:lang w:val="sq-AL"/>
        </w:rPr>
        <w:t>24. Në ligjin nr.9967, datë 24.07.2008 “</w:t>
      </w:r>
      <w:r w:rsidRPr="00804124">
        <w:rPr>
          <w:rFonts w:ascii="Times New Roman" w:eastAsia="Times New Roman" w:hAnsi="Times New Roman"/>
          <w:color w:val="0D0D0D" w:themeColor="text1" w:themeTint="F2"/>
          <w:spacing w:val="-2"/>
          <w:sz w:val="24"/>
          <w:szCs w:val="24"/>
          <w:lang w:val="sq-AL"/>
        </w:rPr>
        <w:t>Për miratimin e aktit normativ, me fuqinë e ligjit, nr.4, datë 9.7.2008, të Këshillit të Ministrave “Për privatizimin dhe dhënien në përdorim shoqërive tregtare dhe</w:t>
      </w:r>
      <w:r w:rsidRPr="00804124">
        <w:rPr>
          <w:rFonts w:ascii="Times New Roman" w:hAnsi="Times New Roman"/>
          <w:color w:val="0D0D0D" w:themeColor="text1" w:themeTint="F2"/>
          <w:sz w:val="24"/>
          <w:szCs w:val="24"/>
          <w:lang w:val="sq-AL"/>
        </w:rPr>
        <w:t xml:space="preserve"> </w:t>
      </w:r>
      <w:r w:rsidRPr="00804124">
        <w:rPr>
          <w:rFonts w:ascii="Times New Roman" w:eastAsia="Times New Roman" w:hAnsi="Times New Roman"/>
          <w:color w:val="0D0D0D" w:themeColor="text1" w:themeTint="F2"/>
          <w:spacing w:val="-2"/>
          <w:sz w:val="24"/>
          <w:szCs w:val="24"/>
          <w:lang w:val="sq-AL"/>
        </w:rPr>
        <w:t xml:space="preserve">institucioneve shtetërore të ndërmarrjeve apo objekteve të veçanta, mjeteve kryesore dhe </w:t>
      </w:r>
      <w:r w:rsidRPr="00804124">
        <w:rPr>
          <w:rFonts w:ascii="Times New Roman" w:hAnsi="Times New Roman"/>
          <w:color w:val="0D0D0D" w:themeColor="text1" w:themeTint="F2"/>
          <w:sz w:val="24"/>
          <w:szCs w:val="24"/>
          <w:lang w:val="sq-AL"/>
        </w:rPr>
        <w:t xml:space="preserve"> </w:t>
      </w:r>
      <w:r w:rsidRPr="00804124">
        <w:rPr>
          <w:rFonts w:ascii="Times New Roman" w:eastAsia="Times New Roman" w:hAnsi="Times New Roman"/>
          <w:color w:val="0D0D0D" w:themeColor="text1" w:themeTint="F2"/>
          <w:spacing w:val="-2"/>
          <w:sz w:val="24"/>
          <w:szCs w:val="24"/>
          <w:lang w:val="sq-AL"/>
        </w:rPr>
        <w:t>mjeteve të xhiros së këtyre ndërmarrjeve”, parashikon se; “</w:t>
      </w:r>
      <w:r w:rsidRPr="00804124">
        <w:rPr>
          <w:rFonts w:ascii="Times New Roman" w:eastAsia="Times New Roman" w:hAnsi="Times New Roman"/>
          <w:i/>
          <w:color w:val="0D0D0D" w:themeColor="text1" w:themeTint="F2"/>
          <w:sz w:val="24"/>
          <w:szCs w:val="24"/>
          <w:lang w:val="sq-AL"/>
        </w:rPr>
        <w:t>Neni 1“</w:t>
      </w:r>
      <w:r w:rsidRPr="00804124">
        <w:rPr>
          <w:rFonts w:ascii="Times New Roman" w:eastAsia="MS Mincho" w:hAnsi="Times New Roman"/>
          <w:i/>
          <w:color w:val="0D0D0D" w:themeColor="text1" w:themeTint="F2"/>
          <w:sz w:val="24"/>
          <w:szCs w:val="24"/>
          <w:lang w:val="sq-AL"/>
        </w:rPr>
        <w:t xml:space="preserve">Qëllimi i këtij akti normativ është përcaktimi i organeve dhe i kompetencave, që ato kanë, për privatizimin dhe dhënien në përdorim shoqërive tregtare dhe institucioneve shtetërore të ndërmarrjeve apo objekteve të veçanta, mjeteve kryesore dhe mjeteve të xhiros së këtyre ndërmarrjeve”. </w:t>
      </w:r>
      <w:r w:rsidRPr="00804124">
        <w:rPr>
          <w:rFonts w:ascii="Times New Roman" w:eastAsia="Times New Roman" w:hAnsi="Times New Roman"/>
          <w:i/>
          <w:color w:val="0D0D0D" w:themeColor="text1" w:themeTint="F2"/>
          <w:sz w:val="24"/>
          <w:szCs w:val="24"/>
          <w:lang w:val="sq-AL"/>
        </w:rPr>
        <w:t>Neni 2“</w:t>
      </w:r>
      <w:r w:rsidRPr="00804124">
        <w:rPr>
          <w:rFonts w:ascii="Times New Roman" w:eastAsia="MS Mincho" w:hAnsi="Times New Roman"/>
          <w:i/>
          <w:color w:val="0D0D0D" w:themeColor="text1" w:themeTint="F2"/>
          <w:sz w:val="24"/>
          <w:szCs w:val="24"/>
          <w:lang w:val="sq-AL"/>
        </w:rPr>
        <w:t xml:space="preserve">Me privatizim kuptohet procesi i transferimit të së drejtës së pronësisë shtetërore te personi juridik ose fizik, privat. Kalimi i pronës shtetërore në pronë private bëhet nëpërmjet formave të ndryshme të privatizimit, si: shitjes me ankand, tenderit, në përputhje me legjislacionin në fuqi.Kriteret për vlerësimin e pronës shtetërore, që privatizohet, si dhe procedurat e format e privatizimit përcaktohen me vendim të Këshillit të Ministrave”. </w:t>
      </w:r>
    </w:p>
    <w:p w14:paraId="6433BD11" w14:textId="77777777" w:rsidR="00882B3F" w:rsidRPr="00804124" w:rsidRDefault="00882B3F" w:rsidP="00882B3F">
      <w:pPr>
        <w:tabs>
          <w:tab w:val="left" w:pos="910"/>
          <w:tab w:val="left" w:pos="1800"/>
        </w:tabs>
        <w:spacing w:after="0" w:line="240" w:lineRule="auto"/>
        <w:ind w:firstLine="360"/>
        <w:jc w:val="both"/>
        <w:rPr>
          <w:rFonts w:ascii="Times New Roman" w:hAnsi="Times New Roman"/>
          <w:i/>
          <w:iCs/>
          <w:color w:val="0D0D0D" w:themeColor="text1" w:themeTint="F2"/>
          <w:sz w:val="24"/>
          <w:szCs w:val="24"/>
          <w:lang w:val="sq-AL"/>
        </w:rPr>
      </w:pPr>
      <w:r w:rsidRPr="00804124">
        <w:rPr>
          <w:rFonts w:ascii="Times New Roman" w:hAnsi="Times New Roman"/>
          <w:color w:val="0D0D0D" w:themeColor="text1" w:themeTint="F2"/>
          <w:sz w:val="24"/>
          <w:szCs w:val="24"/>
          <w:lang w:val="sq-AL"/>
        </w:rPr>
        <w:t>25. Në Vendimin e Këshillit të Ministrave nr.428, datë 09.06.2010</w:t>
      </w:r>
      <w:r w:rsidRPr="00804124">
        <w:rPr>
          <w:rFonts w:ascii="Times New Roman" w:hAnsi="Times New Roman"/>
          <w:i/>
          <w:color w:val="0D0D0D" w:themeColor="text1" w:themeTint="F2"/>
          <w:sz w:val="24"/>
          <w:szCs w:val="24"/>
          <w:lang w:val="sq-AL"/>
        </w:rPr>
        <w:t xml:space="preserve">“Për kriteret e vlerësimit të pronës shtetërore, që privatizohet apo transformohet, dhe për procedurën e shitjes”, </w:t>
      </w:r>
      <w:r w:rsidRPr="00804124">
        <w:rPr>
          <w:rFonts w:ascii="Times New Roman" w:hAnsi="Times New Roman"/>
          <w:color w:val="0D0D0D" w:themeColor="text1" w:themeTint="F2"/>
          <w:sz w:val="24"/>
          <w:szCs w:val="24"/>
          <w:lang w:val="sq-AL"/>
        </w:rPr>
        <w:t>në Kreun e III, parashikon se:</w:t>
      </w:r>
      <w:r w:rsidRPr="00804124">
        <w:rPr>
          <w:rFonts w:ascii="Times New Roman" w:hAnsi="Times New Roman"/>
          <w:i/>
          <w:color w:val="0D0D0D" w:themeColor="text1" w:themeTint="F2"/>
          <w:sz w:val="24"/>
          <w:szCs w:val="24"/>
          <w:lang w:val="sq-AL"/>
        </w:rPr>
        <w:t xml:space="preserve">“1.Drejtoria e Administrimit dhe Shitjes së Pronave Publike, në Ministrinë e Financave, e pranon dosjen e vlerësimit për objektin që do të privatizohet, nëse për këtë objekt ka dokumentacion të rregullt, i cili u ka kaluar strukturave përkatëse, të përcaktuara në këtë vendim. Në rast të kundërt, Drejtoria e Administrimit dhe Shitjes së Pronave Publike, në Ministrinë e Financave, kërkon  plotësimin e dokumentacionit.2.Shitja e objektit bëhet, si më poshtë vijon: </w:t>
      </w:r>
      <w:r w:rsidRPr="00804124">
        <w:rPr>
          <w:rFonts w:ascii="Times New Roman" w:eastAsia="Arial" w:hAnsi="Times New Roman"/>
          <w:b/>
          <w:i/>
          <w:color w:val="0D0D0D" w:themeColor="text1" w:themeTint="F2"/>
          <w:sz w:val="24"/>
          <w:szCs w:val="24"/>
          <w:lang w:val="sq-AL"/>
        </w:rPr>
        <w:t>a)</w:t>
      </w:r>
      <w:r w:rsidRPr="00804124">
        <w:rPr>
          <w:rFonts w:ascii="Times New Roman" w:eastAsia="Arial" w:hAnsi="Times New Roman"/>
          <w:i/>
          <w:color w:val="0D0D0D" w:themeColor="text1" w:themeTint="F2"/>
          <w:sz w:val="24"/>
          <w:szCs w:val="24"/>
          <w:lang w:val="sq-AL"/>
        </w:rPr>
        <w:t> </w:t>
      </w:r>
      <w:r w:rsidRPr="00804124">
        <w:rPr>
          <w:rFonts w:ascii="Times New Roman" w:hAnsi="Times New Roman"/>
          <w:b/>
          <w:i/>
          <w:color w:val="0D0D0D" w:themeColor="text1" w:themeTint="F2"/>
          <w:sz w:val="24"/>
          <w:szCs w:val="24"/>
          <w:u w:val="single"/>
          <w:lang w:val="sq-AL"/>
        </w:rPr>
        <w:t xml:space="preserve">Për rastet kur konfirmohet se objekti ndodhet në truallin e subjekteve të shpronësuara, shitja bëhet pa ankand dhe subjektet e shpronësuara të truallit, në zbatim të ligjit nr.9235, datë 29.7.2004 “Për kthimin dhe kompensimin e pronës”, të ndryshuar, kanë të drejtën e parablerjes së objektit me vlerën fillestare. </w:t>
      </w:r>
      <w:r w:rsidRPr="00804124">
        <w:rPr>
          <w:rFonts w:ascii="Times New Roman" w:eastAsia="MS Mincho" w:hAnsi="Times New Roman"/>
          <w:b/>
          <w:i/>
          <w:color w:val="0D0D0D" w:themeColor="text1" w:themeTint="F2"/>
          <w:sz w:val="24"/>
          <w:szCs w:val="24"/>
          <w:u w:val="single"/>
          <w:lang w:val="sq-AL"/>
        </w:rPr>
        <w:t>Për rastet kur konfirmohet se trualli i objektit apo i ndërmarrjes që privatizohet (nën objekt) është truall privat i regjistruar në Zyrën Vendore të Regjistrimit të Pasurive të Paluajtshme në bazë të vendimit të Komisionit të Kthimit dhe Kompensimit të Pronave apo i Agjencisë së Kthimit dhe Kompensimit të Pronave dhe i konfirmuar pranë zyrës vendore përkatëse të regjistrimit të pasurive të paluajtshme, atëherë subjektit të shpronësuar i lind e drejta e parablerjes së objektit</w:t>
      </w:r>
      <w:r w:rsidRPr="00804124">
        <w:rPr>
          <w:rFonts w:ascii="Times New Roman" w:eastAsia="MS Mincho" w:hAnsi="Times New Roman"/>
          <w:b/>
          <w:i/>
          <w:color w:val="0D0D0D" w:themeColor="text1" w:themeTint="F2"/>
          <w:sz w:val="24"/>
          <w:szCs w:val="24"/>
          <w:lang w:val="sq-AL"/>
        </w:rPr>
        <w:t>”</w:t>
      </w:r>
      <w:r w:rsidRPr="00804124">
        <w:rPr>
          <w:rFonts w:ascii="Times New Roman" w:eastAsia="MS Mincho" w:hAnsi="Times New Roman"/>
          <w:i/>
          <w:color w:val="0D0D0D" w:themeColor="text1" w:themeTint="F2"/>
          <w:sz w:val="24"/>
          <w:szCs w:val="24"/>
          <w:lang w:val="sq-AL"/>
        </w:rPr>
        <w:t>.</w:t>
      </w:r>
      <w:r w:rsidRPr="00804124">
        <w:rPr>
          <w:rFonts w:ascii="Times New Roman" w:hAnsi="Times New Roman"/>
          <w:i/>
          <w:iCs/>
          <w:color w:val="0D0D0D" w:themeColor="text1" w:themeTint="F2"/>
          <w:sz w:val="24"/>
          <w:szCs w:val="24"/>
          <w:lang w:val="sq-AL"/>
        </w:rPr>
        <w:t xml:space="preserve"> </w:t>
      </w:r>
    </w:p>
    <w:p w14:paraId="2FE92798" w14:textId="77777777" w:rsidR="00882B3F" w:rsidRPr="00804124" w:rsidRDefault="00882B3F" w:rsidP="00882B3F">
      <w:pPr>
        <w:tabs>
          <w:tab w:val="left" w:pos="910"/>
          <w:tab w:val="left" w:pos="1800"/>
        </w:tabs>
        <w:spacing w:after="0" w:line="240" w:lineRule="auto"/>
        <w:ind w:firstLine="360"/>
        <w:jc w:val="both"/>
        <w:rPr>
          <w:rFonts w:ascii="Times New Roman" w:hAnsi="Times New Roman"/>
          <w:color w:val="0D0D0D" w:themeColor="text1" w:themeTint="F2"/>
          <w:sz w:val="24"/>
          <w:szCs w:val="24"/>
          <w:lang w:val="sq-AL"/>
        </w:rPr>
      </w:pPr>
      <w:r w:rsidRPr="00804124">
        <w:rPr>
          <w:rFonts w:ascii="Times New Roman" w:hAnsi="Times New Roman"/>
          <w:iCs/>
          <w:color w:val="0D0D0D" w:themeColor="text1" w:themeTint="F2"/>
          <w:sz w:val="24"/>
          <w:szCs w:val="24"/>
          <w:lang w:val="sq-AL"/>
        </w:rPr>
        <w:t>26.</w:t>
      </w:r>
      <w:r w:rsidRPr="00804124">
        <w:rPr>
          <w:rFonts w:ascii="Times New Roman" w:hAnsi="Times New Roman"/>
          <w:i/>
          <w:iCs/>
          <w:color w:val="0D0D0D" w:themeColor="text1" w:themeTint="F2"/>
          <w:sz w:val="24"/>
          <w:szCs w:val="24"/>
          <w:lang w:val="sq-AL"/>
        </w:rPr>
        <w:t xml:space="preserve"> </w:t>
      </w:r>
      <w:r w:rsidRPr="00804124">
        <w:rPr>
          <w:rFonts w:ascii="Times New Roman" w:hAnsi="Times New Roman"/>
          <w:color w:val="0D0D0D" w:themeColor="text1" w:themeTint="F2"/>
          <w:sz w:val="24"/>
          <w:szCs w:val="24"/>
          <w:lang w:val="sq-AL"/>
        </w:rPr>
        <w:t xml:space="preserve">Kolegji vlerëson se në analizë të vendimmarrjes të gjykatës së faktit, nuk rezulton që të jetë arsyetuar në mënyrë shteruese e drejtë e parablerjes që i është njohur paditësit me vendimin </w:t>
      </w:r>
      <w:r w:rsidRPr="00804124">
        <w:rPr>
          <w:rFonts w:ascii="Times New Roman" w:hAnsi="Times New Roman"/>
          <w:color w:val="0D0D0D" w:themeColor="text1" w:themeTint="F2"/>
          <w:sz w:val="24"/>
          <w:szCs w:val="24"/>
          <w:lang w:val="sq-AL"/>
        </w:rPr>
        <w:lastRenderedPageBreak/>
        <w:t>nr.689, datë 06.09.1994, nga ana e ish-Komisionit të Kthimit dhe Kompensimit të Pronave, ish-Pronarëve të Bashkisë së Qytetit Tiranë, por është mjaftuar me faktin se procedura e ndjekur nga pala e paditur është në zbatim të drejtë të ligjit pasi 40 % e pjesës së kapitalit zotërues nga shtetit tek Shoqëria “Alb Italia Construzioni” SH.P.K i është shitur ortakut të shoqërisë të paditurit Ardian Prifti.</w:t>
      </w:r>
    </w:p>
    <w:p w14:paraId="1EA0B3B5" w14:textId="77777777" w:rsidR="00882B3F" w:rsidRPr="00804124" w:rsidRDefault="00882B3F" w:rsidP="00882B3F">
      <w:pPr>
        <w:tabs>
          <w:tab w:val="left" w:pos="910"/>
          <w:tab w:val="left" w:pos="1800"/>
        </w:tabs>
        <w:spacing w:after="0" w:line="240" w:lineRule="auto"/>
        <w:ind w:firstLine="360"/>
        <w:jc w:val="both"/>
        <w:rPr>
          <w:color w:val="0D0D0D" w:themeColor="text1" w:themeTint="F2"/>
          <w:lang w:val="sq-AL"/>
        </w:rPr>
      </w:pPr>
      <w:r w:rsidRPr="00804124">
        <w:rPr>
          <w:rFonts w:ascii="Times New Roman" w:hAnsi="Times New Roman"/>
          <w:color w:val="0D0D0D" w:themeColor="text1" w:themeTint="F2"/>
          <w:sz w:val="24"/>
          <w:szCs w:val="24"/>
          <w:lang w:val="sq-AL"/>
        </w:rPr>
        <w:t>27. Në vendimin nr.26, datë 24.04.2001, Gjykata Kushtetuese, ka arsyetuar midis të tjerave se; ”</w:t>
      </w:r>
      <w:r w:rsidRPr="00804124">
        <w:rPr>
          <w:rFonts w:ascii="Times New Roman" w:hAnsi="Times New Roman"/>
          <w:i/>
          <w:color w:val="0D0D0D" w:themeColor="text1" w:themeTint="F2"/>
          <w:sz w:val="24"/>
          <w:szCs w:val="24"/>
          <w:lang w:val="sq-AL"/>
        </w:rPr>
        <w:t xml:space="preserve">Format e kompensimit të parashikuara në këtë ligj si edhe ajo e krijuar rishtaz me ligjin nr.8334,datë 23.04.1998“Për privatizimin e shoqërive tregtare që veprojnë në sektorët jostrategjikë”, vërtetë ndryshojnë nga njëra-tjetra, por të gjitha udhëhiqen nga i njëjti qëllim: që të ndreqin brenda mundësive dhe kushteve ekonomiko-sociale të vendit padrejtësitë e regjimit të kaluar, të kryera në dëm të pronës private, nëpërmjet shtetëzimeve, shpronësimeve, konfiskimeve ose me çdo mënyrë tjetër të padrejtë. Për arritjen e këtij qëllimi, kërkohet që detyrimeve të shtetit për kompensimin e trojeve të zëna, për aq sa kanë vendosur komisionet e kthimit dhe kompensimit të pronave, t’iu korrespondojë e drejta e ish-pronarëve të truallit, e cila duke u vlerësuar ekonomikisht, të mos jetë nën nivelin e kërkesës kushtetuese për një shpërblim të drejtë. Veç kësaj, mosrespektimi i këtij kriteri në formulimin e dispozitës së sipërpërmendur të Këshillit të Ministrave, i lë shteg edhe një shkelje tjetër kushtetuese. Ish-pronarët, të cilëve ajo ju adresohet, vihen në kushte pabarazie në krahasim me ish-pronarët e tjerë të trojeve të zëna me objekte të ndërtuara nga shteti, ku nuk zhvillojnë aktivitet shoqëritë tregtare të komanduara prej tij”. </w:t>
      </w:r>
      <w:r w:rsidRPr="00804124">
        <w:rPr>
          <w:rFonts w:ascii="Times New Roman" w:hAnsi="Times New Roman"/>
          <w:color w:val="0D0D0D" w:themeColor="text1" w:themeTint="F2"/>
          <w:sz w:val="24"/>
          <w:szCs w:val="24"/>
          <w:lang w:val="sq-AL"/>
        </w:rPr>
        <w:t xml:space="preserve">Në këto kushte, sipas vendimit nr.26, datë 24.04.2001 të Gjykatës Kushtetuese, shteti ka marrë përsipër që ish pronarëve tu japë aksione në përputhje me vlerën e pasurisë së tyre. </w:t>
      </w:r>
    </w:p>
    <w:p w14:paraId="161AF728" w14:textId="77777777" w:rsidR="00882B3F" w:rsidRPr="00804124" w:rsidRDefault="00882B3F" w:rsidP="00882B3F">
      <w:pPr>
        <w:tabs>
          <w:tab w:val="left" w:pos="910"/>
          <w:tab w:val="left" w:pos="1800"/>
        </w:tabs>
        <w:spacing w:after="0" w:line="240" w:lineRule="auto"/>
        <w:ind w:firstLine="360"/>
        <w:jc w:val="both"/>
        <w:rPr>
          <w:rFonts w:ascii="Times New Roman" w:hAnsi="Times New Roman"/>
          <w:color w:val="0D0D0D" w:themeColor="text1" w:themeTint="F2"/>
          <w:sz w:val="24"/>
          <w:szCs w:val="24"/>
          <w:lang w:val="sq-AL"/>
        </w:rPr>
      </w:pPr>
      <w:r w:rsidRPr="00804124">
        <w:rPr>
          <w:rFonts w:ascii="Times New Roman" w:hAnsi="Times New Roman"/>
          <w:color w:val="0D0D0D" w:themeColor="text1" w:themeTint="F2"/>
          <w:sz w:val="24"/>
          <w:szCs w:val="24"/>
          <w:lang w:val="sq-AL"/>
        </w:rPr>
        <w:t>28.</w:t>
      </w:r>
      <w:r w:rsidRPr="00804124">
        <w:rPr>
          <w:rFonts w:ascii="Times New Roman" w:hAnsi="Times New Roman"/>
          <w:b/>
          <w:bCs/>
          <w:color w:val="0D0D0D" w:themeColor="text1" w:themeTint="F2"/>
          <w:sz w:val="24"/>
          <w:szCs w:val="24"/>
          <w:lang w:val="sq-AL"/>
        </w:rPr>
        <w:t xml:space="preserve">  </w:t>
      </w:r>
      <w:r w:rsidRPr="00804124">
        <w:rPr>
          <w:rFonts w:ascii="Times New Roman" w:hAnsi="Times New Roman"/>
          <w:color w:val="0D0D0D" w:themeColor="text1" w:themeTint="F2"/>
          <w:sz w:val="24"/>
          <w:szCs w:val="24"/>
          <w:lang w:val="sq-AL"/>
        </w:rPr>
        <w:t>Kolegji, vlerëson se</w:t>
      </w:r>
      <w:r w:rsidRPr="00804124">
        <w:rPr>
          <w:rFonts w:ascii="Times New Roman" w:hAnsi="Times New Roman"/>
          <w:b/>
          <w:bCs/>
          <w:color w:val="0D0D0D" w:themeColor="text1" w:themeTint="F2"/>
          <w:sz w:val="24"/>
          <w:szCs w:val="24"/>
          <w:lang w:val="sq-AL"/>
        </w:rPr>
        <w:t xml:space="preserve"> </w:t>
      </w:r>
      <w:r w:rsidRPr="00804124">
        <w:rPr>
          <w:rFonts w:ascii="Times New Roman" w:hAnsi="Times New Roman"/>
          <w:color w:val="0D0D0D" w:themeColor="text1" w:themeTint="F2"/>
          <w:sz w:val="24"/>
          <w:szCs w:val="24"/>
          <w:u w:val="single"/>
          <w:lang w:val="sq-AL"/>
        </w:rPr>
        <w:t>e drejta e parablerjes nuk është vetë objekti i trashëgimisë, por pasojë juridike e njohjes së statusit të ish-pronarit. Për sa kohë vendimi nr.689/1994 nuk është shfuqizuar dhe nuk provohet se kjo e drejtë është shuar sipas ligjit, trashëgimtarët janë të legjitimuar të kërkojnë mbrojtjen e saj në gjykatë.</w:t>
      </w:r>
      <w:r w:rsidRPr="00804124">
        <w:rPr>
          <w:rFonts w:ascii="Times New Roman" w:hAnsi="Times New Roman"/>
          <w:color w:val="0D0D0D" w:themeColor="text1" w:themeTint="F2"/>
          <w:sz w:val="24"/>
          <w:szCs w:val="24"/>
          <w:lang w:val="sq-AL"/>
        </w:rPr>
        <w:t xml:space="preserve"> Paditësi legjitimohet në këtë gjykim jo për shkak të pretendimit mbi pronësinë e truallit, por për shkak të pretendimit mbi cenimin e një të drejte subjektive të njohur me vendimin nr.689/1994, konkretisht të drejtës së parablerjes. Kjo e drejtë, duke qenë e lidhur me statusin e ish-pronarit dhe me interesin pasuror që rrjedh prej tij, në parim trashëgohet nga trashëgimtarët. Megjithatë, çështja themelore që Gjykata Administrative e Apelit nuk ka analizuar në mënyrë të plotë nuk është ekzistenca e legjitimimit aktiv, </w:t>
      </w:r>
      <w:r w:rsidRPr="00804124">
        <w:rPr>
          <w:rFonts w:ascii="Times New Roman" w:hAnsi="Times New Roman"/>
          <w:color w:val="0D0D0D" w:themeColor="text1" w:themeTint="F2"/>
          <w:sz w:val="24"/>
          <w:szCs w:val="24"/>
          <w:u w:val="single"/>
          <w:lang w:val="sq-AL"/>
        </w:rPr>
        <w:t>por nëse e drejta e parablerjes vazhdonte të ekzistonte juridikisht në momentin e privatizimit të vitit 2012 dhe nëse procedura e kompensimit e kishte shuar ose jo atë.</w:t>
      </w:r>
      <w:r w:rsidRPr="00804124">
        <w:rPr>
          <w:rFonts w:ascii="Times New Roman" w:hAnsi="Times New Roman"/>
          <w:color w:val="0D0D0D" w:themeColor="text1" w:themeTint="F2"/>
          <w:sz w:val="24"/>
          <w:szCs w:val="24"/>
          <w:lang w:val="sq-AL"/>
        </w:rPr>
        <w:t xml:space="preserve"> </w:t>
      </w:r>
    </w:p>
    <w:p w14:paraId="23886930" w14:textId="77777777" w:rsidR="00882B3F" w:rsidRPr="00804124" w:rsidRDefault="00882B3F" w:rsidP="00882B3F">
      <w:pPr>
        <w:tabs>
          <w:tab w:val="left" w:pos="910"/>
          <w:tab w:val="left" w:pos="1800"/>
        </w:tabs>
        <w:spacing w:after="0" w:line="240" w:lineRule="auto"/>
        <w:ind w:firstLine="360"/>
        <w:jc w:val="both"/>
        <w:rPr>
          <w:rFonts w:ascii="Times New Roman" w:hAnsi="Times New Roman"/>
          <w:color w:val="0D0D0D" w:themeColor="text1" w:themeTint="F2"/>
          <w:sz w:val="24"/>
          <w:szCs w:val="24"/>
          <w:u w:val="single"/>
          <w:lang w:val="sq-AL"/>
        </w:rPr>
      </w:pPr>
      <w:r w:rsidRPr="00804124">
        <w:rPr>
          <w:rFonts w:ascii="Times New Roman" w:hAnsi="Times New Roman"/>
          <w:color w:val="0D0D0D" w:themeColor="text1" w:themeTint="F2"/>
          <w:sz w:val="24"/>
          <w:szCs w:val="24"/>
          <w:lang w:val="sq-AL"/>
        </w:rPr>
        <w:t xml:space="preserve">29. Për këtë arsye, Kolegji orienton </w:t>
      </w:r>
      <w:r w:rsidRPr="00804124">
        <w:rPr>
          <w:rFonts w:ascii="Times New Roman" w:hAnsi="Times New Roman"/>
          <w:color w:val="0D0D0D" w:themeColor="text1" w:themeTint="F2"/>
          <w:sz w:val="24"/>
          <w:szCs w:val="24"/>
          <w:u w:val="single"/>
          <w:lang w:val="sq-AL"/>
        </w:rPr>
        <w:t>arsyetimin drejt nevojës për të sqaruar marrëdhënien juridike midis së drejtës së parablerjes, kompensimit të pronës dhe privatizimit të kapitalit shtetëror, pasi vetëm pas këtij sqarimi mund të vlerësohet nëse paditësit i është cenuar realisht një e drejtë e mbrojtur nga ligji</w:t>
      </w:r>
      <w:r w:rsidRPr="00804124">
        <w:rPr>
          <w:rFonts w:ascii="Times New Roman" w:hAnsi="Times New Roman"/>
          <w:color w:val="0D0D0D" w:themeColor="text1" w:themeTint="F2"/>
          <w:sz w:val="24"/>
          <w:szCs w:val="24"/>
          <w:lang w:val="sq-AL"/>
        </w:rPr>
        <w:t>.</w:t>
      </w:r>
    </w:p>
    <w:p w14:paraId="43381DFF" w14:textId="77777777" w:rsidR="00882B3F" w:rsidRPr="00804124" w:rsidRDefault="00882B3F" w:rsidP="00882B3F">
      <w:pPr>
        <w:tabs>
          <w:tab w:val="left" w:pos="910"/>
          <w:tab w:val="left" w:pos="1800"/>
        </w:tabs>
        <w:spacing w:after="0" w:line="240" w:lineRule="auto"/>
        <w:ind w:firstLine="360"/>
        <w:jc w:val="both"/>
        <w:rPr>
          <w:rFonts w:ascii="Times New Roman" w:hAnsi="Times New Roman"/>
          <w:color w:val="0D0D0D" w:themeColor="text1" w:themeTint="F2"/>
          <w:sz w:val="24"/>
          <w:szCs w:val="24"/>
          <w:u w:val="single"/>
          <w:lang w:val="sq-AL"/>
        </w:rPr>
      </w:pPr>
      <w:r w:rsidRPr="00804124">
        <w:rPr>
          <w:rFonts w:ascii="Times New Roman" w:hAnsi="Times New Roman"/>
          <w:color w:val="0D0D0D" w:themeColor="text1" w:themeTint="F2"/>
          <w:sz w:val="24"/>
          <w:szCs w:val="24"/>
          <w:lang w:val="sq-AL"/>
        </w:rPr>
        <w:t>30.</w:t>
      </w:r>
      <w:r w:rsidRPr="00804124">
        <w:rPr>
          <w:rFonts w:ascii="Times New Roman" w:hAnsi="Times New Roman"/>
          <w:color w:val="0D0D0D" w:themeColor="text1" w:themeTint="F2"/>
          <w:sz w:val="24"/>
          <w:szCs w:val="24"/>
          <w:u w:val="single"/>
          <w:lang w:val="sq-AL"/>
        </w:rPr>
        <w:t xml:space="preserve"> </w:t>
      </w:r>
      <w:r w:rsidRPr="00804124">
        <w:rPr>
          <w:rFonts w:ascii="Times New Roman" w:hAnsi="Times New Roman"/>
          <w:color w:val="0D0D0D" w:themeColor="text1" w:themeTint="F2"/>
          <w:sz w:val="24"/>
          <w:szCs w:val="24"/>
          <w:lang w:val="sq-AL"/>
        </w:rPr>
        <w:t>Gjykata Administrative e Apelit, gjatë rigjykimit të çështjes, duhet të zhvillojë një hetim gjyqësor të plotë, të gjithanshëm dhe objektiv, në përputhje me parimin e hetimit të gjithanshëm të parashikuar nga neni 14 i Kodit të Procedurës Civile. Në këtë kuadër, ajo ka detyrimin të identifikojë dhe të vlerësojë në mënyrë të saktë juridike të gjitha faktet dhe rrethanat që lidhen me mosmarrëveshjen, duke respektuar kërkesat e nenit 16 të KPC mbi cilësimin e drejtë juridik të fakteve të provuara në gjykim. Gjithashtu, gjykata duhet të zbatojë në mënyrë korrekte rregullat që lidhen me barrën e provës, sipas nenit 35 të ligjit nr. 49/2012 “Për gjykatat administrative dhe gjykimin e mosmarrëveshjeve administrative”, duke përcaktuar qartë se cilës palë i takon detyrimi për të provuar faktet mbi të cilat mbështeten pretendimet dhe kundërshtimet e saj.</w:t>
      </w:r>
    </w:p>
    <w:p w14:paraId="5AE38505" w14:textId="77777777" w:rsidR="00882B3F" w:rsidRPr="00804124" w:rsidRDefault="00882B3F" w:rsidP="00882B3F">
      <w:pPr>
        <w:tabs>
          <w:tab w:val="left" w:pos="910"/>
          <w:tab w:val="left" w:pos="1800"/>
        </w:tabs>
        <w:spacing w:after="0" w:line="240" w:lineRule="auto"/>
        <w:ind w:firstLine="360"/>
        <w:jc w:val="both"/>
        <w:rPr>
          <w:rFonts w:ascii="Times New Roman" w:hAnsi="Times New Roman"/>
          <w:color w:val="0D0D0D" w:themeColor="text1" w:themeTint="F2"/>
          <w:sz w:val="24"/>
          <w:szCs w:val="24"/>
          <w:u w:val="single"/>
          <w:lang w:val="sq-AL"/>
        </w:rPr>
      </w:pPr>
      <w:r w:rsidRPr="00804124">
        <w:rPr>
          <w:rFonts w:ascii="Times New Roman" w:hAnsi="Times New Roman"/>
          <w:color w:val="0D0D0D" w:themeColor="text1" w:themeTint="F2"/>
          <w:sz w:val="24"/>
          <w:szCs w:val="24"/>
          <w:lang w:val="sq-AL"/>
        </w:rPr>
        <w:t>31.</w:t>
      </w:r>
      <w:r w:rsidRPr="00804124">
        <w:rPr>
          <w:rFonts w:ascii="Times New Roman" w:hAnsi="Times New Roman"/>
          <w:color w:val="0D0D0D" w:themeColor="text1" w:themeTint="F2"/>
          <w:sz w:val="24"/>
          <w:szCs w:val="24"/>
          <w:u w:val="single"/>
          <w:lang w:val="sq-AL"/>
        </w:rPr>
        <w:t xml:space="preserve"> </w:t>
      </w:r>
      <w:r w:rsidRPr="00804124">
        <w:rPr>
          <w:rFonts w:ascii="Times New Roman" w:hAnsi="Times New Roman"/>
          <w:color w:val="0D0D0D" w:themeColor="text1" w:themeTint="F2"/>
          <w:sz w:val="24"/>
          <w:szCs w:val="24"/>
          <w:lang w:val="sq-AL"/>
        </w:rPr>
        <w:t xml:space="preserve">Në vijim të sa më sipër, Kolegji çmon se, ndryshe nga Gjykata Administrative e Apelit, e cila ushtron juridiksion si gjykatë fakti dhe ligji, Gjykata e Lartë, në shqyrtimin e rekursit, ka një juridiksion të kufizuar vetëm në kontrollin e zbatimit të ligjit dhe të respektimit të normave procedurale e materiale, brenda shkaqeve të ngritura në rekurs. Për këtë arsye, objekti i </w:t>
      </w:r>
      <w:r w:rsidRPr="00804124">
        <w:rPr>
          <w:rFonts w:ascii="Times New Roman" w:hAnsi="Times New Roman"/>
          <w:color w:val="0D0D0D" w:themeColor="text1" w:themeTint="F2"/>
          <w:sz w:val="24"/>
          <w:szCs w:val="24"/>
          <w:lang w:val="sq-AL"/>
        </w:rPr>
        <w:lastRenderedPageBreak/>
        <w:t>shqyrtimit në Gjykatën e Lartë lidhet ngushtësisht me verifikimin e ligjshmërisë së vendimmarrjes së gjykatave më të ulëta dhe jo me rivlerësimin e fakteve apo të provave të administruara në gjykim. Si rrjedhojë, shqyrtimi dhe rivlerësimi i faktit, si edhe çmuarja e provave dhe akteve të administruara në dosje, dalin jashtë juridiksionit ekskluzivisht ligjor të Gjykatës së Lartë.</w:t>
      </w:r>
    </w:p>
    <w:p w14:paraId="6572F24C" w14:textId="77777777" w:rsidR="00882B3F" w:rsidRPr="00804124" w:rsidRDefault="00882B3F" w:rsidP="00882B3F">
      <w:pPr>
        <w:tabs>
          <w:tab w:val="left" w:pos="910"/>
          <w:tab w:val="left" w:pos="1800"/>
        </w:tabs>
        <w:spacing w:after="0" w:line="240" w:lineRule="auto"/>
        <w:ind w:firstLine="360"/>
        <w:jc w:val="both"/>
        <w:rPr>
          <w:rFonts w:ascii="Times New Roman" w:hAnsi="Times New Roman"/>
          <w:color w:val="0D0D0D" w:themeColor="text1" w:themeTint="F2"/>
          <w:sz w:val="24"/>
          <w:szCs w:val="24"/>
          <w:u w:val="single"/>
          <w:lang w:val="sq-AL"/>
        </w:rPr>
      </w:pPr>
      <w:r w:rsidRPr="00804124">
        <w:rPr>
          <w:rFonts w:ascii="Times New Roman" w:hAnsi="Times New Roman"/>
          <w:color w:val="0D0D0D" w:themeColor="text1" w:themeTint="F2"/>
          <w:sz w:val="24"/>
          <w:szCs w:val="24"/>
          <w:lang w:val="sq-AL"/>
        </w:rPr>
        <w:t>32.</w:t>
      </w:r>
      <w:r w:rsidRPr="00804124">
        <w:rPr>
          <w:rFonts w:ascii="Times New Roman" w:hAnsi="Times New Roman"/>
          <w:color w:val="0D0D0D" w:themeColor="text1" w:themeTint="F2"/>
          <w:sz w:val="24"/>
          <w:szCs w:val="24"/>
          <w:u w:val="single"/>
          <w:lang w:val="sq-AL"/>
        </w:rPr>
        <w:t xml:space="preserve"> </w:t>
      </w:r>
      <w:r w:rsidRPr="00804124">
        <w:rPr>
          <w:rFonts w:ascii="Times New Roman" w:hAnsi="Times New Roman"/>
          <w:color w:val="0D0D0D" w:themeColor="text1" w:themeTint="F2"/>
          <w:sz w:val="24"/>
          <w:szCs w:val="24"/>
          <w:lang w:val="sq-AL"/>
        </w:rPr>
        <w:t>Në këto kushte, Kolegji vlerëson se Gjykata Administrative e Apelit ka gabuar në zgjidhjen e mosmarrëveshjes, pasi nuk ka zhvilluar një hetim gjyqësor të plotë dhe të gjithanshëm, në përputhje me kërkesat e nenit 14 të Kodit të Procedurës Civile. Konkretisht, ajo nuk ka analizuar dhe nuk u ka dhënë përgjigje të arsyetuara të gjitha pretendimeve të ngritura nga palët ndërgjyqëse, në kundërshtim me detyrimet që rrjedhin nga neni 126 i K.P.C-së, si dhe nuk ka realizuar një zbatim të drejtë të ligjit material dhe procedural për zgjidhjen e mosmarrëveshjes, sipas kërkesave të nenit 16 të K.P.C-së. Nga shqyrtimi i akteve rezulton se vendimmarrja e Gjykatës Administrative të Apelit është rrjedhojë e një hetimi gjyqësor të paplotë dhe e një arsyetimi të pamjaftueshëm juridik, çka cenon ligjshmërinë dhe bazueshmërinë e vendimit të saj. Për rrjedhojë, çështja duhet të kthehet për rishqyrtim pranë Gjykatës Administrative të Apelit, e cila, gjatë rigjykimit, duhet të përsërisë shqyrtimin gjyqësor, të administrojë dhe vlerësojë në mënyrë të plotë provat, si dhe të qartësojë të gjitha elementet e pa analizuara ose të paqarta, të evidentuara në arsyetimin e këtij vendimi.</w:t>
      </w:r>
    </w:p>
    <w:p w14:paraId="05C63384" w14:textId="77777777" w:rsidR="00882B3F" w:rsidRPr="00804124" w:rsidRDefault="00882B3F" w:rsidP="00882B3F">
      <w:pPr>
        <w:tabs>
          <w:tab w:val="left" w:pos="910"/>
          <w:tab w:val="left" w:pos="1800"/>
        </w:tabs>
        <w:spacing w:after="0" w:line="240" w:lineRule="auto"/>
        <w:ind w:firstLine="360"/>
        <w:jc w:val="both"/>
        <w:rPr>
          <w:rFonts w:ascii="Times New Roman" w:hAnsi="Times New Roman"/>
          <w:color w:val="0D0D0D" w:themeColor="text1" w:themeTint="F2"/>
          <w:sz w:val="24"/>
          <w:szCs w:val="24"/>
          <w:u w:val="single"/>
          <w:lang w:val="sq-AL"/>
        </w:rPr>
      </w:pPr>
      <w:r w:rsidRPr="00804124">
        <w:rPr>
          <w:rFonts w:ascii="Times New Roman" w:hAnsi="Times New Roman"/>
          <w:color w:val="0D0D0D" w:themeColor="text1" w:themeTint="F2"/>
          <w:sz w:val="24"/>
          <w:szCs w:val="24"/>
          <w:lang w:val="sq-AL"/>
        </w:rPr>
        <w:t xml:space="preserve">33. Për sa më sipër, </w:t>
      </w:r>
      <w:r w:rsidRPr="00804124">
        <w:rPr>
          <w:rFonts w:ascii="Times New Roman" w:eastAsia="Times New Roman" w:hAnsi="Times New Roman"/>
          <w:color w:val="0D0D0D" w:themeColor="text1" w:themeTint="F2"/>
          <w:sz w:val="24"/>
          <w:szCs w:val="24"/>
          <w:lang w:val="sq-AL"/>
        </w:rPr>
        <w:t>Kolegji Administrativ i Gjykatës së Lartë</w:t>
      </w:r>
      <w:r w:rsidRPr="00804124">
        <w:rPr>
          <w:rFonts w:ascii="Times New Roman" w:hAnsi="Times New Roman"/>
          <w:color w:val="0D0D0D" w:themeColor="text1" w:themeTint="F2"/>
          <w:sz w:val="24"/>
          <w:szCs w:val="24"/>
          <w:lang w:val="sq-AL"/>
        </w:rPr>
        <w:t xml:space="preserve"> çmon se vendimi i Gjykatës Administrative të Apelit duhet të prishet e çështja të dërgohet </w:t>
      </w:r>
      <w:r w:rsidRPr="00804124">
        <w:rPr>
          <w:rFonts w:ascii="Times New Roman" w:hAnsi="Times New Roman"/>
          <w:bCs/>
          <w:color w:val="0D0D0D" w:themeColor="text1" w:themeTint="F2"/>
          <w:sz w:val="24"/>
          <w:szCs w:val="24"/>
          <w:lang w:val="sq-AL"/>
        </w:rPr>
        <w:t>për rishqyrtim në këtë gjykatë me tjetër trup gjykues</w:t>
      </w:r>
      <w:r w:rsidRPr="00804124">
        <w:rPr>
          <w:rFonts w:ascii="Times New Roman" w:hAnsi="Times New Roman"/>
          <w:color w:val="0D0D0D" w:themeColor="text1" w:themeTint="F2"/>
          <w:sz w:val="24"/>
          <w:szCs w:val="24"/>
          <w:lang w:val="sq-AL"/>
        </w:rPr>
        <w:t xml:space="preserve">. </w:t>
      </w:r>
    </w:p>
    <w:p w14:paraId="1FB303A1" w14:textId="77777777" w:rsidR="00882B3F" w:rsidRPr="00804124" w:rsidRDefault="00882B3F" w:rsidP="00882B3F">
      <w:pPr>
        <w:keepNext/>
        <w:spacing w:after="0" w:line="240" w:lineRule="auto"/>
        <w:jc w:val="center"/>
        <w:outlineLvl w:val="4"/>
        <w:rPr>
          <w:rFonts w:ascii="Times New Roman" w:eastAsia="Times New Roman" w:hAnsi="Times New Roman"/>
          <w:b/>
          <w:bCs/>
          <w:color w:val="0D0D0D" w:themeColor="text1" w:themeTint="F2"/>
          <w:sz w:val="24"/>
          <w:szCs w:val="24"/>
          <w:u w:val="single"/>
          <w:lang w:val="sq-AL"/>
        </w:rPr>
      </w:pPr>
    </w:p>
    <w:p w14:paraId="319F0591" w14:textId="77777777" w:rsidR="00882B3F" w:rsidRPr="00804124" w:rsidRDefault="00882B3F" w:rsidP="00882B3F">
      <w:pPr>
        <w:keepNext/>
        <w:spacing w:after="0" w:line="240" w:lineRule="auto"/>
        <w:jc w:val="center"/>
        <w:outlineLvl w:val="4"/>
        <w:rPr>
          <w:rFonts w:ascii="Times New Roman" w:eastAsia="Times New Roman" w:hAnsi="Times New Roman"/>
          <w:b/>
          <w:bCs/>
          <w:color w:val="0D0D0D" w:themeColor="text1" w:themeTint="F2"/>
          <w:sz w:val="24"/>
          <w:szCs w:val="24"/>
          <w:lang w:val="sq-AL"/>
        </w:rPr>
      </w:pPr>
      <w:r w:rsidRPr="00804124">
        <w:rPr>
          <w:rFonts w:ascii="Times New Roman" w:eastAsia="Times New Roman" w:hAnsi="Times New Roman"/>
          <w:b/>
          <w:bCs/>
          <w:color w:val="0D0D0D" w:themeColor="text1" w:themeTint="F2"/>
          <w:sz w:val="24"/>
          <w:szCs w:val="24"/>
          <w:lang w:val="sq-AL"/>
        </w:rPr>
        <w:t>PËR KËTO ARSYE,</w:t>
      </w:r>
    </w:p>
    <w:p w14:paraId="3CA5497E" w14:textId="77777777" w:rsidR="00882B3F" w:rsidRPr="00804124" w:rsidRDefault="00882B3F" w:rsidP="00882B3F">
      <w:pPr>
        <w:spacing w:after="0" w:line="240" w:lineRule="auto"/>
        <w:rPr>
          <w:rFonts w:ascii="Times New Roman" w:eastAsia="MS Mincho" w:hAnsi="Times New Roman"/>
          <w:color w:val="0D0D0D" w:themeColor="text1" w:themeTint="F2"/>
          <w:sz w:val="24"/>
          <w:szCs w:val="24"/>
          <w:lang w:val="sq-AL"/>
        </w:rPr>
      </w:pPr>
    </w:p>
    <w:p w14:paraId="2C013AFF" w14:textId="77777777" w:rsidR="00882B3F" w:rsidRPr="00804124" w:rsidRDefault="00882B3F" w:rsidP="00882B3F">
      <w:pPr>
        <w:spacing w:after="0" w:line="240" w:lineRule="auto"/>
        <w:ind w:firstLine="360"/>
        <w:jc w:val="both"/>
        <w:rPr>
          <w:rFonts w:ascii="Times New Roman" w:eastAsia="Times New Roman" w:hAnsi="Times New Roman"/>
          <w:b/>
          <w:bCs/>
          <w:color w:val="0D0D0D" w:themeColor="text1" w:themeTint="F2"/>
          <w:sz w:val="24"/>
          <w:szCs w:val="24"/>
          <w:lang w:val="sq-AL"/>
        </w:rPr>
      </w:pPr>
      <w:r w:rsidRPr="00804124">
        <w:rPr>
          <w:rFonts w:ascii="Times New Roman" w:eastAsia="Times New Roman" w:hAnsi="Times New Roman"/>
          <w:color w:val="0D0D0D" w:themeColor="text1" w:themeTint="F2"/>
          <w:sz w:val="24"/>
          <w:szCs w:val="24"/>
          <w:lang w:val="sq-AL"/>
        </w:rPr>
        <w:t>Kolegji Administrativ i Gjykatës së Lartë, mbështetur në nenin 63(1)(c) të ligjit nr. 49/2012 “Për gjykatat administrative dhe gjykimin e mosmarrëveshjeve administrative” (</w:t>
      </w:r>
      <w:r w:rsidRPr="00804124">
        <w:rPr>
          <w:rFonts w:ascii="Times New Roman" w:eastAsia="Times New Roman" w:hAnsi="Times New Roman"/>
          <w:i/>
          <w:color w:val="0D0D0D" w:themeColor="text1" w:themeTint="F2"/>
          <w:sz w:val="24"/>
          <w:szCs w:val="24"/>
          <w:lang w:val="sq-AL"/>
        </w:rPr>
        <w:t>i ndryshuar</w:t>
      </w:r>
      <w:r w:rsidRPr="00804124">
        <w:rPr>
          <w:rFonts w:ascii="Times New Roman" w:eastAsia="Times New Roman" w:hAnsi="Times New Roman"/>
          <w:color w:val="0D0D0D" w:themeColor="text1" w:themeTint="F2"/>
          <w:sz w:val="24"/>
          <w:szCs w:val="24"/>
          <w:lang w:val="sq-AL"/>
        </w:rPr>
        <w:t>),</w:t>
      </w:r>
    </w:p>
    <w:p w14:paraId="46410268" w14:textId="77777777" w:rsidR="00882B3F" w:rsidRPr="00804124" w:rsidRDefault="00882B3F" w:rsidP="00882B3F">
      <w:pPr>
        <w:spacing w:after="0" w:line="240" w:lineRule="auto"/>
        <w:ind w:firstLine="360"/>
        <w:jc w:val="both"/>
        <w:rPr>
          <w:rFonts w:ascii="Times New Roman" w:eastAsia="Times New Roman" w:hAnsi="Times New Roman"/>
          <w:color w:val="0D0D0D" w:themeColor="text1" w:themeTint="F2"/>
          <w:sz w:val="24"/>
          <w:szCs w:val="24"/>
          <w:lang w:val="sq-AL"/>
        </w:rPr>
      </w:pPr>
    </w:p>
    <w:p w14:paraId="47062B58" w14:textId="77777777" w:rsidR="00882B3F" w:rsidRPr="00804124" w:rsidRDefault="00882B3F" w:rsidP="00882B3F">
      <w:pPr>
        <w:spacing w:after="0" w:line="240" w:lineRule="auto"/>
        <w:jc w:val="center"/>
        <w:rPr>
          <w:rFonts w:ascii="Times New Roman" w:hAnsi="Times New Roman"/>
          <w:b/>
          <w:color w:val="0D0D0D" w:themeColor="text1" w:themeTint="F2"/>
          <w:sz w:val="24"/>
          <w:szCs w:val="24"/>
          <w:lang w:val="sq-AL"/>
        </w:rPr>
      </w:pPr>
      <w:r w:rsidRPr="00804124">
        <w:rPr>
          <w:rFonts w:ascii="Times New Roman" w:hAnsi="Times New Roman"/>
          <w:b/>
          <w:color w:val="0D0D0D" w:themeColor="text1" w:themeTint="F2"/>
          <w:sz w:val="24"/>
          <w:szCs w:val="24"/>
          <w:lang w:val="sq-AL"/>
        </w:rPr>
        <w:t>VENDOSI:</w:t>
      </w:r>
    </w:p>
    <w:p w14:paraId="52B9A775" w14:textId="77777777" w:rsidR="00882B3F" w:rsidRPr="00804124" w:rsidRDefault="00882B3F" w:rsidP="00882B3F">
      <w:pPr>
        <w:spacing w:after="0" w:line="240" w:lineRule="auto"/>
        <w:ind w:right="26" w:firstLine="360"/>
        <w:jc w:val="both"/>
        <w:rPr>
          <w:rFonts w:ascii="Times New Roman" w:hAnsi="Times New Roman"/>
          <w:color w:val="0D0D0D" w:themeColor="text1" w:themeTint="F2"/>
          <w:sz w:val="24"/>
          <w:szCs w:val="24"/>
          <w:lang w:val="sq-AL"/>
        </w:rPr>
      </w:pPr>
    </w:p>
    <w:p w14:paraId="375A2133" w14:textId="7E1D8D2B" w:rsidR="00882B3F" w:rsidRPr="00804124" w:rsidRDefault="00882B3F" w:rsidP="00882B3F">
      <w:pPr>
        <w:pStyle w:val="ListParagraph"/>
        <w:shd w:val="clear" w:color="auto" w:fill="FFFFFF"/>
        <w:tabs>
          <w:tab w:val="left" w:pos="720"/>
          <w:tab w:val="left" w:pos="810"/>
          <w:tab w:val="left" w:pos="900"/>
          <w:tab w:val="left" w:pos="8640"/>
          <w:tab w:val="left" w:pos="9360"/>
          <w:tab w:val="left" w:pos="10080"/>
          <w:tab w:val="left" w:pos="10800"/>
          <w:tab w:val="left" w:pos="11520"/>
          <w:tab w:val="left" w:pos="12240"/>
          <w:tab w:val="left" w:pos="12960"/>
        </w:tabs>
        <w:spacing w:after="0" w:line="240" w:lineRule="auto"/>
        <w:ind w:left="0" w:firstLine="360"/>
        <w:jc w:val="both"/>
        <w:rPr>
          <w:rFonts w:ascii="Times New Roman" w:hAnsi="Times New Roman"/>
          <w:bCs/>
          <w:color w:val="0D0D0D" w:themeColor="text1" w:themeTint="F2"/>
          <w:sz w:val="24"/>
          <w:szCs w:val="24"/>
          <w:lang w:val="sq-AL"/>
        </w:rPr>
      </w:pPr>
      <w:bookmarkStart w:id="8" w:name="_Hlk231477370"/>
      <w:r w:rsidRPr="00804124">
        <w:rPr>
          <w:rFonts w:ascii="Times New Roman" w:hAnsi="Times New Roman"/>
          <w:color w:val="0D0D0D" w:themeColor="text1" w:themeTint="F2"/>
          <w:sz w:val="24"/>
          <w:szCs w:val="24"/>
          <w:lang w:val="sq-AL"/>
        </w:rPr>
        <w:t>Prishjen e vendimit nr.2593, datë 26.06.2018</w:t>
      </w:r>
      <w:r w:rsidR="00BF63E4" w:rsidRPr="00804124">
        <w:rPr>
          <w:rFonts w:ascii="Times New Roman" w:hAnsi="Times New Roman"/>
          <w:color w:val="0D0D0D" w:themeColor="text1" w:themeTint="F2"/>
          <w:sz w:val="24"/>
          <w:szCs w:val="24"/>
          <w:lang w:val="sq-AL"/>
        </w:rPr>
        <w:t>,</w:t>
      </w:r>
      <w:r w:rsidRPr="00804124">
        <w:rPr>
          <w:rFonts w:ascii="Times New Roman" w:hAnsi="Times New Roman"/>
          <w:color w:val="0D0D0D" w:themeColor="text1" w:themeTint="F2"/>
          <w:sz w:val="24"/>
          <w:szCs w:val="24"/>
          <w:lang w:val="sq-AL"/>
        </w:rPr>
        <w:t xml:space="preserve"> </w:t>
      </w:r>
      <w:r w:rsidRPr="00804124">
        <w:rPr>
          <w:rFonts w:ascii="Times New Roman" w:eastAsia="Times New Roman" w:hAnsi="Times New Roman"/>
          <w:color w:val="0D0D0D" w:themeColor="text1" w:themeTint="F2"/>
          <w:sz w:val="24"/>
          <w:szCs w:val="24"/>
          <w:lang w:val="sq-AL"/>
        </w:rPr>
        <w:t xml:space="preserve">të Gjykatës Administrative të Apelit </w:t>
      </w:r>
      <w:r w:rsidRPr="00804124">
        <w:rPr>
          <w:rFonts w:ascii="Times New Roman" w:hAnsi="Times New Roman"/>
          <w:color w:val="0D0D0D" w:themeColor="text1" w:themeTint="F2"/>
          <w:sz w:val="24"/>
          <w:szCs w:val="24"/>
          <w:lang w:val="sq-AL"/>
        </w:rPr>
        <w:t xml:space="preserve">dhe </w:t>
      </w:r>
      <w:r w:rsidRPr="00804124">
        <w:rPr>
          <w:rFonts w:ascii="Times New Roman" w:hAnsi="Times New Roman"/>
          <w:bCs/>
          <w:color w:val="0D0D0D" w:themeColor="text1" w:themeTint="F2"/>
          <w:sz w:val="24"/>
          <w:szCs w:val="24"/>
          <w:lang w:val="sq-AL"/>
        </w:rPr>
        <w:t>dërgimin e çështjes për rishqyrtim në këtë gjykatë</w:t>
      </w:r>
      <w:r w:rsidR="00BF63E4" w:rsidRPr="00804124">
        <w:rPr>
          <w:rFonts w:ascii="Times New Roman" w:hAnsi="Times New Roman"/>
          <w:bCs/>
          <w:color w:val="0D0D0D" w:themeColor="text1" w:themeTint="F2"/>
          <w:sz w:val="24"/>
          <w:szCs w:val="24"/>
          <w:lang w:val="sq-AL"/>
        </w:rPr>
        <w:t>,</w:t>
      </w:r>
      <w:r w:rsidRPr="00804124">
        <w:rPr>
          <w:rFonts w:ascii="Times New Roman" w:hAnsi="Times New Roman"/>
          <w:bCs/>
          <w:color w:val="0D0D0D" w:themeColor="text1" w:themeTint="F2"/>
          <w:sz w:val="24"/>
          <w:szCs w:val="24"/>
          <w:lang w:val="sq-AL"/>
        </w:rPr>
        <w:t xml:space="preserve"> me tjetër trup gjykues</w:t>
      </w:r>
      <w:bookmarkEnd w:id="8"/>
      <w:r w:rsidRPr="00804124">
        <w:rPr>
          <w:rFonts w:ascii="Times New Roman" w:hAnsi="Times New Roman"/>
          <w:bCs/>
          <w:color w:val="0D0D0D" w:themeColor="text1" w:themeTint="F2"/>
          <w:sz w:val="24"/>
          <w:szCs w:val="24"/>
          <w:lang w:val="sq-AL"/>
        </w:rPr>
        <w:t xml:space="preserve">. </w:t>
      </w:r>
    </w:p>
    <w:p w14:paraId="17B8785F" w14:textId="77777777" w:rsidR="00882B3F" w:rsidRPr="00804124" w:rsidRDefault="00882B3F" w:rsidP="00882B3F">
      <w:pPr>
        <w:pStyle w:val="ListParagraph"/>
        <w:shd w:val="clear" w:color="auto" w:fill="FFFFFF"/>
        <w:tabs>
          <w:tab w:val="left" w:pos="720"/>
          <w:tab w:val="left" w:pos="810"/>
          <w:tab w:val="left" w:pos="900"/>
          <w:tab w:val="left" w:pos="8640"/>
          <w:tab w:val="left" w:pos="9360"/>
          <w:tab w:val="left" w:pos="10080"/>
          <w:tab w:val="left" w:pos="10800"/>
          <w:tab w:val="left" w:pos="11520"/>
          <w:tab w:val="left" w:pos="12240"/>
          <w:tab w:val="left" w:pos="12960"/>
        </w:tabs>
        <w:spacing w:after="0" w:line="240" w:lineRule="auto"/>
        <w:ind w:left="0" w:firstLine="360"/>
        <w:jc w:val="both"/>
        <w:rPr>
          <w:rFonts w:ascii="Times New Roman" w:hAnsi="Times New Roman"/>
          <w:color w:val="0D0D0D" w:themeColor="text1" w:themeTint="F2"/>
          <w:sz w:val="24"/>
          <w:szCs w:val="24"/>
          <w:lang w:val="sq-AL"/>
        </w:rPr>
      </w:pPr>
    </w:p>
    <w:p w14:paraId="4EE3440D" w14:textId="2B738B0F" w:rsidR="00882B3F" w:rsidRPr="00804124" w:rsidRDefault="00882B3F" w:rsidP="00482986">
      <w:pPr>
        <w:spacing w:after="0" w:line="240" w:lineRule="auto"/>
        <w:jc w:val="right"/>
        <w:rPr>
          <w:rFonts w:ascii="Times New Roman" w:hAnsi="Times New Roman"/>
          <w:b/>
          <w:color w:val="0D0D0D" w:themeColor="text1" w:themeTint="F2"/>
          <w:sz w:val="24"/>
          <w:szCs w:val="24"/>
          <w:lang w:val="sq-AL"/>
        </w:rPr>
      </w:pPr>
      <w:r w:rsidRPr="00804124">
        <w:rPr>
          <w:rFonts w:ascii="Times New Roman" w:hAnsi="Times New Roman"/>
          <w:b/>
          <w:color w:val="0D0D0D" w:themeColor="text1" w:themeTint="F2"/>
          <w:sz w:val="24"/>
          <w:szCs w:val="24"/>
          <w:lang w:val="sq-AL"/>
        </w:rPr>
        <w:t>Tiranë, më 04.05.2026.</w:t>
      </w:r>
    </w:p>
    <w:p w14:paraId="49799068" w14:textId="77777777" w:rsidR="00482986" w:rsidRPr="00804124" w:rsidRDefault="00482986" w:rsidP="00482986">
      <w:pPr>
        <w:spacing w:after="0" w:line="240" w:lineRule="auto"/>
        <w:jc w:val="right"/>
        <w:rPr>
          <w:rFonts w:ascii="Times New Roman" w:hAnsi="Times New Roman"/>
          <w:b/>
          <w:color w:val="0D0D0D" w:themeColor="text1" w:themeTint="F2"/>
          <w:sz w:val="24"/>
          <w:szCs w:val="24"/>
          <w:lang w:val="sq-AL"/>
        </w:rPr>
      </w:pPr>
    </w:p>
    <w:p w14:paraId="0B2E1A07" w14:textId="77777777" w:rsidR="00482986" w:rsidRPr="00804124" w:rsidRDefault="00482986" w:rsidP="00482986">
      <w:pPr>
        <w:spacing w:after="0" w:line="240" w:lineRule="auto"/>
        <w:jc w:val="right"/>
        <w:rPr>
          <w:rFonts w:ascii="Times New Roman" w:hAnsi="Times New Roman"/>
          <w:b/>
          <w:color w:val="0D0D0D" w:themeColor="text1" w:themeTint="F2"/>
          <w:sz w:val="24"/>
          <w:szCs w:val="24"/>
          <w:lang w:val="sq-AL"/>
        </w:rPr>
      </w:pPr>
    </w:p>
    <w:p w14:paraId="3BB52798" w14:textId="77777777" w:rsidR="00564427" w:rsidRPr="00804124" w:rsidRDefault="00564427" w:rsidP="00882B3F">
      <w:pPr>
        <w:tabs>
          <w:tab w:val="left" w:pos="1800"/>
          <w:tab w:val="left" w:pos="2977"/>
        </w:tabs>
        <w:spacing w:after="0" w:line="240" w:lineRule="auto"/>
        <w:jc w:val="both"/>
        <w:rPr>
          <w:rFonts w:ascii="Times New Roman" w:hAnsi="Times New Roman"/>
          <w:color w:val="0D0D0D" w:themeColor="text1" w:themeTint="F2"/>
          <w:sz w:val="24"/>
          <w:szCs w:val="24"/>
          <w:lang w:val="sq-AL"/>
        </w:rPr>
      </w:pPr>
    </w:p>
    <w:p w14:paraId="25AE4E1F" w14:textId="77777777" w:rsidR="00882B3F" w:rsidRPr="00804124" w:rsidRDefault="00882B3F" w:rsidP="00882B3F">
      <w:pPr>
        <w:keepNext/>
        <w:spacing w:after="0" w:line="240" w:lineRule="auto"/>
        <w:jc w:val="center"/>
        <w:outlineLvl w:val="4"/>
        <w:rPr>
          <w:rFonts w:ascii="Times New Roman" w:eastAsia="Times New Roman" w:hAnsi="Times New Roman"/>
          <w:b/>
          <w:bCs/>
          <w:color w:val="0D0D0D" w:themeColor="text1" w:themeTint="F2"/>
          <w:sz w:val="24"/>
          <w:szCs w:val="24"/>
          <w:u w:val="single"/>
          <w:lang w:val="sq-AL"/>
        </w:rPr>
      </w:pPr>
    </w:p>
    <w:p w14:paraId="2AF7B316" w14:textId="77777777" w:rsidR="00882B3F" w:rsidRPr="00804124" w:rsidRDefault="00882B3F" w:rsidP="00882B3F">
      <w:pPr>
        <w:keepNext/>
        <w:spacing w:after="0" w:line="240" w:lineRule="auto"/>
        <w:jc w:val="center"/>
        <w:outlineLvl w:val="4"/>
        <w:rPr>
          <w:rFonts w:ascii="Times New Roman" w:eastAsia="Times New Roman" w:hAnsi="Times New Roman"/>
          <w:b/>
          <w:bCs/>
          <w:color w:val="0D0D0D" w:themeColor="text1" w:themeTint="F2"/>
          <w:sz w:val="24"/>
          <w:szCs w:val="24"/>
          <w:u w:val="single"/>
          <w:lang w:val="sq-AL"/>
        </w:rPr>
      </w:pPr>
    </w:p>
    <w:p w14:paraId="7B9E12D4" w14:textId="77777777" w:rsidR="00882B3F" w:rsidRPr="00804124" w:rsidRDefault="00882B3F" w:rsidP="00882B3F">
      <w:pPr>
        <w:rPr>
          <w:color w:val="0D0D0D" w:themeColor="text1" w:themeTint="F2"/>
          <w:lang w:val="sq-AL"/>
        </w:rPr>
      </w:pPr>
    </w:p>
    <w:p w14:paraId="7A4545EC" w14:textId="77777777" w:rsidR="00882B3F" w:rsidRPr="00804124" w:rsidRDefault="00882B3F" w:rsidP="00882B3F">
      <w:pPr>
        <w:rPr>
          <w:color w:val="0D0D0D" w:themeColor="text1" w:themeTint="F2"/>
          <w:lang w:val="sq-AL"/>
        </w:rPr>
      </w:pPr>
    </w:p>
    <w:p w14:paraId="4E987920" w14:textId="77777777" w:rsidR="00882B3F" w:rsidRPr="00804124" w:rsidRDefault="00882B3F" w:rsidP="00882B3F">
      <w:pPr>
        <w:rPr>
          <w:color w:val="0D0D0D" w:themeColor="text1" w:themeTint="F2"/>
          <w:lang w:val="sq-AL"/>
        </w:rPr>
      </w:pPr>
    </w:p>
    <w:p w14:paraId="49865DF7" w14:textId="77777777" w:rsidR="00775EB5" w:rsidRPr="00804124" w:rsidRDefault="00775EB5" w:rsidP="00882B3F">
      <w:pPr>
        <w:rPr>
          <w:color w:val="0D0D0D" w:themeColor="text1" w:themeTint="F2"/>
        </w:rPr>
      </w:pPr>
    </w:p>
    <w:sectPr w:rsidR="00775EB5" w:rsidRPr="00804124" w:rsidSect="00482986">
      <w:footerReference w:type="default" r:id="rId8"/>
      <w:pgSz w:w="11906" w:h="16838"/>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473700" w14:textId="77777777" w:rsidR="00A03217" w:rsidRDefault="00A03217" w:rsidP="00D07379">
      <w:pPr>
        <w:spacing w:after="0" w:line="240" w:lineRule="auto"/>
      </w:pPr>
      <w:r>
        <w:separator/>
      </w:r>
    </w:p>
  </w:endnote>
  <w:endnote w:type="continuationSeparator" w:id="0">
    <w:p w14:paraId="694A2BF3" w14:textId="77777777" w:rsidR="00A03217" w:rsidRDefault="00A03217" w:rsidP="00D073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ptos Display">
    <w:altName w:val="Arial"/>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panose1 w:val="020206030504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8AE39E" w14:textId="6B6AE5CB" w:rsidR="00FE5455" w:rsidRPr="00470767" w:rsidRDefault="00FE5455">
    <w:pPr>
      <w:pStyle w:val="Footer"/>
      <w:jc w:val="right"/>
      <w:rPr>
        <w:rFonts w:ascii="Times New Roman" w:hAnsi="Times New Roman"/>
        <w:sz w:val="24"/>
        <w:szCs w:val="24"/>
      </w:rPr>
    </w:pPr>
    <w:r w:rsidRPr="00470767">
      <w:rPr>
        <w:rFonts w:ascii="Times New Roman" w:hAnsi="Times New Roman"/>
        <w:sz w:val="24"/>
        <w:szCs w:val="24"/>
      </w:rPr>
      <w:fldChar w:fldCharType="begin"/>
    </w:r>
    <w:r w:rsidRPr="00470767">
      <w:rPr>
        <w:rFonts w:ascii="Times New Roman" w:hAnsi="Times New Roman"/>
        <w:sz w:val="24"/>
        <w:szCs w:val="24"/>
      </w:rPr>
      <w:instrText xml:space="preserve"> PAGE   \* MERGEFORMAT </w:instrText>
    </w:r>
    <w:r w:rsidRPr="00470767">
      <w:rPr>
        <w:rFonts w:ascii="Times New Roman" w:hAnsi="Times New Roman"/>
        <w:sz w:val="24"/>
        <w:szCs w:val="24"/>
      </w:rPr>
      <w:fldChar w:fldCharType="separate"/>
    </w:r>
    <w:r w:rsidR="00665BF9">
      <w:rPr>
        <w:rFonts w:ascii="Times New Roman" w:hAnsi="Times New Roman"/>
        <w:noProof/>
        <w:sz w:val="24"/>
        <w:szCs w:val="24"/>
      </w:rPr>
      <w:t>13</w:t>
    </w:r>
    <w:r w:rsidRPr="00470767">
      <w:rPr>
        <w:rFonts w:ascii="Times New Roman" w:hAnsi="Times New Roman"/>
        <w:sz w:val="24"/>
        <w:szCs w:val="24"/>
      </w:rPr>
      <w:fldChar w:fldCharType="end"/>
    </w:r>
  </w:p>
  <w:p w14:paraId="4B4B0787" w14:textId="77777777" w:rsidR="00FE5455" w:rsidRDefault="00FE545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4552CA" w14:textId="77777777" w:rsidR="00A03217" w:rsidRDefault="00A03217" w:rsidP="00D07379">
      <w:pPr>
        <w:spacing w:after="0" w:line="240" w:lineRule="auto"/>
      </w:pPr>
      <w:r>
        <w:separator/>
      </w:r>
    </w:p>
  </w:footnote>
  <w:footnote w:type="continuationSeparator" w:id="0">
    <w:p w14:paraId="667ED3CC" w14:textId="77777777" w:rsidR="00A03217" w:rsidRDefault="00A03217" w:rsidP="00D073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0000004"/>
    <w:lvl w:ilvl="0">
      <w:start w:val="1"/>
      <w:numFmt w:val="decimal"/>
      <w:lvlText w:val="%1."/>
      <w:lvlJc w:val="left"/>
      <w:pPr>
        <w:ind w:left="720" w:hanging="360"/>
      </w:pPr>
      <w:rPr>
        <w:rFonts w:ascii="Times New Roman" w:hAnsi="Times New Roman" w:cs="Times New Roman"/>
        <w:b w:val="0"/>
        <w:bCs w:val="0"/>
        <w:i w:val="0"/>
        <w:iCs w:val="0"/>
        <w:strike w:val="0"/>
        <w:color w:val="auto"/>
        <w:sz w:val="24"/>
        <w:szCs w:val="24"/>
        <w:u w:val="none"/>
      </w:rPr>
    </w:lvl>
  </w:abstractNum>
  <w:abstractNum w:abstractNumId="1" w15:restartNumberingAfterBreak="0">
    <w:nsid w:val="00000006"/>
    <w:multiLevelType w:val="singleLevel"/>
    <w:tmpl w:val="00000006"/>
    <w:lvl w:ilvl="0">
      <w:start w:val="1"/>
      <w:numFmt w:val="decimal"/>
      <w:lvlText w:val="%1."/>
      <w:lvlJc w:val="left"/>
      <w:pPr>
        <w:ind w:left="1080" w:hanging="360"/>
      </w:pPr>
      <w:rPr>
        <w:rFonts w:ascii="Times New Roman" w:hAnsi="Times New Roman" w:cs="Times New Roman"/>
        <w:b w:val="0"/>
        <w:bCs w:val="0"/>
        <w:i w:val="0"/>
        <w:iCs w:val="0"/>
        <w:strike w:val="0"/>
        <w:color w:val="auto"/>
        <w:sz w:val="24"/>
        <w:szCs w:val="24"/>
        <w:u w:val="none"/>
      </w:rPr>
    </w:lvl>
  </w:abstractNum>
  <w:abstractNum w:abstractNumId="2" w15:restartNumberingAfterBreak="0">
    <w:nsid w:val="015A0ED2"/>
    <w:multiLevelType w:val="hybridMultilevel"/>
    <w:tmpl w:val="17DE253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01C21992"/>
    <w:multiLevelType w:val="hybridMultilevel"/>
    <w:tmpl w:val="31B8C72A"/>
    <w:lvl w:ilvl="0" w:tplc="A36AB58C">
      <w:start w:val="1"/>
      <w:numFmt w:val="upperRoman"/>
      <w:lvlText w:val="%1."/>
      <w:lvlJc w:val="left"/>
      <w:pPr>
        <w:ind w:left="1440" w:hanging="72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 w15:restartNumberingAfterBreak="0">
    <w:nsid w:val="0A034C7C"/>
    <w:multiLevelType w:val="hybridMultilevel"/>
    <w:tmpl w:val="C3AE648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109550BA"/>
    <w:multiLevelType w:val="hybridMultilevel"/>
    <w:tmpl w:val="4718BEA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10A965F2"/>
    <w:multiLevelType w:val="hybridMultilevel"/>
    <w:tmpl w:val="A45C0990"/>
    <w:lvl w:ilvl="0" w:tplc="D1682130">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11B034ED"/>
    <w:multiLevelType w:val="hybridMultilevel"/>
    <w:tmpl w:val="E33641B0"/>
    <w:lvl w:ilvl="0" w:tplc="04EACB9E">
      <w:start w:val="1"/>
      <w:numFmt w:val="upperRoman"/>
      <w:lvlText w:val="%1."/>
      <w:lvlJc w:val="left"/>
      <w:pPr>
        <w:ind w:left="342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4E83642"/>
    <w:multiLevelType w:val="hybridMultilevel"/>
    <w:tmpl w:val="B19AE0E2"/>
    <w:lvl w:ilvl="0" w:tplc="74288CA0">
      <w:start w:val="1"/>
      <w:numFmt w:val="upperRoman"/>
      <w:lvlText w:val="%1."/>
      <w:lvlJc w:val="left"/>
      <w:pPr>
        <w:ind w:left="721" w:hanging="720"/>
      </w:pPr>
      <w:rPr>
        <w:b/>
      </w:rPr>
    </w:lvl>
    <w:lvl w:ilvl="1" w:tplc="E7D8CCA4">
      <w:start w:val="1"/>
      <w:numFmt w:val="decimal"/>
      <w:lvlText w:val="%2."/>
      <w:lvlJc w:val="left"/>
      <w:pPr>
        <w:tabs>
          <w:tab w:val="num" w:pos="1080"/>
        </w:tabs>
        <w:ind w:left="108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165C0D5B"/>
    <w:multiLevelType w:val="multilevel"/>
    <w:tmpl w:val="3C92F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AD6A0C"/>
    <w:multiLevelType w:val="hybridMultilevel"/>
    <w:tmpl w:val="4314BD8C"/>
    <w:lvl w:ilvl="0" w:tplc="A70018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7E1886"/>
    <w:multiLevelType w:val="hybridMultilevel"/>
    <w:tmpl w:val="24F2BC0E"/>
    <w:lvl w:ilvl="0" w:tplc="EFD2CF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513528"/>
    <w:multiLevelType w:val="hybridMultilevel"/>
    <w:tmpl w:val="DA4E5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014DBC"/>
    <w:multiLevelType w:val="hybridMultilevel"/>
    <w:tmpl w:val="D284BC1E"/>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8D6412"/>
    <w:multiLevelType w:val="hybridMultilevel"/>
    <w:tmpl w:val="EEC0F3F2"/>
    <w:lvl w:ilvl="0" w:tplc="854E9F4E">
      <w:start w:val="1"/>
      <w:numFmt w:val="bullet"/>
      <w:lvlText w:val="-"/>
      <w:lvlJc w:val="left"/>
      <w:pPr>
        <w:ind w:left="720" w:hanging="360"/>
      </w:pPr>
      <w:rPr>
        <w:rFonts w:ascii="Times New Roman" w:eastAsia="Times New Roman" w:hAnsi="Times New Roman"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D95075"/>
    <w:multiLevelType w:val="hybridMultilevel"/>
    <w:tmpl w:val="F72CE3AC"/>
    <w:lvl w:ilvl="0" w:tplc="041C000F">
      <w:start w:val="1"/>
      <w:numFmt w:val="decimal"/>
      <w:lvlText w:val="%1."/>
      <w:lvlJc w:val="left"/>
      <w:pPr>
        <w:ind w:left="720" w:hanging="360"/>
      </w:pPr>
      <w:rPr>
        <w:rFonts w:hint="default"/>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291259A3"/>
    <w:multiLevelType w:val="hybridMultilevel"/>
    <w:tmpl w:val="A17ED548"/>
    <w:lvl w:ilvl="0" w:tplc="EFD2CF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AD74FB"/>
    <w:multiLevelType w:val="hybridMultilevel"/>
    <w:tmpl w:val="970AD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C40D40"/>
    <w:multiLevelType w:val="hybridMultilevel"/>
    <w:tmpl w:val="7428A722"/>
    <w:lvl w:ilvl="0" w:tplc="041C000F">
      <w:start w:val="1"/>
      <w:numFmt w:val="decimal"/>
      <w:lvlText w:val="%1."/>
      <w:lvlJc w:val="left"/>
      <w:pPr>
        <w:ind w:left="720" w:hanging="360"/>
      </w:pPr>
      <w:rPr>
        <w:rFonts w:hint="default"/>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15:restartNumberingAfterBreak="0">
    <w:nsid w:val="30DA46AB"/>
    <w:multiLevelType w:val="multilevel"/>
    <w:tmpl w:val="7DACC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FE420D"/>
    <w:multiLevelType w:val="hybridMultilevel"/>
    <w:tmpl w:val="6C6E529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330C0706"/>
    <w:multiLevelType w:val="hybridMultilevel"/>
    <w:tmpl w:val="2E8283BE"/>
    <w:lvl w:ilvl="0" w:tplc="A70018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7865DF2"/>
    <w:multiLevelType w:val="hybridMultilevel"/>
    <w:tmpl w:val="D1E022D2"/>
    <w:lvl w:ilvl="0" w:tplc="EFD2CF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14084C"/>
    <w:multiLevelType w:val="hybridMultilevel"/>
    <w:tmpl w:val="6C72C12A"/>
    <w:lvl w:ilvl="0" w:tplc="01B28390">
      <w:start w:val="1"/>
      <w:numFmt w:val="lowerLetter"/>
      <w:lvlText w:val="%1)"/>
      <w:lvlJc w:val="left"/>
      <w:pPr>
        <w:ind w:left="644" w:hanging="360"/>
      </w:pPr>
      <w:rPr>
        <w:rFonts w:hint="default"/>
        <w:i/>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24" w15:restartNumberingAfterBreak="0">
    <w:nsid w:val="481E6233"/>
    <w:multiLevelType w:val="hybridMultilevel"/>
    <w:tmpl w:val="01F45104"/>
    <w:lvl w:ilvl="0" w:tplc="4588E80E">
      <w:start w:val="1"/>
      <w:numFmt w:val="decimal"/>
      <w:lvlText w:val="%1."/>
      <w:lvlJc w:val="left"/>
      <w:pPr>
        <w:ind w:left="720" w:hanging="360"/>
      </w:pPr>
      <w:rPr>
        <w:rFonts w:hint="default"/>
        <w:sz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15:restartNumberingAfterBreak="0">
    <w:nsid w:val="50EC3A0A"/>
    <w:multiLevelType w:val="hybridMultilevel"/>
    <w:tmpl w:val="312A60A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15:restartNumberingAfterBreak="0">
    <w:nsid w:val="58D40E6D"/>
    <w:multiLevelType w:val="hybridMultilevel"/>
    <w:tmpl w:val="DE82A91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15:restartNumberingAfterBreak="0">
    <w:nsid w:val="59625ECD"/>
    <w:multiLevelType w:val="multilevel"/>
    <w:tmpl w:val="6E680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602BAE"/>
    <w:multiLevelType w:val="hybridMultilevel"/>
    <w:tmpl w:val="F61043DC"/>
    <w:lvl w:ilvl="0" w:tplc="5768A7E8">
      <w:start w:val="1"/>
      <w:numFmt w:val="decimal"/>
      <w:lvlText w:val="%1."/>
      <w:lvlJc w:val="left"/>
      <w:pPr>
        <w:ind w:left="1080" w:hanging="360"/>
      </w:pPr>
      <w:rPr>
        <w:rFonts w:eastAsia="Arial Unicode M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15:restartNumberingAfterBreak="0">
    <w:nsid w:val="5E996C54"/>
    <w:multiLevelType w:val="hybridMultilevel"/>
    <w:tmpl w:val="09903276"/>
    <w:lvl w:ilvl="0" w:tplc="2B744CE2">
      <w:start w:val="1"/>
      <w:numFmt w:val="decimal"/>
      <w:lvlText w:val="%1."/>
      <w:lvlJc w:val="left"/>
      <w:pPr>
        <w:ind w:left="1440" w:hanging="360"/>
      </w:pPr>
      <w:rPr>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51770E6"/>
    <w:multiLevelType w:val="hybridMultilevel"/>
    <w:tmpl w:val="A9243642"/>
    <w:lvl w:ilvl="0" w:tplc="FD9E3C6C">
      <w:start w:val="1"/>
      <w:numFmt w:val="decimal"/>
      <w:lvlText w:val="%1."/>
      <w:lvlJc w:val="left"/>
      <w:pPr>
        <w:ind w:left="1440" w:hanging="360"/>
      </w:pPr>
      <w:rPr>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67991D17"/>
    <w:multiLevelType w:val="multilevel"/>
    <w:tmpl w:val="71649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F43264"/>
    <w:multiLevelType w:val="multilevel"/>
    <w:tmpl w:val="C6949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DBF7B7C"/>
    <w:multiLevelType w:val="hybridMultilevel"/>
    <w:tmpl w:val="100ACD8C"/>
    <w:lvl w:ilvl="0" w:tplc="A70018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58583B"/>
    <w:multiLevelType w:val="hybridMultilevel"/>
    <w:tmpl w:val="4F1C77FC"/>
    <w:lvl w:ilvl="0" w:tplc="041C000D">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5" w15:restartNumberingAfterBreak="0">
    <w:nsid w:val="713370F6"/>
    <w:multiLevelType w:val="hybridMultilevel"/>
    <w:tmpl w:val="07C683F6"/>
    <w:lvl w:ilvl="0" w:tplc="149C0EDA">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141E27"/>
    <w:multiLevelType w:val="multilevel"/>
    <w:tmpl w:val="DF569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E1615A"/>
    <w:multiLevelType w:val="hybridMultilevel"/>
    <w:tmpl w:val="A612A154"/>
    <w:lvl w:ilvl="0" w:tplc="813EADC0">
      <w:start w:val="1"/>
      <w:numFmt w:val="decimal"/>
      <w:lvlText w:val="%1."/>
      <w:lvlJc w:val="left"/>
      <w:pPr>
        <w:ind w:left="720" w:hanging="360"/>
      </w:pPr>
      <w:rPr>
        <w:rFonts w:hint="default"/>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8" w15:restartNumberingAfterBreak="0">
    <w:nsid w:val="79F90F99"/>
    <w:multiLevelType w:val="hybridMultilevel"/>
    <w:tmpl w:val="D8E0920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3"/>
  </w:num>
  <w:num w:numId="2">
    <w:abstractNumId w:val="37"/>
  </w:num>
  <w:num w:numId="3">
    <w:abstractNumId w:val="17"/>
  </w:num>
  <w:num w:numId="4">
    <w:abstractNumId w:val="7"/>
  </w:num>
  <w:num w:numId="5">
    <w:abstractNumId w:val="1"/>
  </w:num>
  <w:num w:numId="6">
    <w:abstractNumId w:val="26"/>
  </w:num>
  <w:num w:numId="7">
    <w:abstractNumId w:val="0"/>
  </w:num>
  <w:num w:numId="8">
    <w:abstractNumId w:val="2"/>
  </w:num>
  <w:num w:numId="9">
    <w:abstractNumId w:val="6"/>
  </w:num>
  <w:num w:numId="10">
    <w:abstractNumId w:val="25"/>
  </w:num>
  <w:num w:numId="11">
    <w:abstractNumId w:val="34"/>
  </w:num>
  <w:num w:numId="12">
    <w:abstractNumId w:val="38"/>
  </w:num>
  <w:num w:numId="13">
    <w:abstractNumId w:val="4"/>
  </w:num>
  <w:num w:numId="14">
    <w:abstractNumId w:val="15"/>
  </w:num>
  <w:num w:numId="15">
    <w:abstractNumId w:val="12"/>
  </w:num>
  <w:num w:numId="16">
    <w:abstractNumId w:val="14"/>
  </w:num>
  <w:num w:numId="17">
    <w:abstractNumId w:val="13"/>
  </w:num>
  <w:num w:numId="18">
    <w:abstractNumId w:val="24"/>
  </w:num>
  <w:num w:numId="19">
    <w:abstractNumId w:val="11"/>
  </w:num>
  <w:num w:numId="20">
    <w:abstractNumId w:val="5"/>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3"/>
  </w:num>
  <w:num w:numId="23">
    <w:abstractNumId w:val="23"/>
  </w:num>
  <w:num w:numId="24">
    <w:abstractNumId w:val="21"/>
  </w:num>
  <w:num w:numId="25">
    <w:abstractNumId w:val="30"/>
  </w:num>
  <w:num w:numId="26">
    <w:abstractNumId w:val="10"/>
  </w:num>
  <w:num w:numId="27">
    <w:abstractNumId w:val="29"/>
  </w:num>
  <w:num w:numId="28">
    <w:abstractNumId w:val="20"/>
  </w:num>
  <w:num w:numId="29">
    <w:abstractNumId w:val="22"/>
  </w:num>
  <w:num w:numId="3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num>
  <w:num w:numId="32">
    <w:abstractNumId w:val="18"/>
  </w:num>
  <w:num w:numId="33">
    <w:abstractNumId w:val="19"/>
  </w:num>
  <w:num w:numId="34">
    <w:abstractNumId w:val="36"/>
  </w:num>
  <w:num w:numId="35">
    <w:abstractNumId w:val="32"/>
  </w:num>
  <w:num w:numId="36">
    <w:abstractNumId w:val="31"/>
  </w:num>
  <w:num w:numId="37">
    <w:abstractNumId w:val="9"/>
  </w:num>
  <w:num w:numId="38">
    <w:abstractNumId w:val="27"/>
  </w:num>
  <w:num w:numId="39">
    <w:abstractNumId w:val="3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1E2"/>
    <w:rsid w:val="00001159"/>
    <w:rsid w:val="00001B74"/>
    <w:rsid w:val="00003425"/>
    <w:rsid w:val="00011AD3"/>
    <w:rsid w:val="00012704"/>
    <w:rsid w:val="0001597B"/>
    <w:rsid w:val="000219A6"/>
    <w:rsid w:val="0002226D"/>
    <w:rsid w:val="00022840"/>
    <w:rsid w:val="00026ECE"/>
    <w:rsid w:val="00031AAB"/>
    <w:rsid w:val="000332B4"/>
    <w:rsid w:val="00033793"/>
    <w:rsid w:val="0003649E"/>
    <w:rsid w:val="00036E5C"/>
    <w:rsid w:val="00041081"/>
    <w:rsid w:val="00042D1A"/>
    <w:rsid w:val="000444FB"/>
    <w:rsid w:val="00044BCC"/>
    <w:rsid w:val="00046603"/>
    <w:rsid w:val="000476FD"/>
    <w:rsid w:val="0005593F"/>
    <w:rsid w:val="000663E3"/>
    <w:rsid w:val="000672AB"/>
    <w:rsid w:val="00072F8B"/>
    <w:rsid w:val="000750B5"/>
    <w:rsid w:val="00075A3B"/>
    <w:rsid w:val="00075B76"/>
    <w:rsid w:val="000774AE"/>
    <w:rsid w:val="0008123C"/>
    <w:rsid w:val="000828B3"/>
    <w:rsid w:val="0008446F"/>
    <w:rsid w:val="00084C26"/>
    <w:rsid w:val="000969EC"/>
    <w:rsid w:val="000A13C7"/>
    <w:rsid w:val="000A417A"/>
    <w:rsid w:val="000A5C31"/>
    <w:rsid w:val="000A60E5"/>
    <w:rsid w:val="000A6CA5"/>
    <w:rsid w:val="000B2591"/>
    <w:rsid w:val="000B34BD"/>
    <w:rsid w:val="000B39ED"/>
    <w:rsid w:val="000B44B1"/>
    <w:rsid w:val="000B55A3"/>
    <w:rsid w:val="000B5980"/>
    <w:rsid w:val="000B79BA"/>
    <w:rsid w:val="000D210F"/>
    <w:rsid w:val="000D2FAA"/>
    <w:rsid w:val="000D330F"/>
    <w:rsid w:val="000D49AB"/>
    <w:rsid w:val="000D5B43"/>
    <w:rsid w:val="000D62DF"/>
    <w:rsid w:val="000E059C"/>
    <w:rsid w:val="000E1B99"/>
    <w:rsid w:val="000F372E"/>
    <w:rsid w:val="000F3EB8"/>
    <w:rsid w:val="000F4146"/>
    <w:rsid w:val="000F5C1F"/>
    <w:rsid w:val="000F6286"/>
    <w:rsid w:val="00101151"/>
    <w:rsid w:val="00101BB1"/>
    <w:rsid w:val="00102FEC"/>
    <w:rsid w:val="00103AD1"/>
    <w:rsid w:val="00104336"/>
    <w:rsid w:val="00105BB2"/>
    <w:rsid w:val="0010778C"/>
    <w:rsid w:val="001104B5"/>
    <w:rsid w:val="00110F56"/>
    <w:rsid w:val="00112B69"/>
    <w:rsid w:val="00114AC0"/>
    <w:rsid w:val="00121A45"/>
    <w:rsid w:val="001231F8"/>
    <w:rsid w:val="00126FCA"/>
    <w:rsid w:val="00130C03"/>
    <w:rsid w:val="00130CAC"/>
    <w:rsid w:val="00134CFB"/>
    <w:rsid w:val="001409D9"/>
    <w:rsid w:val="00144875"/>
    <w:rsid w:val="00145044"/>
    <w:rsid w:val="00146C8C"/>
    <w:rsid w:val="0015262D"/>
    <w:rsid w:val="001529FE"/>
    <w:rsid w:val="00153786"/>
    <w:rsid w:val="00153CCF"/>
    <w:rsid w:val="00163273"/>
    <w:rsid w:val="00172232"/>
    <w:rsid w:val="001810C3"/>
    <w:rsid w:val="00186053"/>
    <w:rsid w:val="001860CC"/>
    <w:rsid w:val="001923DC"/>
    <w:rsid w:val="001942D1"/>
    <w:rsid w:val="00195688"/>
    <w:rsid w:val="00197B69"/>
    <w:rsid w:val="001A06A6"/>
    <w:rsid w:val="001A2BB8"/>
    <w:rsid w:val="001A6AB8"/>
    <w:rsid w:val="001B0856"/>
    <w:rsid w:val="001B0B10"/>
    <w:rsid w:val="001B34D4"/>
    <w:rsid w:val="001B53E5"/>
    <w:rsid w:val="001C14E1"/>
    <w:rsid w:val="001C6472"/>
    <w:rsid w:val="001C7B11"/>
    <w:rsid w:val="001D2BD5"/>
    <w:rsid w:val="001D5B82"/>
    <w:rsid w:val="001D6034"/>
    <w:rsid w:val="001E35C7"/>
    <w:rsid w:val="001E3C28"/>
    <w:rsid w:val="001E46D1"/>
    <w:rsid w:val="001E799C"/>
    <w:rsid w:val="001F5D17"/>
    <w:rsid w:val="00202166"/>
    <w:rsid w:val="00202396"/>
    <w:rsid w:val="0020558C"/>
    <w:rsid w:val="00205DC5"/>
    <w:rsid w:val="00205F63"/>
    <w:rsid w:val="00212020"/>
    <w:rsid w:val="002125C4"/>
    <w:rsid w:val="00222906"/>
    <w:rsid w:val="00223B3F"/>
    <w:rsid w:val="00223DD0"/>
    <w:rsid w:val="00230569"/>
    <w:rsid w:val="0023299C"/>
    <w:rsid w:val="00232DB3"/>
    <w:rsid w:val="00233F45"/>
    <w:rsid w:val="00234997"/>
    <w:rsid w:val="002367B7"/>
    <w:rsid w:val="00240437"/>
    <w:rsid w:val="00240F0D"/>
    <w:rsid w:val="00244EFD"/>
    <w:rsid w:val="00245671"/>
    <w:rsid w:val="00245CF8"/>
    <w:rsid w:val="00246B6A"/>
    <w:rsid w:val="00246F66"/>
    <w:rsid w:val="0025091D"/>
    <w:rsid w:val="00250F70"/>
    <w:rsid w:val="00252A46"/>
    <w:rsid w:val="00254D30"/>
    <w:rsid w:val="00260060"/>
    <w:rsid w:val="0026087C"/>
    <w:rsid w:val="00261290"/>
    <w:rsid w:val="002617F9"/>
    <w:rsid w:val="0026310A"/>
    <w:rsid w:val="00263CDE"/>
    <w:rsid w:val="0026735F"/>
    <w:rsid w:val="00267A04"/>
    <w:rsid w:val="002748C7"/>
    <w:rsid w:val="00277E71"/>
    <w:rsid w:val="002805C4"/>
    <w:rsid w:val="00281689"/>
    <w:rsid w:val="00282660"/>
    <w:rsid w:val="00286BF9"/>
    <w:rsid w:val="00291299"/>
    <w:rsid w:val="00292CFE"/>
    <w:rsid w:val="00293A18"/>
    <w:rsid w:val="00294111"/>
    <w:rsid w:val="00296C12"/>
    <w:rsid w:val="002A0425"/>
    <w:rsid w:val="002A287E"/>
    <w:rsid w:val="002A641D"/>
    <w:rsid w:val="002B2441"/>
    <w:rsid w:val="002B5C45"/>
    <w:rsid w:val="002B64F5"/>
    <w:rsid w:val="002B66C5"/>
    <w:rsid w:val="002B720E"/>
    <w:rsid w:val="002C11D3"/>
    <w:rsid w:val="002D200F"/>
    <w:rsid w:val="002D567F"/>
    <w:rsid w:val="002D587E"/>
    <w:rsid w:val="002D5A1A"/>
    <w:rsid w:val="002D63E4"/>
    <w:rsid w:val="002E0D89"/>
    <w:rsid w:val="002E13E7"/>
    <w:rsid w:val="002E1734"/>
    <w:rsid w:val="002E2944"/>
    <w:rsid w:val="002E2FA3"/>
    <w:rsid w:val="002E3D92"/>
    <w:rsid w:val="002E74E4"/>
    <w:rsid w:val="002F0938"/>
    <w:rsid w:val="002F53AE"/>
    <w:rsid w:val="003008C3"/>
    <w:rsid w:val="00307B0C"/>
    <w:rsid w:val="00315806"/>
    <w:rsid w:val="00316133"/>
    <w:rsid w:val="00321B7B"/>
    <w:rsid w:val="003223AA"/>
    <w:rsid w:val="003237DA"/>
    <w:rsid w:val="00325D1B"/>
    <w:rsid w:val="00326E2E"/>
    <w:rsid w:val="00327063"/>
    <w:rsid w:val="00332AB2"/>
    <w:rsid w:val="00333400"/>
    <w:rsid w:val="00334360"/>
    <w:rsid w:val="00335B62"/>
    <w:rsid w:val="00336563"/>
    <w:rsid w:val="0034083A"/>
    <w:rsid w:val="00341C35"/>
    <w:rsid w:val="003455F4"/>
    <w:rsid w:val="00345821"/>
    <w:rsid w:val="00345949"/>
    <w:rsid w:val="003466AC"/>
    <w:rsid w:val="0034711F"/>
    <w:rsid w:val="003501C7"/>
    <w:rsid w:val="003514A9"/>
    <w:rsid w:val="003530AE"/>
    <w:rsid w:val="00353617"/>
    <w:rsid w:val="00355ACF"/>
    <w:rsid w:val="003564E9"/>
    <w:rsid w:val="0035702F"/>
    <w:rsid w:val="003574F0"/>
    <w:rsid w:val="00362651"/>
    <w:rsid w:val="00364232"/>
    <w:rsid w:val="003712AC"/>
    <w:rsid w:val="00374FE4"/>
    <w:rsid w:val="00375AD2"/>
    <w:rsid w:val="00380411"/>
    <w:rsid w:val="003822B7"/>
    <w:rsid w:val="00383955"/>
    <w:rsid w:val="0038472D"/>
    <w:rsid w:val="003847C9"/>
    <w:rsid w:val="003879EA"/>
    <w:rsid w:val="0039109F"/>
    <w:rsid w:val="00394BF3"/>
    <w:rsid w:val="00394E0F"/>
    <w:rsid w:val="00396637"/>
    <w:rsid w:val="003A2D3F"/>
    <w:rsid w:val="003A3DA2"/>
    <w:rsid w:val="003A3FFA"/>
    <w:rsid w:val="003B0A49"/>
    <w:rsid w:val="003B0D0B"/>
    <w:rsid w:val="003B241B"/>
    <w:rsid w:val="003B2FB5"/>
    <w:rsid w:val="003B32FE"/>
    <w:rsid w:val="003B4D01"/>
    <w:rsid w:val="003C1BD7"/>
    <w:rsid w:val="003C2B6F"/>
    <w:rsid w:val="003C3B61"/>
    <w:rsid w:val="003C62BD"/>
    <w:rsid w:val="003C7B77"/>
    <w:rsid w:val="003D1209"/>
    <w:rsid w:val="003D1C3F"/>
    <w:rsid w:val="003D5FF8"/>
    <w:rsid w:val="003E161F"/>
    <w:rsid w:val="003F115C"/>
    <w:rsid w:val="004008B8"/>
    <w:rsid w:val="00404153"/>
    <w:rsid w:val="0040723F"/>
    <w:rsid w:val="004107B9"/>
    <w:rsid w:val="00410963"/>
    <w:rsid w:val="004153CD"/>
    <w:rsid w:val="00415B7D"/>
    <w:rsid w:val="00420943"/>
    <w:rsid w:val="00420CA3"/>
    <w:rsid w:val="00422344"/>
    <w:rsid w:val="00422CF1"/>
    <w:rsid w:val="0042334A"/>
    <w:rsid w:val="00424B78"/>
    <w:rsid w:val="004303B2"/>
    <w:rsid w:val="00430425"/>
    <w:rsid w:val="00431B8D"/>
    <w:rsid w:val="004351C4"/>
    <w:rsid w:val="00436106"/>
    <w:rsid w:val="004412EF"/>
    <w:rsid w:val="004417F6"/>
    <w:rsid w:val="004422F8"/>
    <w:rsid w:val="00445C7C"/>
    <w:rsid w:val="004472B5"/>
    <w:rsid w:val="0045087E"/>
    <w:rsid w:val="00452C51"/>
    <w:rsid w:val="00455FAE"/>
    <w:rsid w:val="00462010"/>
    <w:rsid w:val="00462C69"/>
    <w:rsid w:val="00462C94"/>
    <w:rsid w:val="004642FD"/>
    <w:rsid w:val="00466215"/>
    <w:rsid w:val="00474E49"/>
    <w:rsid w:val="004752FC"/>
    <w:rsid w:val="00476BB5"/>
    <w:rsid w:val="00482986"/>
    <w:rsid w:val="00482BEF"/>
    <w:rsid w:val="00483D3B"/>
    <w:rsid w:val="00485F60"/>
    <w:rsid w:val="004864F0"/>
    <w:rsid w:val="00486ED8"/>
    <w:rsid w:val="00490BF2"/>
    <w:rsid w:val="004938A7"/>
    <w:rsid w:val="00494750"/>
    <w:rsid w:val="00495F50"/>
    <w:rsid w:val="004978DA"/>
    <w:rsid w:val="004A0E07"/>
    <w:rsid w:val="004A1815"/>
    <w:rsid w:val="004A3446"/>
    <w:rsid w:val="004A34FF"/>
    <w:rsid w:val="004B4B21"/>
    <w:rsid w:val="004B6E33"/>
    <w:rsid w:val="004B6F6C"/>
    <w:rsid w:val="004B7D38"/>
    <w:rsid w:val="004C1F6B"/>
    <w:rsid w:val="004C3A85"/>
    <w:rsid w:val="004C63C2"/>
    <w:rsid w:val="004D2360"/>
    <w:rsid w:val="004D4795"/>
    <w:rsid w:val="004D6096"/>
    <w:rsid w:val="004D7CD1"/>
    <w:rsid w:val="004E3F63"/>
    <w:rsid w:val="004E5CD6"/>
    <w:rsid w:val="004E783A"/>
    <w:rsid w:val="004E7F42"/>
    <w:rsid w:val="004F08A6"/>
    <w:rsid w:val="004F0C1B"/>
    <w:rsid w:val="004F11E1"/>
    <w:rsid w:val="004F34B2"/>
    <w:rsid w:val="004F3B51"/>
    <w:rsid w:val="004F4FD2"/>
    <w:rsid w:val="004F5309"/>
    <w:rsid w:val="004F6032"/>
    <w:rsid w:val="004F6193"/>
    <w:rsid w:val="00500B94"/>
    <w:rsid w:val="005013A0"/>
    <w:rsid w:val="00501E5E"/>
    <w:rsid w:val="005073B2"/>
    <w:rsid w:val="005100E1"/>
    <w:rsid w:val="00514DAA"/>
    <w:rsid w:val="00521D29"/>
    <w:rsid w:val="00527D94"/>
    <w:rsid w:val="0053070D"/>
    <w:rsid w:val="00533257"/>
    <w:rsid w:val="005347FC"/>
    <w:rsid w:val="00534CC7"/>
    <w:rsid w:val="0053616F"/>
    <w:rsid w:val="005379E0"/>
    <w:rsid w:val="005424CD"/>
    <w:rsid w:val="0054406F"/>
    <w:rsid w:val="00547A97"/>
    <w:rsid w:val="00547B00"/>
    <w:rsid w:val="0055503D"/>
    <w:rsid w:val="00555AF3"/>
    <w:rsid w:val="0055682D"/>
    <w:rsid w:val="00556FAD"/>
    <w:rsid w:val="00563658"/>
    <w:rsid w:val="00564427"/>
    <w:rsid w:val="005652DC"/>
    <w:rsid w:val="0056551F"/>
    <w:rsid w:val="00566603"/>
    <w:rsid w:val="005700F6"/>
    <w:rsid w:val="00570B09"/>
    <w:rsid w:val="0057787D"/>
    <w:rsid w:val="00581C6A"/>
    <w:rsid w:val="005822D8"/>
    <w:rsid w:val="00582F8A"/>
    <w:rsid w:val="00585310"/>
    <w:rsid w:val="00585722"/>
    <w:rsid w:val="00587AB0"/>
    <w:rsid w:val="00593641"/>
    <w:rsid w:val="005A03C1"/>
    <w:rsid w:val="005A6410"/>
    <w:rsid w:val="005B3895"/>
    <w:rsid w:val="005B3FB6"/>
    <w:rsid w:val="005B54B0"/>
    <w:rsid w:val="005B55BA"/>
    <w:rsid w:val="005B5CF7"/>
    <w:rsid w:val="005B610B"/>
    <w:rsid w:val="005C0013"/>
    <w:rsid w:val="005C11E6"/>
    <w:rsid w:val="005C1EF1"/>
    <w:rsid w:val="005C2868"/>
    <w:rsid w:val="005C601C"/>
    <w:rsid w:val="005C7FDE"/>
    <w:rsid w:val="005D5779"/>
    <w:rsid w:val="005E5605"/>
    <w:rsid w:val="005E6DF6"/>
    <w:rsid w:val="005F4438"/>
    <w:rsid w:val="005F455E"/>
    <w:rsid w:val="00600961"/>
    <w:rsid w:val="00604AC7"/>
    <w:rsid w:val="006055E2"/>
    <w:rsid w:val="00605BC8"/>
    <w:rsid w:val="006068C1"/>
    <w:rsid w:val="00614D37"/>
    <w:rsid w:val="00616B92"/>
    <w:rsid w:val="0061780D"/>
    <w:rsid w:val="00617828"/>
    <w:rsid w:val="00621049"/>
    <w:rsid w:val="00621A32"/>
    <w:rsid w:val="006226A9"/>
    <w:rsid w:val="00626662"/>
    <w:rsid w:val="00635D1B"/>
    <w:rsid w:val="00640C8F"/>
    <w:rsid w:val="0064118C"/>
    <w:rsid w:val="006415C6"/>
    <w:rsid w:val="00641ABA"/>
    <w:rsid w:val="00643883"/>
    <w:rsid w:val="006441AE"/>
    <w:rsid w:val="00644A72"/>
    <w:rsid w:val="0065060D"/>
    <w:rsid w:val="006509F3"/>
    <w:rsid w:val="0065272F"/>
    <w:rsid w:val="00652A79"/>
    <w:rsid w:val="00653DA5"/>
    <w:rsid w:val="00656596"/>
    <w:rsid w:val="00657BD0"/>
    <w:rsid w:val="006619B5"/>
    <w:rsid w:val="00664D49"/>
    <w:rsid w:val="0066507E"/>
    <w:rsid w:val="00665BF9"/>
    <w:rsid w:val="00672C7B"/>
    <w:rsid w:val="006811CB"/>
    <w:rsid w:val="00683604"/>
    <w:rsid w:val="00685430"/>
    <w:rsid w:val="00686FE7"/>
    <w:rsid w:val="00690AC8"/>
    <w:rsid w:val="00691DD5"/>
    <w:rsid w:val="00693B6F"/>
    <w:rsid w:val="006A07B3"/>
    <w:rsid w:val="006A45DA"/>
    <w:rsid w:val="006A6FF8"/>
    <w:rsid w:val="006A7419"/>
    <w:rsid w:val="006B02BB"/>
    <w:rsid w:val="006B3E9B"/>
    <w:rsid w:val="006B455C"/>
    <w:rsid w:val="006B47DD"/>
    <w:rsid w:val="006B6BA5"/>
    <w:rsid w:val="006C5520"/>
    <w:rsid w:val="006C62A5"/>
    <w:rsid w:val="006D40E1"/>
    <w:rsid w:val="006D63D1"/>
    <w:rsid w:val="006D6ECF"/>
    <w:rsid w:val="006E02CE"/>
    <w:rsid w:val="006E1274"/>
    <w:rsid w:val="006E1E68"/>
    <w:rsid w:val="006E21E8"/>
    <w:rsid w:val="006F0A2E"/>
    <w:rsid w:val="006F33A2"/>
    <w:rsid w:val="006F53C3"/>
    <w:rsid w:val="006F55C5"/>
    <w:rsid w:val="0070030E"/>
    <w:rsid w:val="00702F69"/>
    <w:rsid w:val="00703321"/>
    <w:rsid w:val="00703E68"/>
    <w:rsid w:val="00706D98"/>
    <w:rsid w:val="00712DCD"/>
    <w:rsid w:val="00715EA2"/>
    <w:rsid w:val="00720654"/>
    <w:rsid w:val="007210E0"/>
    <w:rsid w:val="00724425"/>
    <w:rsid w:val="007248F9"/>
    <w:rsid w:val="00727823"/>
    <w:rsid w:val="00735B54"/>
    <w:rsid w:val="00740246"/>
    <w:rsid w:val="00740398"/>
    <w:rsid w:val="007425A0"/>
    <w:rsid w:val="0074326B"/>
    <w:rsid w:val="0074429C"/>
    <w:rsid w:val="00744A39"/>
    <w:rsid w:val="007503ED"/>
    <w:rsid w:val="00750E15"/>
    <w:rsid w:val="00752F6D"/>
    <w:rsid w:val="00753095"/>
    <w:rsid w:val="0075339A"/>
    <w:rsid w:val="007603A3"/>
    <w:rsid w:val="0076209F"/>
    <w:rsid w:val="00766CCC"/>
    <w:rsid w:val="00771C51"/>
    <w:rsid w:val="0077232F"/>
    <w:rsid w:val="0077501F"/>
    <w:rsid w:val="00775538"/>
    <w:rsid w:val="00775EB5"/>
    <w:rsid w:val="0078258F"/>
    <w:rsid w:val="00782D1D"/>
    <w:rsid w:val="007832FE"/>
    <w:rsid w:val="007835E5"/>
    <w:rsid w:val="00784285"/>
    <w:rsid w:val="00785FC8"/>
    <w:rsid w:val="00795EC7"/>
    <w:rsid w:val="00795F7D"/>
    <w:rsid w:val="007A1092"/>
    <w:rsid w:val="007A29F6"/>
    <w:rsid w:val="007A4F56"/>
    <w:rsid w:val="007A5084"/>
    <w:rsid w:val="007B0E65"/>
    <w:rsid w:val="007B19CA"/>
    <w:rsid w:val="007B252F"/>
    <w:rsid w:val="007B2EE9"/>
    <w:rsid w:val="007B4190"/>
    <w:rsid w:val="007B41F2"/>
    <w:rsid w:val="007C275F"/>
    <w:rsid w:val="007C723A"/>
    <w:rsid w:val="007D2A7C"/>
    <w:rsid w:val="007D3059"/>
    <w:rsid w:val="007D3A03"/>
    <w:rsid w:val="007D5E12"/>
    <w:rsid w:val="007E60E6"/>
    <w:rsid w:val="007F2A50"/>
    <w:rsid w:val="007F450B"/>
    <w:rsid w:val="007F6927"/>
    <w:rsid w:val="00803258"/>
    <w:rsid w:val="00804124"/>
    <w:rsid w:val="00807220"/>
    <w:rsid w:val="0081202D"/>
    <w:rsid w:val="008134E2"/>
    <w:rsid w:val="008155FA"/>
    <w:rsid w:val="0082037D"/>
    <w:rsid w:val="00825BE8"/>
    <w:rsid w:val="00827372"/>
    <w:rsid w:val="00831CF9"/>
    <w:rsid w:val="00831D1E"/>
    <w:rsid w:val="008339CA"/>
    <w:rsid w:val="00833CAC"/>
    <w:rsid w:val="00834804"/>
    <w:rsid w:val="00836923"/>
    <w:rsid w:val="00836DFE"/>
    <w:rsid w:val="008376E0"/>
    <w:rsid w:val="00840989"/>
    <w:rsid w:val="008410EE"/>
    <w:rsid w:val="00842684"/>
    <w:rsid w:val="00844FF6"/>
    <w:rsid w:val="0084525F"/>
    <w:rsid w:val="00850F1B"/>
    <w:rsid w:val="0085415F"/>
    <w:rsid w:val="00855CE2"/>
    <w:rsid w:val="008624C5"/>
    <w:rsid w:val="008643BC"/>
    <w:rsid w:val="008656C4"/>
    <w:rsid w:val="008661C7"/>
    <w:rsid w:val="00867653"/>
    <w:rsid w:val="00867C21"/>
    <w:rsid w:val="0087696F"/>
    <w:rsid w:val="00877D44"/>
    <w:rsid w:val="00882895"/>
    <w:rsid w:val="00882B3F"/>
    <w:rsid w:val="00891B9B"/>
    <w:rsid w:val="00893C6F"/>
    <w:rsid w:val="00893CC9"/>
    <w:rsid w:val="00895B8C"/>
    <w:rsid w:val="008A2FFF"/>
    <w:rsid w:val="008A3B48"/>
    <w:rsid w:val="008A4175"/>
    <w:rsid w:val="008A5335"/>
    <w:rsid w:val="008A6130"/>
    <w:rsid w:val="008A67A2"/>
    <w:rsid w:val="008B0363"/>
    <w:rsid w:val="008B0425"/>
    <w:rsid w:val="008B3378"/>
    <w:rsid w:val="008B7307"/>
    <w:rsid w:val="008C7370"/>
    <w:rsid w:val="008C7B8D"/>
    <w:rsid w:val="008C7E56"/>
    <w:rsid w:val="008D46DD"/>
    <w:rsid w:val="008D4DF0"/>
    <w:rsid w:val="008D6052"/>
    <w:rsid w:val="008D6466"/>
    <w:rsid w:val="008D700B"/>
    <w:rsid w:val="008E1562"/>
    <w:rsid w:val="008E4077"/>
    <w:rsid w:val="008E54DD"/>
    <w:rsid w:val="008F4201"/>
    <w:rsid w:val="008F6392"/>
    <w:rsid w:val="0090034C"/>
    <w:rsid w:val="00901068"/>
    <w:rsid w:val="0090386A"/>
    <w:rsid w:val="0090503E"/>
    <w:rsid w:val="009071B1"/>
    <w:rsid w:val="00907AC2"/>
    <w:rsid w:val="00912AA4"/>
    <w:rsid w:val="00913074"/>
    <w:rsid w:val="00916460"/>
    <w:rsid w:val="00917D43"/>
    <w:rsid w:val="00921DC1"/>
    <w:rsid w:val="00922B83"/>
    <w:rsid w:val="009247BF"/>
    <w:rsid w:val="00930273"/>
    <w:rsid w:val="00932636"/>
    <w:rsid w:val="00932E1D"/>
    <w:rsid w:val="00932E70"/>
    <w:rsid w:val="00932E8A"/>
    <w:rsid w:val="00933815"/>
    <w:rsid w:val="00935F3C"/>
    <w:rsid w:val="009402C0"/>
    <w:rsid w:val="009410A8"/>
    <w:rsid w:val="00943744"/>
    <w:rsid w:val="00943F2C"/>
    <w:rsid w:val="009477C8"/>
    <w:rsid w:val="00951FBD"/>
    <w:rsid w:val="00952F9B"/>
    <w:rsid w:val="00953537"/>
    <w:rsid w:val="00954195"/>
    <w:rsid w:val="00956D06"/>
    <w:rsid w:val="00957A39"/>
    <w:rsid w:val="009619FC"/>
    <w:rsid w:val="009650F7"/>
    <w:rsid w:val="009736EE"/>
    <w:rsid w:val="00973E0A"/>
    <w:rsid w:val="00975AFB"/>
    <w:rsid w:val="00977EEA"/>
    <w:rsid w:val="00983044"/>
    <w:rsid w:val="009832B2"/>
    <w:rsid w:val="00984D29"/>
    <w:rsid w:val="00985064"/>
    <w:rsid w:val="00990292"/>
    <w:rsid w:val="0099581F"/>
    <w:rsid w:val="00996BD9"/>
    <w:rsid w:val="009A075A"/>
    <w:rsid w:val="009A19AF"/>
    <w:rsid w:val="009A2042"/>
    <w:rsid w:val="009A4F67"/>
    <w:rsid w:val="009A633B"/>
    <w:rsid w:val="009A6757"/>
    <w:rsid w:val="009B4317"/>
    <w:rsid w:val="009B5595"/>
    <w:rsid w:val="009C0353"/>
    <w:rsid w:val="009C327B"/>
    <w:rsid w:val="009C4838"/>
    <w:rsid w:val="009C53E7"/>
    <w:rsid w:val="009C5F63"/>
    <w:rsid w:val="009C7DD3"/>
    <w:rsid w:val="009D0A55"/>
    <w:rsid w:val="009D137B"/>
    <w:rsid w:val="009D356D"/>
    <w:rsid w:val="009D36A3"/>
    <w:rsid w:val="009D38D0"/>
    <w:rsid w:val="009D3AA5"/>
    <w:rsid w:val="009D412F"/>
    <w:rsid w:val="009D4197"/>
    <w:rsid w:val="009D437C"/>
    <w:rsid w:val="009D5274"/>
    <w:rsid w:val="009D7EAE"/>
    <w:rsid w:val="009E3769"/>
    <w:rsid w:val="009E5373"/>
    <w:rsid w:val="009E5778"/>
    <w:rsid w:val="009E5913"/>
    <w:rsid w:val="009F1055"/>
    <w:rsid w:val="009F1E90"/>
    <w:rsid w:val="009F2016"/>
    <w:rsid w:val="009F3221"/>
    <w:rsid w:val="009F44ED"/>
    <w:rsid w:val="009F5358"/>
    <w:rsid w:val="009F7499"/>
    <w:rsid w:val="00A02DFE"/>
    <w:rsid w:val="00A03217"/>
    <w:rsid w:val="00A05182"/>
    <w:rsid w:val="00A06E81"/>
    <w:rsid w:val="00A0741D"/>
    <w:rsid w:val="00A07F3E"/>
    <w:rsid w:val="00A11C68"/>
    <w:rsid w:val="00A11FAB"/>
    <w:rsid w:val="00A13BD7"/>
    <w:rsid w:val="00A13C46"/>
    <w:rsid w:val="00A17DCD"/>
    <w:rsid w:val="00A17EA3"/>
    <w:rsid w:val="00A21007"/>
    <w:rsid w:val="00A22CE9"/>
    <w:rsid w:val="00A2591D"/>
    <w:rsid w:val="00A25FAC"/>
    <w:rsid w:val="00A266D1"/>
    <w:rsid w:val="00A3681B"/>
    <w:rsid w:val="00A37EEA"/>
    <w:rsid w:val="00A40DB0"/>
    <w:rsid w:val="00A41D4B"/>
    <w:rsid w:val="00A45333"/>
    <w:rsid w:val="00A50570"/>
    <w:rsid w:val="00A52D36"/>
    <w:rsid w:val="00A55F75"/>
    <w:rsid w:val="00A55FEE"/>
    <w:rsid w:val="00A56032"/>
    <w:rsid w:val="00A60A40"/>
    <w:rsid w:val="00A61C8F"/>
    <w:rsid w:val="00A70E51"/>
    <w:rsid w:val="00A71B3B"/>
    <w:rsid w:val="00A71FD7"/>
    <w:rsid w:val="00A72C99"/>
    <w:rsid w:val="00A731BA"/>
    <w:rsid w:val="00A73F4D"/>
    <w:rsid w:val="00A81011"/>
    <w:rsid w:val="00A862FA"/>
    <w:rsid w:val="00A940F6"/>
    <w:rsid w:val="00A94641"/>
    <w:rsid w:val="00AA06D5"/>
    <w:rsid w:val="00AA0A44"/>
    <w:rsid w:val="00AA0F66"/>
    <w:rsid w:val="00AA32CE"/>
    <w:rsid w:val="00AA461B"/>
    <w:rsid w:val="00AA55D2"/>
    <w:rsid w:val="00AA5E42"/>
    <w:rsid w:val="00AA6D8F"/>
    <w:rsid w:val="00AB0095"/>
    <w:rsid w:val="00AB0B68"/>
    <w:rsid w:val="00AB3441"/>
    <w:rsid w:val="00AB403B"/>
    <w:rsid w:val="00AB427F"/>
    <w:rsid w:val="00AB6212"/>
    <w:rsid w:val="00AB68EF"/>
    <w:rsid w:val="00AB69B1"/>
    <w:rsid w:val="00AB7314"/>
    <w:rsid w:val="00AC2D96"/>
    <w:rsid w:val="00AC55BF"/>
    <w:rsid w:val="00AD0E91"/>
    <w:rsid w:val="00AD213C"/>
    <w:rsid w:val="00AD3AC1"/>
    <w:rsid w:val="00AD4C81"/>
    <w:rsid w:val="00AD74F0"/>
    <w:rsid w:val="00AD7E7F"/>
    <w:rsid w:val="00AE304B"/>
    <w:rsid w:val="00AE566E"/>
    <w:rsid w:val="00AE59C0"/>
    <w:rsid w:val="00AE7B26"/>
    <w:rsid w:val="00AF1891"/>
    <w:rsid w:val="00AF7111"/>
    <w:rsid w:val="00AF766E"/>
    <w:rsid w:val="00AF7750"/>
    <w:rsid w:val="00B004D9"/>
    <w:rsid w:val="00B00FD6"/>
    <w:rsid w:val="00B01501"/>
    <w:rsid w:val="00B02015"/>
    <w:rsid w:val="00B0472F"/>
    <w:rsid w:val="00B10CE1"/>
    <w:rsid w:val="00B10F3F"/>
    <w:rsid w:val="00B123EA"/>
    <w:rsid w:val="00B1753D"/>
    <w:rsid w:val="00B25D3F"/>
    <w:rsid w:val="00B30C8E"/>
    <w:rsid w:val="00B344F5"/>
    <w:rsid w:val="00B3465F"/>
    <w:rsid w:val="00B36D53"/>
    <w:rsid w:val="00B44F2E"/>
    <w:rsid w:val="00B5182F"/>
    <w:rsid w:val="00B53842"/>
    <w:rsid w:val="00B60888"/>
    <w:rsid w:val="00B60ED1"/>
    <w:rsid w:val="00B62095"/>
    <w:rsid w:val="00B63B02"/>
    <w:rsid w:val="00B66319"/>
    <w:rsid w:val="00B66DB2"/>
    <w:rsid w:val="00B70305"/>
    <w:rsid w:val="00B717EC"/>
    <w:rsid w:val="00B728FA"/>
    <w:rsid w:val="00B73E59"/>
    <w:rsid w:val="00B73EB5"/>
    <w:rsid w:val="00B74412"/>
    <w:rsid w:val="00B766B4"/>
    <w:rsid w:val="00B84EA2"/>
    <w:rsid w:val="00B851E2"/>
    <w:rsid w:val="00B86B67"/>
    <w:rsid w:val="00B87DEE"/>
    <w:rsid w:val="00B911FE"/>
    <w:rsid w:val="00B9391F"/>
    <w:rsid w:val="00B942F4"/>
    <w:rsid w:val="00BA1B91"/>
    <w:rsid w:val="00BA4717"/>
    <w:rsid w:val="00BB17BC"/>
    <w:rsid w:val="00BB6AC9"/>
    <w:rsid w:val="00BC027C"/>
    <w:rsid w:val="00BC3D85"/>
    <w:rsid w:val="00BC4770"/>
    <w:rsid w:val="00BD2660"/>
    <w:rsid w:val="00BD2C78"/>
    <w:rsid w:val="00BD32A9"/>
    <w:rsid w:val="00BD7C13"/>
    <w:rsid w:val="00BE086E"/>
    <w:rsid w:val="00BE2221"/>
    <w:rsid w:val="00BE273F"/>
    <w:rsid w:val="00BE6389"/>
    <w:rsid w:val="00BE6538"/>
    <w:rsid w:val="00BE65BE"/>
    <w:rsid w:val="00BE74BE"/>
    <w:rsid w:val="00BE77B2"/>
    <w:rsid w:val="00BF19C3"/>
    <w:rsid w:val="00BF617F"/>
    <w:rsid w:val="00BF63E4"/>
    <w:rsid w:val="00C02E62"/>
    <w:rsid w:val="00C058F2"/>
    <w:rsid w:val="00C05FB4"/>
    <w:rsid w:val="00C1194C"/>
    <w:rsid w:val="00C17028"/>
    <w:rsid w:val="00C20BEF"/>
    <w:rsid w:val="00C22EFB"/>
    <w:rsid w:val="00C2484D"/>
    <w:rsid w:val="00C25869"/>
    <w:rsid w:val="00C25949"/>
    <w:rsid w:val="00C25BA6"/>
    <w:rsid w:val="00C3371A"/>
    <w:rsid w:val="00C41A6D"/>
    <w:rsid w:val="00C46CC8"/>
    <w:rsid w:val="00C50B7A"/>
    <w:rsid w:val="00C52C37"/>
    <w:rsid w:val="00C5640E"/>
    <w:rsid w:val="00C601A3"/>
    <w:rsid w:val="00C66512"/>
    <w:rsid w:val="00C707C8"/>
    <w:rsid w:val="00C75142"/>
    <w:rsid w:val="00C770EB"/>
    <w:rsid w:val="00C778D2"/>
    <w:rsid w:val="00C77BF9"/>
    <w:rsid w:val="00C80F4B"/>
    <w:rsid w:val="00C813AC"/>
    <w:rsid w:val="00C8352F"/>
    <w:rsid w:val="00C84F05"/>
    <w:rsid w:val="00C879B3"/>
    <w:rsid w:val="00C91990"/>
    <w:rsid w:val="00C920AB"/>
    <w:rsid w:val="00C926A3"/>
    <w:rsid w:val="00C930F3"/>
    <w:rsid w:val="00C932C7"/>
    <w:rsid w:val="00C97BEF"/>
    <w:rsid w:val="00CA1E5A"/>
    <w:rsid w:val="00CA232A"/>
    <w:rsid w:val="00CA2697"/>
    <w:rsid w:val="00CA409D"/>
    <w:rsid w:val="00CA5B6F"/>
    <w:rsid w:val="00CB2E22"/>
    <w:rsid w:val="00CB5B34"/>
    <w:rsid w:val="00CC3810"/>
    <w:rsid w:val="00CC7095"/>
    <w:rsid w:val="00CD0C03"/>
    <w:rsid w:val="00CD5E64"/>
    <w:rsid w:val="00CE2766"/>
    <w:rsid w:val="00CF23EB"/>
    <w:rsid w:val="00CF372B"/>
    <w:rsid w:val="00CF4DD7"/>
    <w:rsid w:val="00CF7441"/>
    <w:rsid w:val="00D032DB"/>
    <w:rsid w:val="00D048C7"/>
    <w:rsid w:val="00D05AC8"/>
    <w:rsid w:val="00D064CE"/>
    <w:rsid w:val="00D07379"/>
    <w:rsid w:val="00D077EA"/>
    <w:rsid w:val="00D12CFE"/>
    <w:rsid w:val="00D20373"/>
    <w:rsid w:val="00D23CF2"/>
    <w:rsid w:val="00D23FD4"/>
    <w:rsid w:val="00D2422F"/>
    <w:rsid w:val="00D244F6"/>
    <w:rsid w:val="00D24CF7"/>
    <w:rsid w:val="00D260A4"/>
    <w:rsid w:val="00D26867"/>
    <w:rsid w:val="00D307F3"/>
    <w:rsid w:val="00D316B7"/>
    <w:rsid w:val="00D318B7"/>
    <w:rsid w:val="00D37E6D"/>
    <w:rsid w:val="00D523DF"/>
    <w:rsid w:val="00D54D83"/>
    <w:rsid w:val="00D54ECB"/>
    <w:rsid w:val="00D571E7"/>
    <w:rsid w:val="00D61547"/>
    <w:rsid w:val="00D64F5B"/>
    <w:rsid w:val="00D67155"/>
    <w:rsid w:val="00D7687C"/>
    <w:rsid w:val="00D80820"/>
    <w:rsid w:val="00D81C0D"/>
    <w:rsid w:val="00D8616C"/>
    <w:rsid w:val="00D94781"/>
    <w:rsid w:val="00DA4556"/>
    <w:rsid w:val="00DB0510"/>
    <w:rsid w:val="00DB53DF"/>
    <w:rsid w:val="00DB5788"/>
    <w:rsid w:val="00DB7B60"/>
    <w:rsid w:val="00DC0448"/>
    <w:rsid w:val="00DC4226"/>
    <w:rsid w:val="00DC6412"/>
    <w:rsid w:val="00DC6FD4"/>
    <w:rsid w:val="00DD0CD3"/>
    <w:rsid w:val="00DD13DB"/>
    <w:rsid w:val="00DD15C6"/>
    <w:rsid w:val="00DD2964"/>
    <w:rsid w:val="00DE2F33"/>
    <w:rsid w:val="00DF2BED"/>
    <w:rsid w:val="00DF5B91"/>
    <w:rsid w:val="00E05036"/>
    <w:rsid w:val="00E0546C"/>
    <w:rsid w:val="00E05FB8"/>
    <w:rsid w:val="00E078E2"/>
    <w:rsid w:val="00E102AF"/>
    <w:rsid w:val="00E12BED"/>
    <w:rsid w:val="00E134C2"/>
    <w:rsid w:val="00E2102F"/>
    <w:rsid w:val="00E21C42"/>
    <w:rsid w:val="00E22273"/>
    <w:rsid w:val="00E22E94"/>
    <w:rsid w:val="00E263E9"/>
    <w:rsid w:val="00E27583"/>
    <w:rsid w:val="00E302A3"/>
    <w:rsid w:val="00E30D6C"/>
    <w:rsid w:val="00E31CD5"/>
    <w:rsid w:val="00E3371C"/>
    <w:rsid w:val="00E34240"/>
    <w:rsid w:val="00E41A8B"/>
    <w:rsid w:val="00E44924"/>
    <w:rsid w:val="00E50056"/>
    <w:rsid w:val="00E511CF"/>
    <w:rsid w:val="00E52D96"/>
    <w:rsid w:val="00E54531"/>
    <w:rsid w:val="00E54539"/>
    <w:rsid w:val="00E54C3F"/>
    <w:rsid w:val="00E577CC"/>
    <w:rsid w:val="00E61287"/>
    <w:rsid w:val="00E627D5"/>
    <w:rsid w:val="00E66CF1"/>
    <w:rsid w:val="00E718D3"/>
    <w:rsid w:val="00E733DC"/>
    <w:rsid w:val="00E76D3A"/>
    <w:rsid w:val="00E81CE0"/>
    <w:rsid w:val="00E83DE6"/>
    <w:rsid w:val="00E85CC2"/>
    <w:rsid w:val="00E868F6"/>
    <w:rsid w:val="00E90614"/>
    <w:rsid w:val="00E95F96"/>
    <w:rsid w:val="00EA0427"/>
    <w:rsid w:val="00EA1629"/>
    <w:rsid w:val="00EA18BD"/>
    <w:rsid w:val="00EA265E"/>
    <w:rsid w:val="00EA58BD"/>
    <w:rsid w:val="00EA6582"/>
    <w:rsid w:val="00EB109A"/>
    <w:rsid w:val="00EB2CA1"/>
    <w:rsid w:val="00EB711F"/>
    <w:rsid w:val="00EB7405"/>
    <w:rsid w:val="00EC06A1"/>
    <w:rsid w:val="00EC15F8"/>
    <w:rsid w:val="00EC24F9"/>
    <w:rsid w:val="00EC2BA8"/>
    <w:rsid w:val="00EC2D56"/>
    <w:rsid w:val="00EC5015"/>
    <w:rsid w:val="00EC6C78"/>
    <w:rsid w:val="00ED09B6"/>
    <w:rsid w:val="00ED39E4"/>
    <w:rsid w:val="00ED4641"/>
    <w:rsid w:val="00ED5F13"/>
    <w:rsid w:val="00ED72B0"/>
    <w:rsid w:val="00EE0A80"/>
    <w:rsid w:val="00EE0FA6"/>
    <w:rsid w:val="00EE1D06"/>
    <w:rsid w:val="00EE24E7"/>
    <w:rsid w:val="00EE319A"/>
    <w:rsid w:val="00EE469A"/>
    <w:rsid w:val="00EE4A58"/>
    <w:rsid w:val="00EF7742"/>
    <w:rsid w:val="00F06B8A"/>
    <w:rsid w:val="00F15021"/>
    <w:rsid w:val="00F30BFA"/>
    <w:rsid w:val="00F36337"/>
    <w:rsid w:val="00F43A4A"/>
    <w:rsid w:val="00F43EF2"/>
    <w:rsid w:val="00F510FB"/>
    <w:rsid w:val="00F6355B"/>
    <w:rsid w:val="00F65EAC"/>
    <w:rsid w:val="00F71FA0"/>
    <w:rsid w:val="00F7268D"/>
    <w:rsid w:val="00F72EC3"/>
    <w:rsid w:val="00F733DE"/>
    <w:rsid w:val="00F74623"/>
    <w:rsid w:val="00F774D7"/>
    <w:rsid w:val="00F827BE"/>
    <w:rsid w:val="00F853BF"/>
    <w:rsid w:val="00F93555"/>
    <w:rsid w:val="00FA4ED8"/>
    <w:rsid w:val="00FA754F"/>
    <w:rsid w:val="00FB1233"/>
    <w:rsid w:val="00FB1248"/>
    <w:rsid w:val="00FB4F2C"/>
    <w:rsid w:val="00FC37DE"/>
    <w:rsid w:val="00FC3DEA"/>
    <w:rsid w:val="00FC5697"/>
    <w:rsid w:val="00FD2475"/>
    <w:rsid w:val="00FD301B"/>
    <w:rsid w:val="00FD3D44"/>
    <w:rsid w:val="00FE20FD"/>
    <w:rsid w:val="00FE2B2F"/>
    <w:rsid w:val="00FE5455"/>
    <w:rsid w:val="00FE6120"/>
    <w:rsid w:val="00FF06D8"/>
    <w:rsid w:val="00FF1561"/>
    <w:rsid w:val="00FF19D2"/>
    <w:rsid w:val="00FF1ADB"/>
    <w:rsid w:val="00FF2BEA"/>
    <w:rsid w:val="00FF66B2"/>
    <w:rsid w:val="00FF67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C87E1"/>
  <w15:chartTrackingRefBased/>
  <w15:docId w15:val="{C6E6EAFC-E26E-5945-A0B4-23ADB7D8E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51E2"/>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C91990"/>
    <w:pPr>
      <w:keepNext/>
      <w:keepLines/>
      <w:spacing w:before="480" w:after="0"/>
      <w:outlineLvl w:val="0"/>
    </w:pPr>
    <w:rPr>
      <w:rFonts w:ascii="Cambria" w:eastAsia="Times New Roman" w:hAnsi="Cambria"/>
      <w:b/>
      <w:bCs/>
      <w:color w:val="365F91"/>
      <w:sz w:val="28"/>
      <w:szCs w:val="28"/>
      <w:lang w:val="x-none" w:eastAsia="x-none"/>
    </w:rPr>
  </w:style>
  <w:style w:type="paragraph" w:styleId="Heading2">
    <w:name w:val="heading 2"/>
    <w:basedOn w:val="Normal"/>
    <w:next w:val="Normal"/>
    <w:link w:val="Heading2Char"/>
    <w:uiPriority w:val="9"/>
    <w:semiHidden/>
    <w:unhideWhenUsed/>
    <w:qFormat/>
    <w:rsid w:val="00A02DFE"/>
    <w:pPr>
      <w:keepNext/>
      <w:keepLines/>
      <w:spacing w:before="200" w:after="0" w:line="240" w:lineRule="auto"/>
      <w:outlineLvl w:val="1"/>
    </w:pPr>
    <w:rPr>
      <w:rFonts w:ascii="Cambria" w:eastAsia="Times New Roman" w:hAnsi="Cambria"/>
      <w:b/>
      <w:bCs/>
      <w:color w:val="4F81BD"/>
      <w:sz w:val="26"/>
      <w:szCs w:val="26"/>
      <w:lang w:val="x-none" w:eastAsia="x-none"/>
    </w:rPr>
  </w:style>
  <w:style w:type="paragraph" w:styleId="Heading3">
    <w:name w:val="heading 3"/>
    <w:basedOn w:val="Normal"/>
    <w:next w:val="Normal"/>
    <w:link w:val="Heading3Char"/>
    <w:uiPriority w:val="9"/>
    <w:semiHidden/>
    <w:unhideWhenUsed/>
    <w:qFormat/>
    <w:rsid w:val="009D437C"/>
    <w:pPr>
      <w:keepNext/>
      <w:keepLines/>
      <w:spacing w:before="40" w:after="0"/>
      <w:outlineLvl w:val="2"/>
    </w:pPr>
    <w:rPr>
      <w:rFonts w:asciiTheme="majorHAnsi" w:eastAsiaTheme="majorEastAsia" w:hAnsiTheme="majorHAnsi" w:cstheme="majorBidi"/>
      <w:color w:val="0A2F40" w:themeColor="accent1" w:themeShade="7F"/>
      <w:sz w:val="24"/>
      <w:szCs w:val="24"/>
    </w:rPr>
  </w:style>
  <w:style w:type="paragraph" w:styleId="Heading5">
    <w:name w:val="heading 5"/>
    <w:basedOn w:val="Normal"/>
    <w:next w:val="Normal"/>
    <w:link w:val="Heading5Char"/>
    <w:uiPriority w:val="9"/>
    <w:semiHidden/>
    <w:unhideWhenUsed/>
    <w:qFormat/>
    <w:rsid w:val="00C91990"/>
    <w:pPr>
      <w:keepNext/>
      <w:keepLines/>
      <w:spacing w:before="200" w:after="0"/>
      <w:outlineLvl w:val="4"/>
    </w:pPr>
    <w:rPr>
      <w:rFonts w:ascii="Cambria" w:eastAsia="Times New Roman" w:hAnsi="Cambria"/>
      <w:color w:val="243F60"/>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91990"/>
    <w:rPr>
      <w:rFonts w:ascii="Cambria" w:eastAsia="Times New Roman" w:hAnsi="Cambria" w:cs="Times New Roman"/>
      <w:b/>
      <w:bCs/>
      <w:color w:val="365F91"/>
      <w:sz w:val="28"/>
      <w:szCs w:val="28"/>
    </w:rPr>
  </w:style>
  <w:style w:type="character" w:customStyle="1" w:styleId="Heading2Char">
    <w:name w:val="Heading 2 Char"/>
    <w:link w:val="Heading2"/>
    <w:uiPriority w:val="9"/>
    <w:semiHidden/>
    <w:rsid w:val="00A02DFE"/>
    <w:rPr>
      <w:rFonts w:ascii="Cambria" w:eastAsia="Times New Roman" w:hAnsi="Cambria" w:cs="Times New Roman"/>
      <w:b/>
      <w:bCs/>
      <w:color w:val="4F81BD"/>
      <w:sz w:val="26"/>
      <w:szCs w:val="26"/>
    </w:rPr>
  </w:style>
  <w:style w:type="character" w:customStyle="1" w:styleId="Heading5Char">
    <w:name w:val="Heading 5 Char"/>
    <w:link w:val="Heading5"/>
    <w:uiPriority w:val="9"/>
    <w:semiHidden/>
    <w:rsid w:val="00C91990"/>
    <w:rPr>
      <w:rFonts w:ascii="Cambria" w:eastAsia="Times New Roman" w:hAnsi="Cambria" w:cs="Times New Roman"/>
      <w:color w:val="243F60"/>
    </w:rPr>
  </w:style>
  <w:style w:type="character" w:customStyle="1" w:styleId="ListParagraphChar">
    <w:name w:val="List Paragraph Char"/>
    <w:aliases w:val="List Paragraph2 Char,Normal 1 Char,Dot pt Char,List Paragraph1 Char,F5 List Paragraph Char,List Paragraph Char Char Char Char,Indicator Text Char,Numbered Para 1 Char,Bullet 1 Char,Bullet Points Char,MAIN CONTENT Char,L Char"/>
    <w:link w:val="ListParagraph"/>
    <w:uiPriority w:val="34"/>
    <w:qFormat/>
    <w:locked/>
    <w:rsid w:val="00B851E2"/>
  </w:style>
  <w:style w:type="paragraph" w:styleId="ListParagraph">
    <w:name w:val="List Paragraph"/>
    <w:aliases w:val="List Paragraph2,Normal 1,Dot pt,List Paragraph1,F5 List Paragraph,List Paragraph Char Char Char,Indicator Text,Numbered Para 1,Bullet 1,Bullet Points,MAIN CONTENT,Párrafo de lista,Recommendation,List Paragraph (numbered (a)),L,Annex,Tasks"/>
    <w:basedOn w:val="Normal"/>
    <w:link w:val="ListParagraphChar"/>
    <w:uiPriority w:val="34"/>
    <w:qFormat/>
    <w:rsid w:val="00B851E2"/>
    <w:pPr>
      <w:ind w:left="720"/>
      <w:contextualSpacing/>
    </w:pPr>
  </w:style>
  <w:style w:type="paragraph" w:styleId="Footer">
    <w:name w:val="footer"/>
    <w:basedOn w:val="Normal"/>
    <w:link w:val="FooterChar"/>
    <w:uiPriority w:val="99"/>
    <w:unhideWhenUsed/>
    <w:rsid w:val="00B851E2"/>
    <w:pPr>
      <w:tabs>
        <w:tab w:val="center" w:pos="4513"/>
        <w:tab w:val="right" w:pos="9026"/>
      </w:tabs>
      <w:spacing w:after="0" w:line="240" w:lineRule="auto"/>
    </w:pPr>
    <w:rPr>
      <w:sz w:val="20"/>
      <w:szCs w:val="20"/>
      <w:lang w:val="x-none" w:eastAsia="x-none"/>
    </w:rPr>
  </w:style>
  <w:style w:type="character" w:customStyle="1" w:styleId="FooterChar">
    <w:name w:val="Footer Char"/>
    <w:link w:val="Footer"/>
    <w:uiPriority w:val="99"/>
    <w:rsid w:val="00B851E2"/>
    <w:rPr>
      <w:rFonts w:ascii="Calibri" w:eastAsia="Calibri" w:hAnsi="Calibri" w:cs="Times New Roman"/>
    </w:rPr>
  </w:style>
  <w:style w:type="paragraph" w:styleId="BalloonText">
    <w:name w:val="Balloon Text"/>
    <w:basedOn w:val="Normal"/>
    <w:link w:val="BalloonTextChar"/>
    <w:uiPriority w:val="99"/>
    <w:semiHidden/>
    <w:unhideWhenUsed/>
    <w:rsid w:val="00B851E2"/>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B851E2"/>
    <w:rPr>
      <w:rFonts w:ascii="Tahoma" w:eastAsia="Calibri" w:hAnsi="Tahoma" w:cs="Tahoma"/>
      <w:sz w:val="16"/>
      <w:szCs w:val="16"/>
    </w:rPr>
  </w:style>
  <w:style w:type="paragraph" w:styleId="NoSpacing">
    <w:name w:val="No Spacing"/>
    <w:link w:val="NoSpacingChar"/>
    <w:uiPriority w:val="1"/>
    <w:qFormat/>
    <w:rsid w:val="008339CA"/>
    <w:rPr>
      <w:rFonts w:ascii="Times New Roman" w:eastAsia="Times New Roman" w:hAnsi="Times New Roman"/>
      <w:sz w:val="22"/>
      <w:szCs w:val="22"/>
      <w:lang w:val="sq-AL" w:eastAsia="en-US"/>
    </w:rPr>
  </w:style>
  <w:style w:type="character" w:customStyle="1" w:styleId="NoSpacingChar">
    <w:name w:val="No Spacing Char"/>
    <w:link w:val="NoSpacing"/>
    <w:uiPriority w:val="1"/>
    <w:locked/>
    <w:rsid w:val="008339CA"/>
    <w:rPr>
      <w:rFonts w:ascii="Times New Roman" w:eastAsia="Times New Roman" w:hAnsi="Times New Roman"/>
      <w:sz w:val="22"/>
      <w:szCs w:val="22"/>
      <w:lang w:val="sq-AL" w:eastAsia="en-US" w:bidi="ar-SA"/>
    </w:rPr>
  </w:style>
  <w:style w:type="paragraph" w:customStyle="1" w:styleId="StyleStyleCentered">
    <w:name w:val="Style Style + Centered"/>
    <w:basedOn w:val="Normal"/>
    <w:qFormat/>
    <w:rsid w:val="00E627D5"/>
    <w:pPr>
      <w:widowControl w:val="0"/>
      <w:autoSpaceDE w:val="0"/>
      <w:autoSpaceDN w:val="0"/>
      <w:adjustRightInd w:val="0"/>
      <w:spacing w:after="0" w:line="240" w:lineRule="auto"/>
      <w:jc w:val="center"/>
    </w:pPr>
    <w:rPr>
      <w:rFonts w:ascii="Times New Roman" w:eastAsia="Times New Roman" w:hAnsi="Times New Roman"/>
      <w:sz w:val="24"/>
      <w:szCs w:val="20"/>
    </w:rPr>
  </w:style>
  <w:style w:type="character" w:customStyle="1" w:styleId="BodytextBold">
    <w:name w:val="Body text + Bold"/>
    <w:aliases w:val="Body text (2) + Not Bold,Spacing -1 pt,Scale 120%,Body text (15) + Bold,14 pt,Italic,Body text + 33 pt,29 pt,Body text + Candara"/>
    <w:rsid w:val="00A02DFE"/>
    <w:rPr>
      <w:rFonts w:ascii="Times New Roman" w:eastAsia="Times New Roman" w:hAnsi="Times New Roman" w:cs="Times New Roman"/>
      <w:b/>
      <w:bCs/>
      <w:color w:val="000000"/>
      <w:spacing w:val="0"/>
      <w:w w:val="100"/>
      <w:position w:val="0"/>
      <w:sz w:val="26"/>
      <w:szCs w:val="26"/>
      <w:shd w:val="clear" w:color="auto" w:fill="FFFFFF"/>
      <w:lang w:val="en-US"/>
    </w:rPr>
  </w:style>
  <w:style w:type="character" w:customStyle="1" w:styleId="Bodytext4">
    <w:name w:val="Body text (4)_"/>
    <w:link w:val="Bodytext40"/>
    <w:rsid w:val="00A02DFE"/>
    <w:rPr>
      <w:rFonts w:ascii="Times New Roman" w:eastAsia="Times New Roman" w:hAnsi="Times New Roman" w:cs="Times New Roman"/>
      <w:sz w:val="17"/>
      <w:szCs w:val="17"/>
      <w:shd w:val="clear" w:color="auto" w:fill="FFFFFF"/>
    </w:rPr>
  </w:style>
  <w:style w:type="paragraph" w:customStyle="1" w:styleId="Bodytext40">
    <w:name w:val="Body text (4)"/>
    <w:basedOn w:val="Normal"/>
    <w:link w:val="Bodytext4"/>
    <w:rsid w:val="00A02DFE"/>
    <w:pPr>
      <w:widowControl w:val="0"/>
      <w:shd w:val="clear" w:color="auto" w:fill="FFFFFF"/>
      <w:spacing w:after="0" w:line="205" w:lineRule="exact"/>
      <w:jc w:val="both"/>
    </w:pPr>
    <w:rPr>
      <w:rFonts w:ascii="Times New Roman" w:eastAsia="Times New Roman" w:hAnsi="Times New Roman"/>
      <w:sz w:val="17"/>
      <w:szCs w:val="17"/>
      <w:lang w:val="x-none" w:eastAsia="x-none"/>
    </w:rPr>
  </w:style>
  <w:style w:type="paragraph" w:styleId="Title">
    <w:name w:val="Title"/>
    <w:basedOn w:val="Normal"/>
    <w:link w:val="TitleChar"/>
    <w:qFormat/>
    <w:rsid w:val="00A02DFE"/>
    <w:pPr>
      <w:spacing w:after="0" w:line="240" w:lineRule="auto"/>
      <w:jc w:val="center"/>
    </w:pPr>
    <w:rPr>
      <w:rFonts w:ascii="Times New Roman" w:eastAsia="Times New Roman" w:hAnsi="Times New Roman"/>
      <w:sz w:val="28"/>
      <w:szCs w:val="28"/>
      <w:lang w:val="x-none" w:eastAsia="x-none"/>
    </w:rPr>
  </w:style>
  <w:style w:type="character" w:customStyle="1" w:styleId="TitleChar">
    <w:name w:val="Title Char"/>
    <w:link w:val="Title"/>
    <w:rsid w:val="00A02DFE"/>
    <w:rPr>
      <w:rFonts w:ascii="Times New Roman" w:eastAsia="Times New Roman" w:hAnsi="Times New Roman" w:cs="Times New Roman"/>
      <w:sz w:val="28"/>
      <w:szCs w:val="28"/>
    </w:rPr>
  </w:style>
  <w:style w:type="character" w:customStyle="1" w:styleId="Bodytext">
    <w:name w:val="Body text_"/>
    <w:link w:val="BodyText1"/>
    <w:locked/>
    <w:rsid w:val="00A02DFE"/>
    <w:rPr>
      <w:rFonts w:ascii="Times New Roman" w:eastAsia="Times New Roman" w:hAnsi="Times New Roman" w:cs="Times New Roman"/>
      <w:sz w:val="27"/>
      <w:szCs w:val="27"/>
      <w:shd w:val="clear" w:color="auto" w:fill="FFFFFF"/>
    </w:rPr>
  </w:style>
  <w:style w:type="paragraph" w:customStyle="1" w:styleId="BodyText1">
    <w:name w:val="Body Text1"/>
    <w:basedOn w:val="Normal"/>
    <w:link w:val="Bodytext"/>
    <w:rsid w:val="00A02DFE"/>
    <w:pPr>
      <w:widowControl w:val="0"/>
      <w:shd w:val="clear" w:color="auto" w:fill="FFFFFF"/>
      <w:spacing w:before="420" w:after="300" w:line="322" w:lineRule="exact"/>
      <w:jc w:val="both"/>
    </w:pPr>
    <w:rPr>
      <w:rFonts w:ascii="Times New Roman" w:eastAsia="Times New Roman" w:hAnsi="Times New Roman"/>
      <w:sz w:val="27"/>
      <w:szCs w:val="27"/>
      <w:lang w:val="x-none" w:eastAsia="x-none"/>
    </w:rPr>
  </w:style>
  <w:style w:type="character" w:customStyle="1" w:styleId="HeaderorfooterSegoeUI">
    <w:name w:val="Header or footer + Segoe UI"/>
    <w:aliases w:val="10.5 pt,Not Italic,Body text (5) + Bold,Body text (5) + 6.5 pt,Body text (4) + Bold,Body text (11) + Constantia,6.5 pt,Body text (12) + Constantia,Body text (10) + 4 pt,Body text + Italic,Spacing 0 pt,Body text (6) + Bold"/>
    <w:rsid w:val="00A02DFE"/>
    <w:rPr>
      <w:rFonts w:ascii="Segoe UI" w:eastAsia="Segoe UI" w:hAnsi="Segoe UI" w:cs="Segoe UI"/>
      <w:b w:val="0"/>
      <w:bCs w:val="0"/>
      <w:i/>
      <w:iCs/>
      <w:smallCaps w:val="0"/>
      <w:strike w:val="0"/>
      <w:color w:val="000000"/>
      <w:spacing w:val="0"/>
      <w:w w:val="100"/>
      <w:position w:val="0"/>
      <w:sz w:val="21"/>
      <w:szCs w:val="21"/>
      <w:u w:val="none"/>
    </w:rPr>
  </w:style>
  <w:style w:type="character" w:customStyle="1" w:styleId="Bodytext8">
    <w:name w:val="Body text (8)"/>
    <w:rsid w:val="00A02DFE"/>
    <w:rPr>
      <w:rFonts w:ascii="Book Antiqua" w:eastAsia="Book Antiqua" w:hAnsi="Book Antiqua" w:cs="Book Antiqua" w:hint="default"/>
      <w:b w:val="0"/>
      <w:bCs w:val="0"/>
      <w:i w:val="0"/>
      <w:iCs w:val="0"/>
      <w:smallCaps w:val="0"/>
      <w:strike w:val="0"/>
      <w:dstrike w:val="0"/>
      <w:color w:val="000000"/>
      <w:spacing w:val="0"/>
      <w:w w:val="100"/>
      <w:position w:val="0"/>
      <w:sz w:val="25"/>
      <w:szCs w:val="25"/>
      <w:u w:val="none"/>
      <w:effect w:val="none"/>
      <w:lang w:val="en-US"/>
    </w:rPr>
  </w:style>
  <w:style w:type="character" w:customStyle="1" w:styleId="Bodytext6">
    <w:name w:val="Body text (6)"/>
    <w:rsid w:val="00A02DFE"/>
    <w:rPr>
      <w:rFonts w:ascii="Sylfaen" w:eastAsia="Sylfaen" w:hAnsi="Sylfaen" w:cs="Sylfaen"/>
      <w:b w:val="0"/>
      <w:bCs w:val="0"/>
      <w:i w:val="0"/>
      <w:iCs w:val="0"/>
      <w:smallCaps w:val="0"/>
      <w:strike w:val="0"/>
      <w:color w:val="000000"/>
      <w:spacing w:val="-10"/>
      <w:w w:val="100"/>
      <w:position w:val="0"/>
      <w:sz w:val="27"/>
      <w:szCs w:val="27"/>
      <w:u w:val="none"/>
      <w:lang w:val="en-US"/>
    </w:rPr>
  </w:style>
  <w:style w:type="character" w:customStyle="1" w:styleId="Bodytext6Spacing0pt">
    <w:name w:val="Body text (6) + Spacing 0 pt"/>
    <w:rsid w:val="00A02DFE"/>
    <w:rPr>
      <w:rFonts w:ascii="Times New Roman" w:eastAsia="Times New Roman" w:hAnsi="Times New Roman" w:cs="Times New Roman"/>
      <w:b w:val="0"/>
      <w:bCs w:val="0"/>
      <w:i/>
      <w:iCs/>
      <w:smallCaps w:val="0"/>
      <w:strike w:val="0"/>
      <w:color w:val="000000"/>
      <w:spacing w:val="0"/>
      <w:w w:val="100"/>
      <w:position w:val="0"/>
      <w:sz w:val="18"/>
      <w:szCs w:val="18"/>
      <w:u w:val="none"/>
      <w:lang w:val="en-US"/>
    </w:rPr>
  </w:style>
  <w:style w:type="character" w:customStyle="1" w:styleId="Bodytext8NotItalic">
    <w:name w:val="Body text (8) + Not Italic"/>
    <w:rsid w:val="00A02DFE"/>
    <w:rPr>
      <w:rFonts w:ascii="Times New Roman" w:eastAsia="Times New Roman" w:hAnsi="Times New Roman" w:cs="Times New Roman"/>
      <w:b w:val="0"/>
      <w:bCs w:val="0"/>
      <w:i/>
      <w:iCs/>
      <w:smallCaps w:val="0"/>
      <w:strike w:val="0"/>
      <w:color w:val="000000"/>
      <w:spacing w:val="0"/>
      <w:w w:val="100"/>
      <w:position w:val="0"/>
      <w:sz w:val="18"/>
      <w:szCs w:val="18"/>
      <w:u w:val="none"/>
      <w:lang w:val="en-US"/>
    </w:rPr>
  </w:style>
  <w:style w:type="character" w:customStyle="1" w:styleId="Bodytext49pt">
    <w:name w:val="Body text (4) + 9 pt"/>
    <w:rsid w:val="00A02DFE"/>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en-US"/>
    </w:rPr>
  </w:style>
  <w:style w:type="character" w:customStyle="1" w:styleId="Bodytext10Bold">
    <w:name w:val="Body text (10) + Bold"/>
    <w:rsid w:val="00A02DFE"/>
    <w:rPr>
      <w:rFonts w:ascii="Calibri" w:eastAsia="Calibri" w:hAnsi="Calibri" w:cs="Calibri"/>
      <w:b/>
      <w:bCs/>
      <w:i w:val="0"/>
      <w:iCs w:val="0"/>
      <w:smallCaps w:val="0"/>
      <w:strike w:val="0"/>
      <w:color w:val="000000"/>
      <w:spacing w:val="0"/>
      <w:w w:val="100"/>
      <w:position w:val="0"/>
      <w:sz w:val="19"/>
      <w:szCs w:val="19"/>
      <w:u w:val="single"/>
      <w:lang w:val="en-US"/>
    </w:rPr>
  </w:style>
  <w:style w:type="character" w:customStyle="1" w:styleId="Bodytext8Spacing0pt">
    <w:name w:val="Body text (8) + Spacing 0 pt"/>
    <w:rsid w:val="00A02DFE"/>
    <w:rPr>
      <w:rFonts w:ascii="Times New Roman" w:eastAsia="Times New Roman" w:hAnsi="Times New Roman" w:cs="Times New Roman"/>
      <w:b w:val="0"/>
      <w:bCs w:val="0"/>
      <w:i/>
      <w:iCs/>
      <w:smallCaps w:val="0"/>
      <w:strike w:val="0"/>
      <w:color w:val="000000"/>
      <w:spacing w:val="-10"/>
      <w:w w:val="100"/>
      <w:position w:val="0"/>
      <w:sz w:val="18"/>
      <w:szCs w:val="18"/>
      <w:u w:val="single"/>
      <w:lang w:val="en-US"/>
    </w:rPr>
  </w:style>
  <w:style w:type="character" w:customStyle="1" w:styleId="Bodytext11">
    <w:name w:val="Body text (11)"/>
    <w:rsid w:val="00A02DFE"/>
    <w:rPr>
      <w:rFonts w:ascii="Calibri" w:eastAsia="Calibri" w:hAnsi="Calibri" w:cs="Calibri"/>
      <w:b/>
      <w:bCs/>
      <w:i w:val="0"/>
      <w:iCs w:val="0"/>
      <w:smallCaps w:val="0"/>
      <w:strike w:val="0"/>
      <w:color w:val="000000"/>
      <w:spacing w:val="0"/>
      <w:w w:val="100"/>
      <w:position w:val="0"/>
      <w:sz w:val="19"/>
      <w:szCs w:val="19"/>
      <w:u w:val="single"/>
      <w:lang w:val="en-US"/>
    </w:rPr>
  </w:style>
  <w:style w:type="character" w:customStyle="1" w:styleId="Bodytext11NotBold">
    <w:name w:val="Body text (11) + Not Bold"/>
    <w:rsid w:val="00A02DFE"/>
    <w:rPr>
      <w:rFonts w:ascii="Calibri" w:eastAsia="Calibri" w:hAnsi="Calibri" w:cs="Calibri"/>
      <w:b/>
      <w:bCs/>
      <w:i w:val="0"/>
      <w:iCs w:val="0"/>
      <w:smallCaps w:val="0"/>
      <w:strike w:val="0"/>
      <w:color w:val="000000"/>
      <w:spacing w:val="0"/>
      <w:w w:val="100"/>
      <w:position w:val="0"/>
      <w:sz w:val="19"/>
      <w:szCs w:val="19"/>
      <w:u w:val="none"/>
      <w:lang w:val="en-US"/>
    </w:rPr>
  </w:style>
  <w:style w:type="character" w:customStyle="1" w:styleId="Bodytext10">
    <w:name w:val="Body text (10)"/>
    <w:rsid w:val="00A02DFE"/>
    <w:rPr>
      <w:rFonts w:ascii="Calibri" w:eastAsia="Calibri" w:hAnsi="Calibri" w:cs="Calibri"/>
      <w:b w:val="0"/>
      <w:bCs w:val="0"/>
      <w:i w:val="0"/>
      <w:iCs w:val="0"/>
      <w:smallCaps w:val="0"/>
      <w:strike w:val="0"/>
      <w:color w:val="000000"/>
      <w:spacing w:val="0"/>
      <w:w w:val="100"/>
      <w:position w:val="0"/>
      <w:sz w:val="19"/>
      <w:szCs w:val="19"/>
      <w:u w:val="single"/>
      <w:lang w:val="en-US"/>
    </w:rPr>
  </w:style>
  <w:style w:type="character" w:customStyle="1" w:styleId="Bodytext9">
    <w:name w:val="Body text (9)"/>
    <w:rsid w:val="00A02DFE"/>
    <w:rPr>
      <w:rFonts w:ascii="Calibri" w:eastAsia="Calibri" w:hAnsi="Calibri" w:cs="Calibri"/>
      <w:b w:val="0"/>
      <w:bCs w:val="0"/>
      <w:i/>
      <w:iCs/>
      <w:smallCaps w:val="0"/>
      <w:strike w:val="0"/>
      <w:color w:val="000000"/>
      <w:spacing w:val="0"/>
      <w:w w:val="100"/>
      <w:position w:val="0"/>
      <w:sz w:val="19"/>
      <w:szCs w:val="19"/>
      <w:u w:val="single"/>
      <w:lang w:val="en-US"/>
    </w:rPr>
  </w:style>
  <w:style w:type="character" w:customStyle="1" w:styleId="Bodytext10Italic">
    <w:name w:val="Body text (10) + Italic"/>
    <w:rsid w:val="00A02DFE"/>
    <w:rPr>
      <w:rFonts w:ascii="Calibri" w:eastAsia="Calibri" w:hAnsi="Calibri" w:cs="Calibri"/>
      <w:b w:val="0"/>
      <w:bCs w:val="0"/>
      <w:i/>
      <w:iCs/>
      <w:smallCaps w:val="0"/>
      <w:strike w:val="0"/>
      <w:color w:val="000000"/>
      <w:spacing w:val="0"/>
      <w:w w:val="100"/>
      <w:position w:val="0"/>
      <w:sz w:val="19"/>
      <w:szCs w:val="19"/>
      <w:u w:val="single"/>
      <w:lang w:val="en-US"/>
    </w:rPr>
  </w:style>
  <w:style w:type="character" w:customStyle="1" w:styleId="Bodytext12NotBold">
    <w:name w:val="Body text (12) + Not Bold"/>
    <w:rsid w:val="00A02DFE"/>
    <w:rPr>
      <w:rFonts w:ascii="Calibri" w:eastAsia="Calibri" w:hAnsi="Calibri" w:cs="Calibri"/>
      <w:b/>
      <w:bCs/>
      <w:i/>
      <w:iCs/>
      <w:smallCaps w:val="0"/>
      <w:strike w:val="0"/>
      <w:color w:val="000000"/>
      <w:spacing w:val="0"/>
      <w:w w:val="100"/>
      <w:position w:val="0"/>
      <w:sz w:val="19"/>
      <w:szCs w:val="19"/>
      <w:u w:val="single"/>
      <w:lang w:val="en-US"/>
    </w:rPr>
  </w:style>
  <w:style w:type="character" w:customStyle="1" w:styleId="Bodytext12">
    <w:name w:val="Body text (12)"/>
    <w:rsid w:val="00A02DFE"/>
    <w:rPr>
      <w:rFonts w:ascii="Calibri" w:eastAsia="Calibri" w:hAnsi="Calibri" w:cs="Calibri"/>
      <w:b/>
      <w:bCs/>
      <w:i/>
      <w:iCs/>
      <w:smallCaps w:val="0"/>
      <w:strike w:val="0"/>
      <w:color w:val="000000"/>
      <w:spacing w:val="0"/>
      <w:w w:val="100"/>
      <w:position w:val="0"/>
      <w:sz w:val="19"/>
      <w:szCs w:val="19"/>
      <w:u w:val="single"/>
      <w:lang w:val="en-US"/>
    </w:rPr>
  </w:style>
  <w:style w:type="character" w:customStyle="1" w:styleId="Bodytext13">
    <w:name w:val="Body text (13)"/>
    <w:rsid w:val="00A02DFE"/>
    <w:rPr>
      <w:rFonts w:ascii="Calibri" w:eastAsia="Calibri" w:hAnsi="Calibri" w:cs="Calibri"/>
      <w:b w:val="0"/>
      <w:bCs w:val="0"/>
      <w:i w:val="0"/>
      <w:iCs w:val="0"/>
      <w:smallCaps w:val="0"/>
      <w:strike w:val="0"/>
      <w:color w:val="000000"/>
      <w:spacing w:val="0"/>
      <w:w w:val="100"/>
      <w:position w:val="0"/>
      <w:sz w:val="19"/>
      <w:szCs w:val="19"/>
      <w:u w:val="single"/>
      <w:lang w:val="en-US"/>
    </w:rPr>
  </w:style>
  <w:style w:type="character" w:customStyle="1" w:styleId="Bodytext13Bold">
    <w:name w:val="Body text (13) + Bold"/>
    <w:rsid w:val="00A02DFE"/>
    <w:rPr>
      <w:rFonts w:ascii="Calibri" w:eastAsia="Calibri" w:hAnsi="Calibri" w:cs="Calibri"/>
      <w:b/>
      <w:bCs/>
      <w:i w:val="0"/>
      <w:iCs w:val="0"/>
      <w:smallCaps w:val="0"/>
      <w:strike w:val="0"/>
      <w:color w:val="000000"/>
      <w:spacing w:val="0"/>
      <w:w w:val="100"/>
      <w:position w:val="0"/>
      <w:sz w:val="19"/>
      <w:szCs w:val="19"/>
      <w:u w:val="none"/>
      <w:lang w:val="en-US"/>
    </w:rPr>
  </w:style>
  <w:style w:type="character" w:customStyle="1" w:styleId="Bodytext2">
    <w:name w:val="Body text (2)"/>
    <w:rsid w:val="00C91990"/>
    <w:rPr>
      <w:rFonts w:ascii="Times New Roman" w:eastAsia="Times New Roman" w:hAnsi="Times New Roman" w:cs="Times New Roman"/>
      <w:b/>
      <w:bCs/>
      <w:i w:val="0"/>
      <w:iCs w:val="0"/>
      <w:smallCaps w:val="0"/>
      <w:strike w:val="0"/>
      <w:color w:val="000000"/>
      <w:spacing w:val="0"/>
      <w:w w:val="100"/>
      <w:position w:val="0"/>
      <w:sz w:val="32"/>
      <w:szCs w:val="32"/>
      <w:u w:val="single"/>
      <w:lang w:val="it-IT" w:eastAsia="it-IT" w:bidi="it-IT"/>
    </w:rPr>
  </w:style>
  <w:style w:type="paragraph" w:styleId="Subtitle">
    <w:name w:val="Subtitle"/>
    <w:basedOn w:val="Normal"/>
    <w:link w:val="SubtitleChar"/>
    <w:qFormat/>
    <w:rsid w:val="00C91990"/>
    <w:pPr>
      <w:spacing w:after="0" w:line="240" w:lineRule="auto"/>
      <w:jc w:val="center"/>
    </w:pPr>
    <w:rPr>
      <w:rFonts w:ascii="Times New Roman" w:eastAsia="Times New Roman" w:hAnsi="Times New Roman"/>
      <w:i/>
      <w:sz w:val="28"/>
      <w:szCs w:val="20"/>
      <w:lang w:val="sq-AL" w:eastAsia="x-none"/>
    </w:rPr>
  </w:style>
  <w:style w:type="character" w:customStyle="1" w:styleId="SubtitleChar">
    <w:name w:val="Subtitle Char"/>
    <w:link w:val="Subtitle"/>
    <w:rsid w:val="00C91990"/>
    <w:rPr>
      <w:rFonts w:ascii="Times New Roman" w:eastAsia="Times New Roman" w:hAnsi="Times New Roman" w:cs="Times New Roman"/>
      <w:i/>
      <w:sz w:val="28"/>
      <w:szCs w:val="20"/>
      <w:lang w:val="sq-AL"/>
    </w:rPr>
  </w:style>
  <w:style w:type="paragraph" w:styleId="Header">
    <w:name w:val="header"/>
    <w:basedOn w:val="Normal"/>
    <w:link w:val="HeaderChar"/>
    <w:uiPriority w:val="99"/>
    <w:unhideWhenUsed/>
    <w:rsid w:val="000F3EB8"/>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0F3EB8"/>
    <w:rPr>
      <w:rFonts w:ascii="Calibri" w:eastAsia="Calibri" w:hAnsi="Calibri" w:cs="Times New Roman"/>
    </w:rPr>
  </w:style>
  <w:style w:type="character" w:customStyle="1" w:styleId="BodyText14">
    <w:name w:val="Body Text1"/>
    <w:rsid w:val="00EA0427"/>
    <w:rPr>
      <w:rFonts w:ascii="Times New Roman" w:eastAsia="Times New Roman" w:hAnsi="Times New Roman" w:cs="Times New Roman"/>
      <w:b w:val="0"/>
      <w:bCs w:val="0"/>
      <w:i w:val="0"/>
      <w:iCs w:val="0"/>
      <w:smallCaps w:val="0"/>
      <w:strike w:val="0"/>
      <w:color w:val="000000"/>
      <w:spacing w:val="0"/>
      <w:w w:val="100"/>
      <w:position w:val="0"/>
      <w:sz w:val="32"/>
      <w:szCs w:val="32"/>
      <w:u w:val="single"/>
      <w:lang w:val="it-IT" w:eastAsia="it-IT" w:bidi="it-IT"/>
    </w:rPr>
  </w:style>
  <w:style w:type="paragraph" w:styleId="CommentText">
    <w:name w:val="annotation text"/>
    <w:basedOn w:val="Normal"/>
    <w:link w:val="CommentTextChar"/>
    <w:uiPriority w:val="99"/>
    <w:semiHidden/>
    <w:unhideWhenUsed/>
    <w:rsid w:val="00EA0427"/>
    <w:pPr>
      <w:spacing w:after="0" w:line="240" w:lineRule="auto"/>
    </w:pPr>
    <w:rPr>
      <w:rFonts w:ascii="Times New Roman" w:eastAsia="Times New Roman" w:hAnsi="Times New Roman"/>
      <w:sz w:val="20"/>
      <w:szCs w:val="20"/>
      <w:lang w:val="x-none" w:eastAsia="x-none"/>
    </w:rPr>
  </w:style>
  <w:style w:type="character" w:customStyle="1" w:styleId="CommentTextChar">
    <w:name w:val="Comment Text Char"/>
    <w:link w:val="CommentText"/>
    <w:uiPriority w:val="99"/>
    <w:semiHidden/>
    <w:rsid w:val="00EA042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A0427"/>
    <w:pPr>
      <w:spacing w:after="200"/>
    </w:pPr>
    <w:rPr>
      <w:b/>
      <w:bCs/>
    </w:rPr>
  </w:style>
  <w:style w:type="character" w:customStyle="1" w:styleId="CommentSubjectChar">
    <w:name w:val="Comment Subject Char"/>
    <w:link w:val="CommentSubject"/>
    <w:uiPriority w:val="99"/>
    <w:semiHidden/>
    <w:rsid w:val="00EA0427"/>
    <w:rPr>
      <w:rFonts w:ascii="Times New Roman" w:eastAsia="Times New Roman" w:hAnsi="Times New Roman" w:cs="Times New Roman"/>
      <w:b/>
      <w:bCs/>
      <w:sz w:val="20"/>
      <w:szCs w:val="20"/>
    </w:rPr>
  </w:style>
  <w:style w:type="paragraph" w:styleId="z-BottomofForm">
    <w:name w:val="HTML Bottom of Form"/>
    <w:basedOn w:val="Normal"/>
    <w:next w:val="Normal"/>
    <w:link w:val="z-BottomofFormChar"/>
    <w:hidden/>
    <w:uiPriority w:val="99"/>
    <w:semiHidden/>
    <w:unhideWhenUsed/>
    <w:rsid w:val="00753095"/>
    <w:pPr>
      <w:pBdr>
        <w:top w:val="single" w:sz="6" w:space="1" w:color="auto"/>
      </w:pBdr>
      <w:spacing w:after="0"/>
      <w:jc w:val="center"/>
    </w:pPr>
    <w:rPr>
      <w:rFonts w:ascii="Arial" w:hAnsi="Arial"/>
      <w:vanish/>
      <w:sz w:val="16"/>
      <w:szCs w:val="16"/>
      <w:lang w:val="x-none" w:eastAsia="x-none"/>
    </w:rPr>
  </w:style>
  <w:style w:type="character" w:customStyle="1" w:styleId="z-BottomofFormChar">
    <w:name w:val="z-Bottom of Form Char"/>
    <w:link w:val="z-BottomofForm"/>
    <w:uiPriority w:val="99"/>
    <w:semiHidden/>
    <w:rsid w:val="00753095"/>
    <w:rPr>
      <w:rFonts w:ascii="Arial" w:hAnsi="Arial" w:cs="Arial"/>
      <w:vanish/>
      <w:sz w:val="16"/>
      <w:szCs w:val="16"/>
    </w:rPr>
  </w:style>
  <w:style w:type="paragraph" w:styleId="BodyText20">
    <w:name w:val="Body Text 2"/>
    <w:basedOn w:val="Normal"/>
    <w:link w:val="BodyText2Char"/>
    <w:uiPriority w:val="99"/>
    <w:semiHidden/>
    <w:unhideWhenUsed/>
    <w:rsid w:val="00BE65BE"/>
    <w:pPr>
      <w:spacing w:after="120" w:line="480" w:lineRule="auto"/>
    </w:pPr>
    <w:rPr>
      <w:rFonts w:eastAsia="Times New Roman"/>
      <w:sz w:val="20"/>
      <w:szCs w:val="20"/>
      <w:lang w:val="x-none" w:eastAsia="x-none"/>
    </w:rPr>
  </w:style>
  <w:style w:type="character" w:customStyle="1" w:styleId="BodyText2Char">
    <w:name w:val="Body Text 2 Char"/>
    <w:link w:val="BodyText20"/>
    <w:uiPriority w:val="99"/>
    <w:semiHidden/>
    <w:rsid w:val="00BE65BE"/>
    <w:rPr>
      <w:rFonts w:ascii="Calibri" w:eastAsia="Times New Roman" w:hAnsi="Calibri" w:cs="Times New Roman"/>
    </w:rPr>
  </w:style>
  <w:style w:type="paragraph" w:customStyle="1" w:styleId="paragraph">
    <w:name w:val="paragraph"/>
    <w:basedOn w:val="Normal"/>
    <w:rsid w:val="00AE59C0"/>
    <w:pPr>
      <w:spacing w:before="100" w:beforeAutospacing="1" w:after="100" w:afterAutospacing="1" w:line="240" w:lineRule="auto"/>
    </w:pPr>
    <w:rPr>
      <w:rFonts w:ascii="Times New Roman" w:eastAsia="Times New Roman" w:hAnsi="Times New Roman"/>
      <w:sz w:val="24"/>
      <w:szCs w:val="24"/>
      <w:lang w:val="sq-AL" w:eastAsia="sq-AL"/>
    </w:rPr>
  </w:style>
  <w:style w:type="character" w:customStyle="1" w:styleId="eop">
    <w:name w:val="eop"/>
    <w:basedOn w:val="DefaultParagraphFont"/>
    <w:rsid w:val="00AE59C0"/>
  </w:style>
  <w:style w:type="character" w:customStyle="1" w:styleId="normaltextrun">
    <w:name w:val="normaltextrun"/>
    <w:basedOn w:val="DefaultParagraphFont"/>
    <w:rsid w:val="00AE59C0"/>
  </w:style>
  <w:style w:type="paragraph" w:styleId="FootnoteText">
    <w:name w:val="footnote text"/>
    <w:basedOn w:val="Normal"/>
    <w:link w:val="FootnoteTextChar"/>
    <w:uiPriority w:val="99"/>
    <w:semiHidden/>
    <w:unhideWhenUsed/>
    <w:rsid w:val="00AE59C0"/>
    <w:pPr>
      <w:spacing w:after="0" w:line="240" w:lineRule="auto"/>
    </w:pPr>
    <w:rPr>
      <w:rFonts w:ascii="Times New Roman" w:eastAsia="Times New Roman" w:hAnsi="Times New Roman"/>
      <w:sz w:val="20"/>
      <w:szCs w:val="20"/>
    </w:rPr>
  </w:style>
  <w:style w:type="character" w:customStyle="1" w:styleId="FootnoteTextChar">
    <w:name w:val="Footnote Text Char"/>
    <w:link w:val="FootnoteText"/>
    <w:uiPriority w:val="99"/>
    <w:semiHidden/>
    <w:rsid w:val="00AE59C0"/>
    <w:rPr>
      <w:rFonts w:ascii="Times New Roman" w:eastAsia="Times New Roman" w:hAnsi="Times New Roman"/>
      <w:lang w:val="en-US" w:eastAsia="en-US"/>
    </w:rPr>
  </w:style>
  <w:style w:type="paragraph" w:customStyle="1" w:styleId="Default">
    <w:name w:val="Default"/>
    <w:rsid w:val="00AE59C0"/>
    <w:pPr>
      <w:autoSpaceDE w:val="0"/>
      <w:autoSpaceDN w:val="0"/>
      <w:adjustRightInd w:val="0"/>
    </w:pPr>
    <w:rPr>
      <w:rFonts w:ascii="Times New Roman" w:hAnsi="Times New Roman"/>
      <w:color w:val="000000"/>
      <w:sz w:val="24"/>
      <w:szCs w:val="24"/>
      <w:lang w:val="en-US" w:eastAsia="en-US"/>
    </w:rPr>
  </w:style>
  <w:style w:type="paragraph" w:customStyle="1" w:styleId="default0">
    <w:name w:val="default"/>
    <w:basedOn w:val="Normal"/>
    <w:rsid w:val="00AE59C0"/>
    <w:pPr>
      <w:spacing w:before="100" w:beforeAutospacing="1" w:after="100" w:afterAutospacing="1" w:line="240" w:lineRule="auto"/>
    </w:pPr>
    <w:rPr>
      <w:rFonts w:ascii="Times New Roman" w:eastAsia="Times New Roman" w:hAnsi="Times New Roman"/>
      <w:sz w:val="24"/>
      <w:szCs w:val="24"/>
    </w:rPr>
  </w:style>
  <w:style w:type="paragraph" w:styleId="Revision">
    <w:name w:val="Revision"/>
    <w:hidden/>
    <w:uiPriority w:val="99"/>
    <w:semiHidden/>
    <w:rsid w:val="00E577CC"/>
    <w:rPr>
      <w:sz w:val="22"/>
      <w:szCs w:val="22"/>
      <w:lang w:val="en-US" w:eastAsia="en-US"/>
    </w:rPr>
  </w:style>
  <w:style w:type="table" w:styleId="TableGrid">
    <w:name w:val="Table Grid"/>
    <w:basedOn w:val="TableNormal"/>
    <w:uiPriority w:val="59"/>
    <w:rsid w:val="00831D1E"/>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31D1E"/>
    <w:pPr>
      <w:spacing w:before="100" w:beforeAutospacing="1" w:after="100" w:afterAutospacing="1" w:line="240" w:lineRule="auto"/>
    </w:pPr>
    <w:rPr>
      <w:rFonts w:ascii="Times New Roman" w:eastAsia="Times New Roman" w:hAnsi="Times New Roman"/>
      <w:sz w:val="24"/>
      <w:szCs w:val="24"/>
    </w:rPr>
  </w:style>
  <w:style w:type="paragraph" w:styleId="BodyTextIndent3">
    <w:name w:val="Body Text Indent 3"/>
    <w:basedOn w:val="Normal"/>
    <w:link w:val="BodyTextIndent3Char"/>
    <w:uiPriority w:val="99"/>
    <w:unhideWhenUsed/>
    <w:rsid w:val="006A45DA"/>
    <w:pPr>
      <w:spacing w:after="120" w:line="240" w:lineRule="auto"/>
      <w:ind w:left="360"/>
    </w:pPr>
    <w:rPr>
      <w:rFonts w:ascii="Times New Roman" w:eastAsia="Times New Roman" w:hAnsi="Times New Roman"/>
      <w:sz w:val="16"/>
      <w:szCs w:val="16"/>
    </w:rPr>
  </w:style>
  <w:style w:type="character" w:customStyle="1" w:styleId="BodyTextIndent3Char">
    <w:name w:val="Body Text Indent 3 Char"/>
    <w:link w:val="BodyTextIndent3"/>
    <w:uiPriority w:val="99"/>
    <w:rsid w:val="006A45DA"/>
    <w:rPr>
      <w:rFonts w:ascii="Times New Roman" w:eastAsia="Times New Roman" w:hAnsi="Times New Roman"/>
      <w:sz w:val="16"/>
      <w:szCs w:val="16"/>
      <w:lang w:val="en-US" w:eastAsia="en-US"/>
    </w:rPr>
  </w:style>
  <w:style w:type="character" w:customStyle="1" w:styleId="Bodytext3">
    <w:name w:val="Body text (3)_"/>
    <w:link w:val="Bodytext30"/>
    <w:rsid w:val="00482BEF"/>
    <w:rPr>
      <w:rFonts w:ascii="Times New Roman" w:eastAsia="Times New Roman" w:hAnsi="Times New Roman"/>
      <w:b/>
      <w:bCs/>
      <w:shd w:val="clear" w:color="auto" w:fill="FFFFFF"/>
    </w:rPr>
  </w:style>
  <w:style w:type="paragraph" w:customStyle="1" w:styleId="Bodytext30">
    <w:name w:val="Body text (3)"/>
    <w:basedOn w:val="Normal"/>
    <w:link w:val="Bodytext3"/>
    <w:rsid w:val="00482BEF"/>
    <w:pPr>
      <w:widowControl w:val="0"/>
      <w:shd w:val="clear" w:color="auto" w:fill="FFFFFF"/>
      <w:spacing w:after="0" w:line="298" w:lineRule="exact"/>
      <w:jc w:val="center"/>
    </w:pPr>
    <w:rPr>
      <w:rFonts w:ascii="Times New Roman" w:eastAsia="Times New Roman" w:hAnsi="Times New Roman"/>
      <w:b/>
      <w:bCs/>
      <w:sz w:val="20"/>
      <w:szCs w:val="20"/>
      <w:lang w:val="x-none" w:eastAsia="x-none"/>
    </w:rPr>
  </w:style>
  <w:style w:type="character" w:customStyle="1" w:styleId="Bodytext21">
    <w:name w:val="Body text (2)_"/>
    <w:rsid w:val="00482BEF"/>
    <w:rPr>
      <w:rFonts w:ascii="Times New Roman" w:eastAsia="Times New Roman" w:hAnsi="Times New Roman" w:cs="Times New Roman"/>
      <w:shd w:val="clear" w:color="auto" w:fill="FFFFFF"/>
    </w:rPr>
  </w:style>
  <w:style w:type="character" w:customStyle="1" w:styleId="Bodytext4NotItalic">
    <w:name w:val="Body text (4) + Not Italic"/>
    <w:rsid w:val="00482BEF"/>
    <w:rPr>
      <w:rFonts w:ascii="Times New Roman" w:eastAsia="Times New Roman" w:hAnsi="Times New Roman" w:cs="Times New Roman"/>
      <w:i/>
      <w:iCs/>
      <w:color w:val="000000"/>
      <w:spacing w:val="0"/>
      <w:w w:val="100"/>
      <w:position w:val="0"/>
      <w:sz w:val="17"/>
      <w:szCs w:val="17"/>
      <w:shd w:val="clear" w:color="auto" w:fill="FFFFFF"/>
      <w:lang w:val="it-IT" w:eastAsia="it-IT" w:bidi="it-IT"/>
    </w:rPr>
  </w:style>
  <w:style w:type="character" w:customStyle="1" w:styleId="Bodytext7">
    <w:name w:val="Body text (7)_"/>
    <w:link w:val="Bodytext70"/>
    <w:rsid w:val="00482BEF"/>
    <w:rPr>
      <w:rFonts w:ascii="Times New Roman" w:eastAsia="Times New Roman" w:hAnsi="Times New Roman"/>
      <w:b/>
      <w:bCs/>
      <w:i/>
      <w:iCs/>
      <w:shd w:val="clear" w:color="auto" w:fill="FFFFFF"/>
    </w:rPr>
  </w:style>
  <w:style w:type="paragraph" w:customStyle="1" w:styleId="Bodytext70">
    <w:name w:val="Body text (7)"/>
    <w:basedOn w:val="Normal"/>
    <w:link w:val="Bodytext7"/>
    <w:rsid w:val="00482BEF"/>
    <w:pPr>
      <w:widowControl w:val="0"/>
      <w:shd w:val="clear" w:color="auto" w:fill="FFFFFF"/>
      <w:spacing w:before="360" w:after="0" w:line="398" w:lineRule="exact"/>
      <w:jc w:val="both"/>
    </w:pPr>
    <w:rPr>
      <w:rFonts w:ascii="Times New Roman" w:eastAsia="Times New Roman" w:hAnsi="Times New Roman"/>
      <w:b/>
      <w:bCs/>
      <w:i/>
      <w:iCs/>
      <w:sz w:val="20"/>
      <w:szCs w:val="20"/>
      <w:lang w:val="x-none" w:eastAsia="x-none"/>
    </w:rPr>
  </w:style>
  <w:style w:type="character" w:customStyle="1" w:styleId="Bodytext3Spacing3pt">
    <w:name w:val="Body text (3) + Spacing 3 pt"/>
    <w:rsid w:val="00E2102F"/>
    <w:rPr>
      <w:rFonts w:ascii="Times New Roman" w:eastAsia="Times New Roman" w:hAnsi="Times New Roman" w:cs="Times New Roman"/>
      <w:b w:val="0"/>
      <w:bCs w:val="0"/>
      <w:color w:val="000000"/>
      <w:spacing w:val="60"/>
      <w:w w:val="100"/>
      <w:position w:val="0"/>
      <w:shd w:val="clear" w:color="auto" w:fill="FFFFFF"/>
      <w:lang w:val="it-IT" w:eastAsia="it-IT" w:bidi="it-IT"/>
    </w:rPr>
  </w:style>
  <w:style w:type="character" w:customStyle="1" w:styleId="Bodytext4Exact">
    <w:name w:val="Body text (4) Exact"/>
    <w:rsid w:val="00E2102F"/>
    <w:rPr>
      <w:rFonts w:ascii="Times New Roman" w:eastAsia="Times New Roman" w:hAnsi="Times New Roman" w:cs="Times New Roman"/>
      <w:b w:val="0"/>
      <w:bCs w:val="0"/>
      <w:i/>
      <w:iCs/>
      <w:smallCaps w:val="0"/>
      <w:strike w:val="0"/>
      <w:sz w:val="22"/>
      <w:szCs w:val="22"/>
      <w:u w:val="none"/>
    </w:rPr>
  </w:style>
  <w:style w:type="character" w:customStyle="1" w:styleId="Bodytext5">
    <w:name w:val="Body text (5)_"/>
    <w:link w:val="Bodytext50"/>
    <w:rsid w:val="00E2102F"/>
    <w:rPr>
      <w:rFonts w:ascii="Times New Roman" w:eastAsia="Times New Roman" w:hAnsi="Times New Roman"/>
      <w:i/>
      <w:iCs/>
      <w:shd w:val="clear" w:color="auto" w:fill="FFFFFF"/>
    </w:rPr>
  </w:style>
  <w:style w:type="character" w:customStyle="1" w:styleId="Bodytext2Italic">
    <w:name w:val="Body text (2) + Italic"/>
    <w:rsid w:val="00E2102F"/>
    <w:rPr>
      <w:rFonts w:ascii="Times New Roman" w:eastAsia="Times New Roman" w:hAnsi="Times New Roman" w:cs="Times New Roman"/>
      <w:i/>
      <w:iCs/>
      <w:color w:val="000000"/>
      <w:spacing w:val="0"/>
      <w:w w:val="100"/>
      <w:position w:val="0"/>
      <w:shd w:val="clear" w:color="auto" w:fill="FFFFFF"/>
      <w:lang w:val="it-IT" w:eastAsia="it-IT" w:bidi="it-IT"/>
    </w:rPr>
  </w:style>
  <w:style w:type="paragraph" w:customStyle="1" w:styleId="Bodytext50">
    <w:name w:val="Body text (5)"/>
    <w:basedOn w:val="Normal"/>
    <w:link w:val="Bodytext5"/>
    <w:rsid w:val="00E2102F"/>
    <w:pPr>
      <w:widowControl w:val="0"/>
      <w:shd w:val="clear" w:color="auto" w:fill="FFFFFF"/>
      <w:spacing w:after="0" w:line="802" w:lineRule="exact"/>
      <w:jc w:val="both"/>
    </w:pPr>
    <w:rPr>
      <w:rFonts w:ascii="Times New Roman" w:eastAsia="Times New Roman" w:hAnsi="Times New Roman"/>
      <w:i/>
      <w:iCs/>
      <w:sz w:val="20"/>
      <w:szCs w:val="20"/>
      <w:lang w:val="x-none" w:eastAsia="x-none"/>
    </w:rPr>
  </w:style>
  <w:style w:type="paragraph" w:customStyle="1" w:styleId="a0">
    <w:name w:val="a0"/>
    <w:basedOn w:val="Normal"/>
    <w:rsid w:val="00E2102F"/>
    <w:pPr>
      <w:spacing w:before="100" w:beforeAutospacing="1" w:after="100" w:afterAutospacing="1" w:line="240" w:lineRule="auto"/>
      <w:jc w:val="center"/>
    </w:pPr>
    <w:rPr>
      <w:rFonts w:ascii="Times New Roman" w:eastAsia="Times New Roman" w:hAnsi="Times New Roman"/>
      <w:sz w:val="24"/>
      <w:szCs w:val="24"/>
    </w:rPr>
  </w:style>
  <w:style w:type="paragraph" w:customStyle="1" w:styleId="a1">
    <w:name w:val="a1"/>
    <w:basedOn w:val="Normal"/>
    <w:rsid w:val="00E2102F"/>
    <w:pPr>
      <w:spacing w:before="100" w:beforeAutospacing="1" w:after="100" w:afterAutospacing="1" w:line="240" w:lineRule="auto"/>
      <w:jc w:val="both"/>
    </w:pPr>
    <w:rPr>
      <w:rFonts w:ascii="Times New Roman" w:eastAsia="Times New Roman" w:hAnsi="Times New Roman"/>
      <w:sz w:val="24"/>
      <w:szCs w:val="24"/>
    </w:rPr>
  </w:style>
  <w:style w:type="character" w:customStyle="1" w:styleId="f11">
    <w:name w:val="f11"/>
    <w:rsid w:val="00E2102F"/>
    <w:rPr>
      <w:rFonts w:ascii="Times New Roman" w:hAnsi="Times New Roman" w:cs="Times New Roman" w:hint="default"/>
      <w:color w:val="000000"/>
      <w:sz w:val="22"/>
      <w:szCs w:val="22"/>
    </w:rPr>
  </w:style>
  <w:style w:type="character" w:customStyle="1" w:styleId="f21">
    <w:name w:val="f21"/>
    <w:rsid w:val="00E2102F"/>
    <w:rPr>
      <w:rFonts w:ascii="Times New Roman" w:hAnsi="Times New Roman" w:cs="Times New Roman" w:hint="default"/>
      <w:color w:val="000000"/>
      <w:sz w:val="24"/>
      <w:szCs w:val="24"/>
    </w:rPr>
  </w:style>
  <w:style w:type="paragraph" w:customStyle="1" w:styleId="a2">
    <w:name w:val="a2"/>
    <w:basedOn w:val="Normal"/>
    <w:rsid w:val="00E2102F"/>
    <w:pPr>
      <w:spacing w:before="100" w:beforeAutospacing="1" w:after="100" w:afterAutospacing="1" w:line="240" w:lineRule="auto"/>
      <w:jc w:val="both"/>
    </w:pPr>
    <w:rPr>
      <w:rFonts w:ascii="Times New Roman" w:eastAsia="Times New Roman" w:hAnsi="Times New Roman"/>
      <w:sz w:val="24"/>
      <w:szCs w:val="24"/>
    </w:rPr>
  </w:style>
  <w:style w:type="character" w:customStyle="1" w:styleId="f41">
    <w:name w:val="f41"/>
    <w:rsid w:val="00E2102F"/>
    <w:rPr>
      <w:rFonts w:ascii="Calibri" w:hAnsi="Calibri" w:cs="Calibri" w:hint="default"/>
      <w:sz w:val="22"/>
      <w:szCs w:val="22"/>
    </w:rPr>
  </w:style>
  <w:style w:type="character" w:customStyle="1" w:styleId="f31">
    <w:name w:val="f31"/>
    <w:rsid w:val="00E2102F"/>
    <w:rPr>
      <w:rFonts w:ascii="Calibri" w:hAnsi="Calibri" w:cs="Calibri" w:hint="default"/>
      <w:color w:val="0000CC"/>
      <w:sz w:val="22"/>
      <w:szCs w:val="22"/>
    </w:rPr>
  </w:style>
  <w:style w:type="paragraph" w:styleId="BodyText0">
    <w:name w:val="Body Text"/>
    <w:basedOn w:val="Normal"/>
    <w:link w:val="BodyTextChar"/>
    <w:uiPriority w:val="99"/>
    <w:unhideWhenUsed/>
    <w:rsid w:val="007425A0"/>
    <w:pPr>
      <w:widowControl w:val="0"/>
      <w:spacing w:after="120" w:line="240" w:lineRule="auto"/>
    </w:pPr>
    <w:rPr>
      <w:rFonts w:ascii="Arial Unicode MS" w:eastAsia="Arial Unicode MS" w:hAnsi="Arial Unicode MS" w:cs="Arial Unicode MS"/>
      <w:color w:val="000000"/>
      <w:sz w:val="24"/>
      <w:szCs w:val="24"/>
      <w:lang w:val="it-IT" w:eastAsia="it-IT" w:bidi="it-IT"/>
    </w:rPr>
  </w:style>
  <w:style w:type="character" w:customStyle="1" w:styleId="BodyTextChar">
    <w:name w:val="Body Text Char"/>
    <w:link w:val="BodyText0"/>
    <w:uiPriority w:val="99"/>
    <w:rsid w:val="007425A0"/>
    <w:rPr>
      <w:rFonts w:ascii="Arial Unicode MS" w:eastAsia="Arial Unicode MS" w:hAnsi="Arial Unicode MS" w:cs="Arial Unicode MS"/>
      <w:color w:val="000000"/>
      <w:sz w:val="24"/>
      <w:szCs w:val="24"/>
      <w:lang w:val="it-IT" w:eastAsia="it-IT" w:bidi="it-IT"/>
    </w:rPr>
  </w:style>
  <w:style w:type="paragraph" w:customStyle="1" w:styleId="Style22">
    <w:name w:val="Style22"/>
    <w:basedOn w:val="Normal"/>
    <w:qFormat/>
    <w:rsid w:val="007425A0"/>
    <w:pPr>
      <w:spacing w:after="0" w:line="240" w:lineRule="auto"/>
      <w:jc w:val="center"/>
    </w:pPr>
    <w:rPr>
      <w:rFonts w:ascii="Times New Roman" w:eastAsia="Times New Roman" w:hAnsi="Times New Roman"/>
      <w:sz w:val="24"/>
      <w:szCs w:val="24"/>
      <w:lang w:val="sq-AL"/>
    </w:rPr>
  </w:style>
  <w:style w:type="character" w:styleId="Strong">
    <w:name w:val="Strong"/>
    <w:basedOn w:val="DefaultParagraphFont"/>
    <w:uiPriority w:val="22"/>
    <w:qFormat/>
    <w:rsid w:val="00003425"/>
    <w:rPr>
      <w:b/>
      <w:bCs/>
    </w:rPr>
  </w:style>
  <w:style w:type="paragraph" w:customStyle="1" w:styleId="Titulli">
    <w:name w:val="Titulli"/>
    <w:next w:val="Normal"/>
    <w:rsid w:val="00C25949"/>
    <w:pPr>
      <w:keepNext/>
      <w:widowControl w:val="0"/>
      <w:jc w:val="center"/>
      <w:outlineLvl w:val="1"/>
    </w:pPr>
    <w:rPr>
      <w:rFonts w:ascii="CG Times" w:eastAsia="MS Mincho" w:hAnsi="CG Times"/>
      <w:b/>
      <w:caps/>
      <w:sz w:val="22"/>
      <w:szCs w:val="22"/>
      <w:lang w:eastAsia="en-US"/>
    </w:rPr>
  </w:style>
  <w:style w:type="paragraph" w:customStyle="1" w:styleId="Paragrafi">
    <w:name w:val="Paragrafi"/>
    <w:link w:val="ParagrafiChar"/>
    <w:rsid w:val="000F5C1F"/>
    <w:pPr>
      <w:widowControl w:val="0"/>
      <w:ind w:firstLine="720"/>
      <w:jc w:val="both"/>
    </w:pPr>
    <w:rPr>
      <w:rFonts w:ascii="CG Times" w:eastAsia="MS Mincho" w:hAnsi="CG Times"/>
      <w:sz w:val="22"/>
      <w:lang w:val="en-US" w:eastAsia="en-US"/>
    </w:rPr>
  </w:style>
  <w:style w:type="character" w:customStyle="1" w:styleId="ParagrafiChar">
    <w:name w:val="Paragrafi Char"/>
    <w:basedOn w:val="DefaultParagraphFont"/>
    <w:link w:val="Paragrafi"/>
    <w:locked/>
    <w:rsid w:val="000F5C1F"/>
    <w:rPr>
      <w:rFonts w:ascii="CG Times" w:eastAsia="MS Mincho" w:hAnsi="CG Times"/>
      <w:sz w:val="22"/>
      <w:lang w:val="en-US" w:eastAsia="en-US"/>
    </w:rPr>
  </w:style>
  <w:style w:type="character" w:customStyle="1" w:styleId="Heading3Char">
    <w:name w:val="Heading 3 Char"/>
    <w:basedOn w:val="DefaultParagraphFont"/>
    <w:link w:val="Heading3"/>
    <w:uiPriority w:val="9"/>
    <w:semiHidden/>
    <w:rsid w:val="009D437C"/>
    <w:rPr>
      <w:rFonts w:asciiTheme="majorHAnsi" w:eastAsiaTheme="majorEastAsia" w:hAnsiTheme="majorHAnsi" w:cstheme="majorBidi"/>
      <w:color w:val="0A2F40" w:themeColor="accent1" w:themeShade="7F"/>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8440981">
      <w:bodyDiv w:val="1"/>
      <w:marLeft w:val="0"/>
      <w:marRight w:val="0"/>
      <w:marTop w:val="0"/>
      <w:marBottom w:val="0"/>
      <w:divBdr>
        <w:top w:val="none" w:sz="0" w:space="0" w:color="auto"/>
        <w:left w:val="none" w:sz="0" w:space="0" w:color="auto"/>
        <w:bottom w:val="none" w:sz="0" w:space="0" w:color="auto"/>
        <w:right w:val="none" w:sz="0" w:space="0" w:color="auto"/>
      </w:divBdr>
      <w:divsChild>
        <w:div w:id="1988389159">
          <w:marLeft w:val="0"/>
          <w:marRight w:val="0"/>
          <w:marTop w:val="0"/>
          <w:marBottom w:val="0"/>
          <w:divBdr>
            <w:top w:val="none" w:sz="0" w:space="0" w:color="auto"/>
            <w:left w:val="none" w:sz="0" w:space="0" w:color="auto"/>
            <w:bottom w:val="none" w:sz="0" w:space="0" w:color="auto"/>
            <w:right w:val="none" w:sz="0" w:space="0" w:color="auto"/>
          </w:divBdr>
        </w:div>
        <w:div w:id="366956514">
          <w:marLeft w:val="0"/>
          <w:marRight w:val="0"/>
          <w:marTop w:val="0"/>
          <w:marBottom w:val="0"/>
          <w:divBdr>
            <w:top w:val="none" w:sz="0" w:space="0" w:color="auto"/>
            <w:left w:val="none" w:sz="0" w:space="0" w:color="auto"/>
            <w:bottom w:val="none" w:sz="0" w:space="0" w:color="auto"/>
            <w:right w:val="none" w:sz="0" w:space="0" w:color="auto"/>
          </w:divBdr>
        </w:div>
        <w:div w:id="804808721">
          <w:marLeft w:val="0"/>
          <w:marRight w:val="0"/>
          <w:marTop w:val="0"/>
          <w:marBottom w:val="0"/>
          <w:divBdr>
            <w:top w:val="none" w:sz="0" w:space="0" w:color="auto"/>
            <w:left w:val="none" w:sz="0" w:space="0" w:color="auto"/>
            <w:bottom w:val="none" w:sz="0" w:space="0" w:color="auto"/>
            <w:right w:val="none" w:sz="0" w:space="0" w:color="auto"/>
          </w:divBdr>
        </w:div>
        <w:div w:id="2090687799">
          <w:marLeft w:val="0"/>
          <w:marRight w:val="0"/>
          <w:marTop w:val="0"/>
          <w:marBottom w:val="0"/>
          <w:divBdr>
            <w:top w:val="none" w:sz="0" w:space="0" w:color="auto"/>
            <w:left w:val="none" w:sz="0" w:space="0" w:color="auto"/>
            <w:bottom w:val="none" w:sz="0" w:space="0" w:color="auto"/>
            <w:right w:val="none" w:sz="0" w:space="0" w:color="auto"/>
          </w:divBdr>
        </w:div>
        <w:div w:id="575165947">
          <w:marLeft w:val="0"/>
          <w:marRight w:val="0"/>
          <w:marTop w:val="0"/>
          <w:marBottom w:val="0"/>
          <w:divBdr>
            <w:top w:val="none" w:sz="0" w:space="0" w:color="auto"/>
            <w:left w:val="none" w:sz="0" w:space="0" w:color="auto"/>
            <w:bottom w:val="none" w:sz="0" w:space="0" w:color="auto"/>
            <w:right w:val="none" w:sz="0" w:space="0" w:color="auto"/>
          </w:divBdr>
        </w:div>
        <w:div w:id="503514670">
          <w:marLeft w:val="0"/>
          <w:marRight w:val="0"/>
          <w:marTop w:val="0"/>
          <w:marBottom w:val="0"/>
          <w:divBdr>
            <w:top w:val="none" w:sz="0" w:space="0" w:color="auto"/>
            <w:left w:val="none" w:sz="0" w:space="0" w:color="auto"/>
            <w:bottom w:val="none" w:sz="0" w:space="0" w:color="auto"/>
            <w:right w:val="none" w:sz="0" w:space="0" w:color="auto"/>
          </w:divBdr>
        </w:div>
        <w:div w:id="548303343">
          <w:marLeft w:val="0"/>
          <w:marRight w:val="0"/>
          <w:marTop w:val="0"/>
          <w:marBottom w:val="0"/>
          <w:divBdr>
            <w:top w:val="none" w:sz="0" w:space="0" w:color="auto"/>
            <w:left w:val="none" w:sz="0" w:space="0" w:color="auto"/>
            <w:bottom w:val="none" w:sz="0" w:space="0" w:color="auto"/>
            <w:right w:val="none" w:sz="0" w:space="0" w:color="auto"/>
          </w:divBdr>
        </w:div>
        <w:div w:id="437912551">
          <w:marLeft w:val="0"/>
          <w:marRight w:val="0"/>
          <w:marTop w:val="0"/>
          <w:marBottom w:val="0"/>
          <w:divBdr>
            <w:top w:val="none" w:sz="0" w:space="0" w:color="auto"/>
            <w:left w:val="none" w:sz="0" w:space="0" w:color="auto"/>
            <w:bottom w:val="none" w:sz="0" w:space="0" w:color="auto"/>
            <w:right w:val="none" w:sz="0" w:space="0" w:color="auto"/>
          </w:divBdr>
        </w:div>
        <w:div w:id="1189679079">
          <w:marLeft w:val="0"/>
          <w:marRight w:val="0"/>
          <w:marTop w:val="0"/>
          <w:marBottom w:val="0"/>
          <w:divBdr>
            <w:top w:val="none" w:sz="0" w:space="0" w:color="auto"/>
            <w:left w:val="none" w:sz="0" w:space="0" w:color="auto"/>
            <w:bottom w:val="none" w:sz="0" w:space="0" w:color="auto"/>
            <w:right w:val="none" w:sz="0" w:space="0" w:color="auto"/>
          </w:divBdr>
        </w:div>
      </w:divsChild>
    </w:div>
    <w:div w:id="856962570">
      <w:bodyDiv w:val="1"/>
      <w:marLeft w:val="0"/>
      <w:marRight w:val="0"/>
      <w:marTop w:val="0"/>
      <w:marBottom w:val="0"/>
      <w:divBdr>
        <w:top w:val="none" w:sz="0" w:space="0" w:color="auto"/>
        <w:left w:val="none" w:sz="0" w:space="0" w:color="auto"/>
        <w:bottom w:val="none" w:sz="0" w:space="0" w:color="auto"/>
        <w:right w:val="none" w:sz="0" w:space="0" w:color="auto"/>
      </w:divBdr>
    </w:div>
    <w:div w:id="864290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8478</Words>
  <Characters>48327</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Gerti</dc:creator>
  <cp:keywords/>
  <cp:lastModifiedBy>Elisava Thaci</cp:lastModifiedBy>
  <cp:revision>2</cp:revision>
  <cp:lastPrinted>2026-06-04T12:47:00Z</cp:lastPrinted>
  <dcterms:created xsi:type="dcterms:W3CDTF">2026-09-29T11:21:00Z</dcterms:created>
  <dcterms:modified xsi:type="dcterms:W3CDTF">2026-09-29T11:21:00Z</dcterms:modified>
</cp:coreProperties>
</file>