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09585" w14:textId="77777777" w:rsidR="00093FB1" w:rsidRPr="00AA71FA" w:rsidRDefault="00093FB1" w:rsidP="00093FB1">
      <w:pPr>
        <w:pStyle w:val="NoSpacing"/>
        <w:jc w:val="center"/>
        <w:rPr>
          <w:b/>
          <w:lang w:val="sq-AL"/>
        </w:rPr>
      </w:pPr>
      <w:r w:rsidRPr="00AA71FA">
        <w:rPr>
          <w:b/>
          <w:noProof/>
          <w:lang w:val="sq-AL" w:eastAsia="sq-AL"/>
        </w:rPr>
        <w:drawing>
          <wp:inline distT="0" distB="0" distL="0" distR="0" wp14:anchorId="50C096FA" wp14:editId="076CC9B8">
            <wp:extent cx="419100" cy="4572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p w14:paraId="3B14ECD4" w14:textId="77777777" w:rsidR="00093FB1" w:rsidRPr="00AA71FA" w:rsidRDefault="00093FB1" w:rsidP="00093FB1">
      <w:pPr>
        <w:jc w:val="center"/>
        <w:rPr>
          <w:b/>
          <w:lang w:val="sq-AL"/>
        </w:rPr>
      </w:pPr>
      <w:r w:rsidRPr="00AA71FA">
        <w:rPr>
          <w:b/>
          <w:lang w:val="sq-AL"/>
        </w:rPr>
        <w:t>REPUBLIKA E SHQIPËRISË</w:t>
      </w:r>
    </w:p>
    <w:p w14:paraId="2CCE4EDE" w14:textId="77777777" w:rsidR="00093FB1" w:rsidRPr="00AA71FA" w:rsidRDefault="00093FB1" w:rsidP="00093FB1">
      <w:pPr>
        <w:jc w:val="center"/>
        <w:rPr>
          <w:b/>
          <w:lang w:val="sq-AL"/>
        </w:rPr>
      </w:pPr>
      <w:r w:rsidRPr="00AA71FA">
        <w:rPr>
          <w:b/>
          <w:lang w:val="sq-AL"/>
        </w:rPr>
        <w:t>GJYKATA E LARTË</w:t>
      </w:r>
    </w:p>
    <w:p w14:paraId="01B469ED" w14:textId="77777777" w:rsidR="00093FB1" w:rsidRPr="00AA71FA" w:rsidRDefault="00093FB1" w:rsidP="00093FB1">
      <w:pPr>
        <w:jc w:val="center"/>
        <w:rPr>
          <w:b/>
          <w:lang w:val="sq-AL"/>
        </w:rPr>
      </w:pPr>
      <w:r w:rsidRPr="00AA71FA">
        <w:rPr>
          <w:b/>
          <w:lang w:val="sq-AL"/>
        </w:rPr>
        <w:t>KOLEGJI CIVIL</w:t>
      </w:r>
    </w:p>
    <w:p w14:paraId="01506352" w14:textId="77777777" w:rsidR="00093FB1" w:rsidRPr="00AA71FA" w:rsidRDefault="00093FB1" w:rsidP="00093FB1">
      <w:pPr>
        <w:rPr>
          <w:b/>
          <w:lang w:val="sq-AL"/>
        </w:rPr>
      </w:pPr>
    </w:p>
    <w:p w14:paraId="67B41472" w14:textId="76E693D3" w:rsidR="00093FB1" w:rsidRPr="00AA71FA" w:rsidRDefault="00093FB1" w:rsidP="00093FB1">
      <w:pPr>
        <w:jc w:val="both"/>
        <w:rPr>
          <w:b/>
          <w:lang w:val="sq-AL"/>
        </w:rPr>
      </w:pPr>
      <w:r w:rsidRPr="00AA71FA">
        <w:rPr>
          <w:b/>
          <w:lang w:val="sq-AL"/>
        </w:rPr>
        <w:t xml:space="preserve">Nr. </w:t>
      </w:r>
      <w:r w:rsidR="00294770" w:rsidRPr="00AA71FA">
        <w:rPr>
          <w:b/>
          <w:lang w:val="sq-AL"/>
        </w:rPr>
        <w:t>90100-01116-00-2016</w:t>
      </w:r>
      <w:r w:rsidRPr="00AA71FA">
        <w:rPr>
          <w:b/>
          <w:lang w:val="sq-AL"/>
        </w:rPr>
        <w:t xml:space="preserve"> Regj. Themeltar</w:t>
      </w:r>
    </w:p>
    <w:p w14:paraId="02815388" w14:textId="30A823C7" w:rsidR="00093FB1" w:rsidRPr="00AA71FA" w:rsidRDefault="00093FB1" w:rsidP="00093FB1">
      <w:pPr>
        <w:jc w:val="both"/>
        <w:rPr>
          <w:b/>
          <w:lang w:val="sq-AL"/>
        </w:rPr>
      </w:pPr>
      <w:r w:rsidRPr="00AA71FA">
        <w:rPr>
          <w:b/>
          <w:lang w:val="sq-AL"/>
        </w:rPr>
        <w:t xml:space="preserve">Nr. </w:t>
      </w:r>
      <w:r w:rsidR="00AA71FA" w:rsidRPr="00AA71FA">
        <w:rPr>
          <w:b/>
          <w:lang w:val="sq-AL"/>
        </w:rPr>
        <w:t>00-2025-3423</w:t>
      </w:r>
      <w:r w:rsidRPr="00AA71FA">
        <w:rPr>
          <w:b/>
          <w:lang w:val="sq-AL"/>
        </w:rPr>
        <w:t xml:space="preserve"> i Vendimit</w:t>
      </w:r>
      <w:r w:rsidR="00E115BD">
        <w:rPr>
          <w:b/>
          <w:lang w:val="sq-AL"/>
        </w:rPr>
        <w:t xml:space="preserve"> </w:t>
      </w:r>
      <w:r w:rsidR="0094748A">
        <w:rPr>
          <w:b/>
          <w:lang w:val="sq-AL"/>
        </w:rPr>
        <w:t>(</w:t>
      </w:r>
      <w:r w:rsidR="00F4090E">
        <w:rPr>
          <w:b/>
          <w:lang w:val="sq-AL"/>
        </w:rPr>
        <w:t>418</w:t>
      </w:r>
      <w:r w:rsidR="0094748A">
        <w:rPr>
          <w:b/>
          <w:lang w:val="sq-AL"/>
        </w:rPr>
        <w:t>)</w:t>
      </w:r>
    </w:p>
    <w:p w14:paraId="366E4699" w14:textId="77777777" w:rsidR="00093FB1" w:rsidRPr="00AA71FA" w:rsidRDefault="00093FB1" w:rsidP="00093FB1">
      <w:pPr>
        <w:jc w:val="both"/>
        <w:rPr>
          <w:b/>
          <w:lang w:val="sq-AL"/>
        </w:rPr>
      </w:pPr>
    </w:p>
    <w:p w14:paraId="3F972C48" w14:textId="77777777" w:rsidR="00093FB1" w:rsidRPr="00AA71FA" w:rsidRDefault="00093FB1" w:rsidP="00093FB1">
      <w:pPr>
        <w:jc w:val="center"/>
        <w:rPr>
          <w:b/>
          <w:lang w:val="sq-AL"/>
        </w:rPr>
      </w:pPr>
      <w:r w:rsidRPr="00AA71FA">
        <w:rPr>
          <w:b/>
          <w:lang w:val="sq-AL"/>
        </w:rPr>
        <w:t>VENDIM</w:t>
      </w:r>
    </w:p>
    <w:p w14:paraId="258AA8B0" w14:textId="77777777" w:rsidR="00093FB1" w:rsidRPr="00AA71FA" w:rsidRDefault="00093FB1" w:rsidP="00093FB1">
      <w:pPr>
        <w:jc w:val="center"/>
        <w:rPr>
          <w:b/>
          <w:lang w:val="sq-AL"/>
        </w:rPr>
      </w:pPr>
    </w:p>
    <w:p w14:paraId="53763C4E" w14:textId="77777777" w:rsidR="00093FB1" w:rsidRPr="00AA71FA" w:rsidRDefault="00093FB1" w:rsidP="00093FB1">
      <w:pPr>
        <w:jc w:val="center"/>
        <w:rPr>
          <w:b/>
          <w:lang w:val="sq-AL"/>
        </w:rPr>
      </w:pPr>
      <w:r w:rsidRPr="00AA71FA">
        <w:rPr>
          <w:b/>
          <w:lang w:val="sq-AL"/>
        </w:rPr>
        <w:t>NË EMËR TË REPUBLIKËS</w:t>
      </w:r>
    </w:p>
    <w:p w14:paraId="79F46A67" w14:textId="77777777" w:rsidR="00093FB1" w:rsidRPr="00AA71FA" w:rsidRDefault="00093FB1" w:rsidP="00093FB1">
      <w:pPr>
        <w:jc w:val="both"/>
        <w:rPr>
          <w:b/>
          <w:lang w:val="sq-AL"/>
        </w:rPr>
      </w:pPr>
    </w:p>
    <w:p w14:paraId="30A2EB1A" w14:textId="77777777" w:rsidR="00093FB1" w:rsidRPr="00AA71FA" w:rsidRDefault="00093FB1" w:rsidP="00093FB1">
      <w:pPr>
        <w:jc w:val="center"/>
        <w:rPr>
          <w:b/>
          <w:lang w:val="sq-AL"/>
        </w:rPr>
      </w:pPr>
      <w:r w:rsidRPr="00AA71FA">
        <w:rPr>
          <w:b/>
          <w:lang w:val="sq-AL"/>
        </w:rPr>
        <w:t>Kolegji Civil i Gjykatës së Lartë i përbërë nga gjyqtarët:</w:t>
      </w:r>
    </w:p>
    <w:p w14:paraId="75221DAF" w14:textId="77777777" w:rsidR="00093FB1" w:rsidRPr="00AA71FA" w:rsidRDefault="00093FB1" w:rsidP="00093FB1">
      <w:pPr>
        <w:rPr>
          <w:b/>
          <w:lang w:val="sq-AL"/>
        </w:rPr>
      </w:pPr>
    </w:p>
    <w:p w14:paraId="38D9A93A" w14:textId="1AEAC46B" w:rsidR="00093FB1" w:rsidRPr="00AA71FA" w:rsidRDefault="00B908C6" w:rsidP="00093FB1">
      <w:pPr>
        <w:ind w:left="1440" w:firstLine="1440"/>
        <w:jc w:val="both"/>
        <w:rPr>
          <w:b/>
          <w:lang w:val="sq-AL"/>
        </w:rPr>
      </w:pPr>
      <w:r w:rsidRPr="00AA71FA">
        <w:rPr>
          <w:b/>
          <w:lang w:val="sq-AL"/>
        </w:rPr>
        <w:t>Valbon ÇEKREZI</w:t>
      </w:r>
      <w:r w:rsidR="00093FB1" w:rsidRPr="00AA71FA">
        <w:rPr>
          <w:b/>
          <w:lang w:val="sq-AL"/>
        </w:rPr>
        <w:tab/>
      </w:r>
      <w:r w:rsidR="00093FB1" w:rsidRPr="00AA71FA">
        <w:rPr>
          <w:b/>
          <w:lang w:val="sq-AL"/>
        </w:rPr>
        <w:tab/>
        <w:t>Kryesues</w:t>
      </w:r>
    </w:p>
    <w:p w14:paraId="0F4F1926" w14:textId="29565919" w:rsidR="00093FB1" w:rsidRPr="00AA71FA" w:rsidRDefault="00093FB1" w:rsidP="00093FB1">
      <w:pPr>
        <w:ind w:left="1440" w:firstLine="1440"/>
        <w:jc w:val="both"/>
        <w:rPr>
          <w:b/>
          <w:lang w:val="sq-AL"/>
        </w:rPr>
      </w:pPr>
      <w:r w:rsidRPr="00AA71FA">
        <w:rPr>
          <w:b/>
          <w:lang w:val="sq-AL"/>
        </w:rPr>
        <w:t>Margarita BUHALI</w:t>
      </w:r>
      <w:r w:rsidRPr="00AA71FA">
        <w:rPr>
          <w:b/>
          <w:lang w:val="sq-AL"/>
        </w:rPr>
        <w:tab/>
      </w:r>
      <w:r w:rsidRPr="00AA71FA">
        <w:rPr>
          <w:b/>
          <w:lang w:val="sq-AL"/>
        </w:rPr>
        <w:tab/>
        <w:t>Anëtar</w:t>
      </w:r>
      <w:r w:rsidR="00697FC1" w:rsidRPr="00AA71FA">
        <w:rPr>
          <w:b/>
          <w:lang w:val="sq-AL"/>
        </w:rPr>
        <w:t>e</w:t>
      </w:r>
    </w:p>
    <w:p w14:paraId="0225C9F6" w14:textId="195D259F" w:rsidR="00697FC1" w:rsidRPr="00AA71FA" w:rsidRDefault="00294770" w:rsidP="00697FC1">
      <w:pPr>
        <w:ind w:left="1440" w:firstLine="1440"/>
        <w:jc w:val="both"/>
        <w:rPr>
          <w:b/>
          <w:lang w:val="sq-AL"/>
        </w:rPr>
      </w:pPr>
      <w:r w:rsidRPr="00AA71FA">
        <w:rPr>
          <w:b/>
          <w:lang w:val="sq-AL"/>
        </w:rPr>
        <w:t>Sokol NGRESI</w:t>
      </w:r>
      <w:r w:rsidR="00697FC1" w:rsidRPr="00AA71FA">
        <w:rPr>
          <w:b/>
          <w:lang w:val="sq-AL"/>
        </w:rPr>
        <w:tab/>
      </w:r>
      <w:r w:rsidR="00697FC1" w:rsidRPr="00AA71FA">
        <w:rPr>
          <w:b/>
          <w:lang w:val="sq-AL"/>
        </w:rPr>
        <w:tab/>
        <w:t>Anëtar</w:t>
      </w:r>
    </w:p>
    <w:p w14:paraId="70A4ED05" w14:textId="77777777" w:rsidR="00697FC1" w:rsidRPr="00AA71FA" w:rsidRDefault="00697FC1" w:rsidP="00093FB1">
      <w:pPr>
        <w:ind w:left="1440" w:firstLine="1440"/>
        <w:jc w:val="both"/>
        <w:rPr>
          <w:b/>
          <w:lang w:val="sq-AL"/>
        </w:rPr>
      </w:pPr>
    </w:p>
    <w:p w14:paraId="3E3423BE" w14:textId="71629A7A" w:rsidR="00093FB1" w:rsidRPr="00AA71FA" w:rsidRDefault="00AA71FA" w:rsidP="00093FB1">
      <w:pPr>
        <w:jc w:val="both"/>
        <w:rPr>
          <w:lang w:val="sq-AL"/>
        </w:rPr>
      </w:pPr>
      <w:r>
        <w:rPr>
          <w:lang w:val="sq-AL"/>
        </w:rPr>
        <w:t xml:space="preserve">  </w:t>
      </w:r>
      <w:r w:rsidR="00093FB1" w:rsidRPr="00AA71FA">
        <w:rPr>
          <w:lang w:val="sq-AL"/>
        </w:rPr>
        <w:t xml:space="preserve">Sot më datë </w:t>
      </w:r>
      <w:r w:rsidR="00952784" w:rsidRPr="00AA71FA">
        <w:rPr>
          <w:lang w:val="sq-AL"/>
        </w:rPr>
        <w:t>30.09</w:t>
      </w:r>
      <w:r w:rsidR="00093FB1" w:rsidRPr="00AA71FA">
        <w:rPr>
          <w:lang w:val="sq-AL"/>
        </w:rPr>
        <w:t>.</w:t>
      </w:r>
      <w:r w:rsidR="006A2A86" w:rsidRPr="00AA71FA">
        <w:rPr>
          <w:lang w:val="sq-AL"/>
        </w:rPr>
        <w:t>2025</w:t>
      </w:r>
      <w:r w:rsidR="00093FB1" w:rsidRPr="00AA71FA">
        <w:rPr>
          <w:lang w:val="sq-AL"/>
        </w:rPr>
        <w:t>, mori në shqyrtim në dhomën e këshillimit çështjen civile që iu përket palëve:</w:t>
      </w:r>
    </w:p>
    <w:p w14:paraId="714BFAE0" w14:textId="77777777" w:rsidR="00093FB1" w:rsidRPr="00AA71FA" w:rsidRDefault="00093FB1" w:rsidP="00093FB1">
      <w:pPr>
        <w:jc w:val="both"/>
        <w:rPr>
          <w:lang w:val="sq-AL"/>
        </w:rPr>
      </w:pPr>
    </w:p>
    <w:p w14:paraId="0A2F46EC" w14:textId="1FD3B410" w:rsidR="00294770" w:rsidRPr="00AA71FA" w:rsidRDefault="00294770" w:rsidP="00294770">
      <w:pPr>
        <w:pStyle w:val="NormalWeb"/>
        <w:spacing w:before="0" w:beforeAutospacing="0" w:after="0" w:afterAutospacing="0"/>
        <w:ind w:left="2160" w:hanging="2160"/>
        <w:jc w:val="both"/>
      </w:pPr>
      <w:r w:rsidRPr="00AA71FA">
        <w:rPr>
          <w:rStyle w:val="Strong"/>
        </w:rPr>
        <w:t>PADITËS:</w:t>
      </w:r>
      <w:r w:rsidRPr="00AA71FA">
        <w:rPr>
          <w:rStyle w:val="Strong"/>
        </w:rPr>
        <w:tab/>
      </w:r>
      <w:r w:rsidRPr="00AA71FA">
        <w:rPr>
          <w:rStyle w:val="Strong"/>
        </w:rPr>
        <w:tab/>
      </w:r>
      <w:r w:rsidRPr="0070338B">
        <w:rPr>
          <w:rStyle w:val="Strong"/>
          <w:b w:val="0"/>
          <w:bCs w:val="0"/>
        </w:rPr>
        <w:t>Arian Mene</w:t>
      </w:r>
      <w:r w:rsidR="00FE05A8" w:rsidRPr="0070338B">
        <w:rPr>
          <w:rStyle w:val="Strong"/>
          <w:b w:val="0"/>
          <w:bCs w:val="0"/>
        </w:rPr>
        <w:t>.</w:t>
      </w:r>
      <w:r w:rsidRPr="00AA71FA">
        <w:rPr>
          <w:rStyle w:val="Strong"/>
        </w:rPr>
        <w:t xml:space="preserve"> </w:t>
      </w:r>
    </w:p>
    <w:p w14:paraId="52C084D4" w14:textId="77777777" w:rsidR="00294770" w:rsidRPr="00AA71FA" w:rsidRDefault="00294770" w:rsidP="00294770">
      <w:pPr>
        <w:pStyle w:val="NormalWeb"/>
        <w:spacing w:before="0" w:beforeAutospacing="0" w:after="0" w:afterAutospacing="0"/>
        <w:ind w:left="2160" w:hanging="2160"/>
        <w:jc w:val="both"/>
      </w:pPr>
    </w:p>
    <w:p w14:paraId="3EB4A297" w14:textId="62A522D7" w:rsidR="00294770" w:rsidRPr="0070338B" w:rsidRDefault="00294770" w:rsidP="00294770">
      <w:pPr>
        <w:pStyle w:val="NormalWeb"/>
        <w:spacing w:before="0" w:beforeAutospacing="0" w:after="0" w:afterAutospacing="0"/>
        <w:ind w:left="2160" w:hanging="2160"/>
        <w:jc w:val="both"/>
        <w:rPr>
          <w:rStyle w:val="Strong"/>
          <w:b w:val="0"/>
          <w:bCs w:val="0"/>
        </w:rPr>
      </w:pPr>
      <w:r w:rsidRPr="00AA71FA">
        <w:rPr>
          <w:rStyle w:val="Strong"/>
        </w:rPr>
        <w:t>I PADITUR:</w:t>
      </w:r>
      <w:r w:rsidRPr="00AA71FA">
        <w:rPr>
          <w:rStyle w:val="Strong"/>
        </w:rPr>
        <w:tab/>
      </w:r>
      <w:r w:rsidRPr="00AA71FA">
        <w:rPr>
          <w:rStyle w:val="Strong"/>
        </w:rPr>
        <w:tab/>
      </w:r>
      <w:r w:rsidRPr="0070338B">
        <w:rPr>
          <w:rStyle w:val="Strong"/>
          <w:b w:val="0"/>
          <w:bCs w:val="0"/>
        </w:rPr>
        <w:t xml:space="preserve">Përmbaruesi Gjyqësor “Executores Litium” </w:t>
      </w:r>
      <w:r w:rsidR="00DD5BC9" w:rsidRPr="0070338B">
        <w:rPr>
          <w:rStyle w:val="Strong"/>
          <w:b w:val="0"/>
          <w:bCs w:val="0"/>
        </w:rPr>
        <w:t>SHPK</w:t>
      </w:r>
      <w:r w:rsidR="00FE05A8" w:rsidRPr="0070338B">
        <w:rPr>
          <w:rStyle w:val="Strong"/>
          <w:b w:val="0"/>
          <w:bCs w:val="0"/>
        </w:rPr>
        <w:t>.</w:t>
      </w:r>
      <w:r w:rsidRPr="0070338B">
        <w:rPr>
          <w:b/>
          <w:bCs/>
        </w:rPr>
        <w:t xml:space="preserve"> </w:t>
      </w:r>
    </w:p>
    <w:p w14:paraId="32CE5213" w14:textId="77777777" w:rsidR="00294770" w:rsidRPr="00AA71FA" w:rsidRDefault="00294770" w:rsidP="00294770">
      <w:pPr>
        <w:pStyle w:val="NormalWeb"/>
        <w:spacing w:before="0" w:beforeAutospacing="0" w:after="0" w:afterAutospacing="0"/>
        <w:ind w:left="2160" w:hanging="2160"/>
        <w:jc w:val="both"/>
      </w:pPr>
    </w:p>
    <w:p w14:paraId="302F66DD" w14:textId="7BF421F2" w:rsidR="00294770" w:rsidRPr="00AA71FA" w:rsidRDefault="00294770" w:rsidP="00294770">
      <w:pPr>
        <w:pStyle w:val="NormalWeb"/>
        <w:spacing w:before="0" w:beforeAutospacing="0" w:after="0" w:afterAutospacing="0"/>
        <w:ind w:left="2160" w:hanging="2160"/>
        <w:jc w:val="both"/>
      </w:pPr>
      <w:r w:rsidRPr="00AA71FA">
        <w:rPr>
          <w:rStyle w:val="Strong"/>
        </w:rPr>
        <w:t xml:space="preserve">PERSON I TRETË: </w:t>
      </w:r>
      <w:r w:rsidRPr="00AA71FA">
        <w:rPr>
          <w:rStyle w:val="Strong"/>
        </w:rPr>
        <w:tab/>
      </w:r>
      <w:r w:rsidRPr="00AA71FA">
        <w:rPr>
          <w:rStyle w:val="Strong"/>
        </w:rPr>
        <w:tab/>
      </w:r>
      <w:r w:rsidRPr="0070338B">
        <w:rPr>
          <w:rStyle w:val="Strong"/>
          <w:b w:val="0"/>
          <w:bCs w:val="0"/>
        </w:rPr>
        <w:t xml:space="preserve">Shoqëria “Banka e Tiranës” </w:t>
      </w:r>
      <w:r w:rsidR="00DD5BC9" w:rsidRPr="0070338B">
        <w:rPr>
          <w:rStyle w:val="Strong"/>
          <w:b w:val="0"/>
          <w:bCs w:val="0"/>
        </w:rPr>
        <w:t>SHA</w:t>
      </w:r>
      <w:r w:rsidR="00FE05A8" w:rsidRPr="0070338B">
        <w:rPr>
          <w:rStyle w:val="Strong"/>
          <w:b w:val="0"/>
          <w:bCs w:val="0"/>
        </w:rPr>
        <w:t>.</w:t>
      </w:r>
      <w:r w:rsidRPr="00AA71FA">
        <w:rPr>
          <w:rStyle w:val="Strong"/>
        </w:rPr>
        <w:t xml:space="preserve"> </w:t>
      </w:r>
    </w:p>
    <w:p w14:paraId="2589FC76" w14:textId="77777777" w:rsidR="00294770" w:rsidRPr="00AA71FA" w:rsidRDefault="00294770" w:rsidP="00294770">
      <w:pPr>
        <w:pStyle w:val="NormalWeb"/>
        <w:spacing w:before="0" w:beforeAutospacing="0" w:after="0" w:afterAutospacing="0"/>
        <w:ind w:left="2160" w:hanging="2160"/>
        <w:jc w:val="both"/>
      </w:pPr>
    </w:p>
    <w:p w14:paraId="39A6FBFB" w14:textId="5F715A08" w:rsidR="00294770" w:rsidRPr="00AA71FA" w:rsidRDefault="00294770" w:rsidP="00294770">
      <w:pPr>
        <w:pStyle w:val="NormalWeb"/>
        <w:spacing w:before="0" w:beforeAutospacing="0" w:after="0" w:afterAutospacing="0"/>
        <w:ind w:left="2880" w:hanging="2880"/>
        <w:jc w:val="both"/>
      </w:pPr>
      <w:r w:rsidRPr="00AA71FA">
        <w:rPr>
          <w:rStyle w:val="Strong"/>
        </w:rPr>
        <w:t xml:space="preserve">OBJEKTI: </w:t>
      </w:r>
      <w:r w:rsidRPr="00AA71FA">
        <w:rPr>
          <w:rStyle w:val="Strong"/>
        </w:rPr>
        <w:tab/>
      </w:r>
      <w:r w:rsidRPr="00AA71FA">
        <w:t>Anullimin e veprimeve përmbarimore të Shërbimit Përmbarimor Executores Litium përmbarues Petrit Qarri, lajmëruar me shkresën 742 Regj, datë 14.07.2014 për ekzekutimin e titullit ekzekutiv, për të cilin është lëshuar nga Gjykata e Rrethit Gjyqësor Tiranë</w:t>
      </w:r>
      <w:r w:rsidR="00E80394" w:rsidRPr="00AA71FA">
        <w:t>,</w:t>
      </w:r>
      <w:r w:rsidRPr="00AA71FA">
        <w:t xml:space="preserve"> Urdhri i Ekzekutimit nr. 3497, datë 30.06.2014, përsa i përket shtrirjes së ekzekutimit ndaj paditësit Arian Mene dhe </w:t>
      </w:r>
      <w:r w:rsidR="00E80394" w:rsidRPr="00AA71FA">
        <w:t>p</w:t>
      </w:r>
      <w:r w:rsidRPr="00AA71FA">
        <w:t xml:space="preserve">ushimin e ekzekutimit të Urdhrit të Ekzekutimit nr. 3497, datë 30.06.2014, për paditësin Arian Mene si pasojë e mospasjes së cilësisë së </w:t>
      </w:r>
      <w:r w:rsidR="00E80394" w:rsidRPr="00AA71FA">
        <w:t>d</w:t>
      </w:r>
      <w:r w:rsidRPr="00AA71FA">
        <w:t>orëzanësit.</w:t>
      </w:r>
    </w:p>
    <w:p w14:paraId="561DA01A" w14:textId="77777777" w:rsidR="00294770" w:rsidRPr="00AA71FA" w:rsidRDefault="00294770" w:rsidP="00294770">
      <w:pPr>
        <w:pStyle w:val="NormalWeb"/>
        <w:spacing w:before="0" w:beforeAutospacing="0" w:after="0" w:afterAutospacing="0"/>
        <w:ind w:left="2880"/>
        <w:jc w:val="both"/>
      </w:pPr>
      <w:r w:rsidRPr="00AA71FA">
        <w:t>Marrjen e masës së sigurimit të padisë duke vendosur pezullimin e veprimeve përmbarimore për Arian Mene deri në zgjidhjen përfundimtare të çështjes.</w:t>
      </w:r>
    </w:p>
    <w:p w14:paraId="4993F011" w14:textId="77777777" w:rsidR="00294770" w:rsidRPr="00AA71FA" w:rsidRDefault="00294770" w:rsidP="00294770">
      <w:pPr>
        <w:pStyle w:val="NormalWeb"/>
        <w:spacing w:before="0" w:beforeAutospacing="0" w:after="0" w:afterAutospacing="0"/>
        <w:jc w:val="both"/>
      </w:pPr>
    </w:p>
    <w:p w14:paraId="4B6DA839" w14:textId="1A97CB43" w:rsidR="00294770" w:rsidRPr="00AA71FA" w:rsidRDefault="00294770" w:rsidP="00294770">
      <w:pPr>
        <w:pStyle w:val="NormalWeb"/>
        <w:spacing w:before="0" w:beforeAutospacing="0" w:after="0" w:afterAutospacing="0"/>
        <w:ind w:left="2160" w:hanging="2160"/>
        <w:jc w:val="both"/>
      </w:pPr>
      <w:r w:rsidRPr="00AA71FA">
        <w:rPr>
          <w:rStyle w:val="Strong"/>
        </w:rPr>
        <w:t>Baza Ligjore:</w:t>
      </w:r>
      <w:r w:rsidRPr="00AA71FA">
        <w:rPr>
          <w:rStyle w:val="Strong"/>
        </w:rPr>
        <w:tab/>
      </w:r>
      <w:r w:rsidRPr="00AA71FA">
        <w:rPr>
          <w:rStyle w:val="Strong"/>
        </w:rPr>
        <w:tab/>
      </w:r>
      <w:r w:rsidRPr="00AA71FA">
        <w:t>Nenet 31, 610 dhe 611</w:t>
      </w:r>
      <w:r w:rsidR="00312E21" w:rsidRPr="00AA71FA">
        <w:t xml:space="preserve"> </w:t>
      </w:r>
      <w:r w:rsidRPr="00AA71FA">
        <w:t>të Kodit të Procedurës Civile.</w:t>
      </w:r>
    </w:p>
    <w:p w14:paraId="6FE8DB02" w14:textId="139F29FD" w:rsidR="00093FB1" w:rsidRPr="00AA71FA" w:rsidRDefault="00093FB1" w:rsidP="00093FB1">
      <w:pPr>
        <w:pStyle w:val="NoSpacing"/>
        <w:ind w:left="2880" w:hanging="2880"/>
        <w:jc w:val="both"/>
        <w:rPr>
          <w:lang w:val="sq-AL"/>
        </w:rPr>
      </w:pPr>
    </w:p>
    <w:p w14:paraId="5C1A84A2" w14:textId="77777777" w:rsidR="00B908C6" w:rsidRPr="00AA71FA" w:rsidRDefault="00B908C6" w:rsidP="00093FB1">
      <w:pPr>
        <w:pStyle w:val="NoSpacing"/>
        <w:ind w:left="2880" w:hanging="2880"/>
        <w:jc w:val="both"/>
        <w:rPr>
          <w:lang w:val="sq-AL"/>
        </w:rPr>
      </w:pPr>
    </w:p>
    <w:p w14:paraId="5326E033" w14:textId="77777777" w:rsidR="00093FB1" w:rsidRPr="00AA71FA" w:rsidRDefault="00093FB1" w:rsidP="00093FB1">
      <w:pPr>
        <w:jc w:val="center"/>
        <w:rPr>
          <w:b/>
          <w:lang w:val="sq-AL"/>
        </w:rPr>
      </w:pPr>
      <w:r w:rsidRPr="00AA71FA">
        <w:rPr>
          <w:b/>
          <w:lang w:val="sq-AL"/>
        </w:rPr>
        <w:t xml:space="preserve">KOLEGJI CIVIL </w:t>
      </w:r>
    </w:p>
    <w:p w14:paraId="1573E3C4" w14:textId="77777777" w:rsidR="00093FB1" w:rsidRPr="00AA71FA" w:rsidRDefault="00093FB1" w:rsidP="00093FB1">
      <w:pPr>
        <w:jc w:val="center"/>
        <w:rPr>
          <w:lang w:val="sq-AL"/>
        </w:rPr>
      </w:pPr>
    </w:p>
    <w:p w14:paraId="19F58483" w14:textId="0927E1FB" w:rsidR="00093FB1" w:rsidRPr="00AA71FA" w:rsidRDefault="00093FB1" w:rsidP="00093FB1">
      <w:pPr>
        <w:jc w:val="both"/>
        <w:rPr>
          <w:lang w:val="sq-AL"/>
        </w:rPr>
      </w:pPr>
      <w:r w:rsidRPr="00AA71FA">
        <w:rPr>
          <w:lang w:val="sq-AL"/>
        </w:rPr>
        <w:t xml:space="preserve">pasi dëgjoi relatimin e gjyqtarit </w:t>
      </w:r>
      <w:r w:rsidR="00B908C6" w:rsidRPr="00AA71FA">
        <w:rPr>
          <w:lang w:val="sq-AL"/>
        </w:rPr>
        <w:t xml:space="preserve">Valbon Çekrezi </w:t>
      </w:r>
      <w:r w:rsidRPr="00AA71FA">
        <w:rPr>
          <w:lang w:val="sq-AL"/>
        </w:rPr>
        <w:t>dhe e bisedoi në tërësi çështjen në Dhomën e Këshillimit, në përfundim;</w:t>
      </w:r>
    </w:p>
    <w:p w14:paraId="36F6CCA3" w14:textId="77777777" w:rsidR="00952784" w:rsidRPr="00AA71FA" w:rsidRDefault="00952784" w:rsidP="00093FB1">
      <w:pPr>
        <w:jc w:val="center"/>
        <w:rPr>
          <w:b/>
          <w:lang w:val="sq-AL"/>
        </w:rPr>
      </w:pPr>
    </w:p>
    <w:p w14:paraId="7AE952CE" w14:textId="1B34F44B" w:rsidR="00093FB1" w:rsidRPr="00AA71FA" w:rsidRDefault="00D90000" w:rsidP="00093FB1">
      <w:pPr>
        <w:jc w:val="center"/>
        <w:rPr>
          <w:b/>
          <w:lang w:val="sq-AL"/>
        </w:rPr>
      </w:pPr>
      <w:r w:rsidRPr="00AA71FA">
        <w:rPr>
          <w:b/>
          <w:lang w:val="sq-AL"/>
        </w:rPr>
        <w:t>V</w:t>
      </w:r>
      <w:r w:rsidR="00FE05A8" w:rsidRPr="00AA71FA">
        <w:rPr>
          <w:b/>
          <w:lang w:val="sq-AL"/>
        </w:rPr>
        <w:t>Ë</w:t>
      </w:r>
      <w:r w:rsidRPr="00AA71FA">
        <w:rPr>
          <w:b/>
          <w:lang w:val="sq-AL"/>
        </w:rPr>
        <w:t>REN</w:t>
      </w:r>
    </w:p>
    <w:p w14:paraId="0D0AC9DA" w14:textId="77777777" w:rsidR="00952784" w:rsidRPr="00AA71FA" w:rsidRDefault="00952784" w:rsidP="00093FB1">
      <w:pPr>
        <w:jc w:val="center"/>
        <w:rPr>
          <w:b/>
          <w:lang w:val="sq-AL"/>
        </w:rPr>
      </w:pPr>
    </w:p>
    <w:p w14:paraId="108D7F3C" w14:textId="77777777" w:rsidR="00952784" w:rsidRPr="00AA71FA" w:rsidRDefault="00952784" w:rsidP="00E80394">
      <w:pPr>
        <w:ind w:firstLine="720"/>
        <w:jc w:val="both"/>
        <w:rPr>
          <w:b/>
          <w:lang w:val="sq-AL"/>
        </w:rPr>
      </w:pPr>
      <w:r w:rsidRPr="00AA71FA">
        <w:rPr>
          <w:b/>
          <w:lang w:val="sq-AL"/>
        </w:rPr>
        <w:t>I. Rrethanat e çështjes:</w:t>
      </w:r>
    </w:p>
    <w:p w14:paraId="1F56D82C" w14:textId="77777777" w:rsidR="00952784" w:rsidRPr="00AA71FA" w:rsidRDefault="00952784" w:rsidP="00952784">
      <w:pPr>
        <w:jc w:val="both"/>
        <w:rPr>
          <w:u w:val="single"/>
          <w:lang w:val="sq-AL"/>
        </w:rPr>
      </w:pPr>
    </w:p>
    <w:p w14:paraId="61AFCC60" w14:textId="3A5E7F31" w:rsidR="00952784" w:rsidRPr="00AA71FA" w:rsidRDefault="00FE05A8" w:rsidP="00E80394">
      <w:pPr>
        <w:pStyle w:val="NormalWeb"/>
        <w:spacing w:before="0" w:beforeAutospacing="0" w:after="0" w:afterAutospacing="0"/>
        <w:ind w:firstLine="720"/>
        <w:jc w:val="both"/>
      </w:pPr>
      <w:r w:rsidRPr="00AA71FA">
        <w:t xml:space="preserve">1. </w:t>
      </w:r>
      <w:r w:rsidR="00952784" w:rsidRPr="00AA71FA">
        <w:t>Nga aktet e administruara në dosje rezulton se Gjykata e Rrethit Gjyqësor Tiranë, me vendimin nr. 3497, datë 30.06.2014 ka lëshuar Urdhrin e Ekzekutimit për titullin ekzekutiv Kontratë për Kredi Afatshkurtër nr. Co 153/21.02.2008, nr. 973 Rep., 6607 Kol</w:t>
      </w:r>
      <w:r w:rsidR="00312E21" w:rsidRPr="00AA71FA">
        <w:t>.</w:t>
      </w:r>
      <w:r w:rsidR="00952784" w:rsidRPr="00AA71FA">
        <w:t>, datë 04.03.2008 të Noteres Eriketa Kokoli, ndryshuar me shtojca sipas renditjes në Urdhrin e Ekzekutimit.</w:t>
      </w:r>
    </w:p>
    <w:p w14:paraId="31E85B83" w14:textId="4639700A" w:rsidR="00952784" w:rsidRPr="00AA71FA" w:rsidRDefault="00FE05A8" w:rsidP="00E80394">
      <w:pPr>
        <w:pStyle w:val="NormalWeb"/>
        <w:spacing w:before="0" w:beforeAutospacing="0" w:after="0" w:afterAutospacing="0"/>
        <w:ind w:firstLine="720"/>
        <w:jc w:val="both"/>
      </w:pPr>
      <w:r w:rsidRPr="00AA71FA">
        <w:t xml:space="preserve">2. </w:t>
      </w:r>
      <w:r w:rsidR="00952784" w:rsidRPr="00AA71FA">
        <w:t>Në Kontratën e Kredisë Afatshkurtër nr. Co 153/21.02.2008, nr. 973 Rep., 6607 Kol, datë 04.03.2008, palët e kësaj kontrate figurojnë përkatësisht</w:t>
      </w:r>
      <w:r w:rsidR="00312E21" w:rsidRPr="00AA71FA">
        <w:t>;</w:t>
      </w:r>
      <w:r w:rsidR="00952784" w:rsidRPr="00AA71FA">
        <w:t xml:space="preserve"> Kreditor “Banka e Tiranës” S</w:t>
      </w:r>
      <w:r w:rsidR="00312E21" w:rsidRPr="00AA71FA">
        <w:t xml:space="preserve">HA: </w:t>
      </w:r>
      <w:r w:rsidR="00952784" w:rsidRPr="00AA71FA">
        <w:t>Debitor Shoqëria “City Park” S</w:t>
      </w:r>
      <w:r w:rsidR="00312E21" w:rsidRPr="00AA71FA">
        <w:t>HPK:</w:t>
      </w:r>
      <w:r w:rsidR="00952784" w:rsidRPr="00AA71FA">
        <w:t xml:space="preserve"> Dorëzanës Ar</w:t>
      </w:r>
      <w:r w:rsidR="00312E21" w:rsidRPr="00AA71FA">
        <w:t>i</w:t>
      </w:r>
      <w:r w:rsidR="00952784" w:rsidRPr="00AA71FA">
        <w:t>an Mene.</w:t>
      </w:r>
    </w:p>
    <w:p w14:paraId="66FB78F1" w14:textId="1D622ED0" w:rsidR="00952784" w:rsidRPr="00AA71FA" w:rsidRDefault="00FE05A8" w:rsidP="00E80394">
      <w:pPr>
        <w:pStyle w:val="NormalWeb"/>
        <w:spacing w:before="0" w:beforeAutospacing="0" w:after="0" w:afterAutospacing="0"/>
        <w:ind w:firstLine="720"/>
        <w:jc w:val="both"/>
      </w:pPr>
      <w:r w:rsidRPr="00AA71FA">
        <w:t xml:space="preserve">3. </w:t>
      </w:r>
      <w:r w:rsidR="00312E21" w:rsidRPr="00AA71FA">
        <w:t>K</w:t>
      </w:r>
      <w:r w:rsidR="00952784" w:rsidRPr="00AA71FA">
        <w:t>jo kontratë kredie, ka pasur disa shtojca që kryesisht kanë pasur si qëllim shtyrjen e afatit të ekzekutimit të detyrimit.</w:t>
      </w:r>
    </w:p>
    <w:p w14:paraId="4FC05126" w14:textId="62352B92" w:rsidR="00952784" w:rsidRPr="00AA71FA" w:rsidRDefault="00FE05A8" w:rsidP="00E80394">
      <w:pPr>
        <w:pStyle w:val="NormalWeb"/>
        <w:spacing w:before="0" w:beforeAutospacing="0" w:after="0" w:afterAutospacing="0"/>
        <w:ind w:firstLine="720"/>
        <w:jc w:val="both"/>
      </w:pPr>
      <w:r w:rsidRPr="00AA71FA">
        <w:t xml:space="preserve">4. </w:t>
      </w:r>
      <w:r w:rsidR="00952784" w:rsidRPr="00AA71FA">
        <w:t>Paditësi Arian Mene, ashtu si</w:t>
      </w:r>
      <w:r w:rsidRPr="00AA71FA">
        <w:t>ç</w:t>
      </w:r>
      <w:r w:rsidR="00952784" w:rsidRPr="00AA71FA">
        <w:t xml:space="preserve"> rezulton edhe nga provat e paraqitura në gjykim, shfaqet në cilësinë e dorëzanësit vetëm në dy shtojca të Kontratës së Kredisë, konkretisht</w:t>
      </w:r>
      <w:r w:rsidR="00312E21" w:rsidRPr="00AA71FA">
        <w:t>;</w:t>
      </w:r>
      <w:r w:rsidR="00952784" w:rsidRPr="00AA71FA">
        <w:t xml:space="preserve"> Shtojcë kontrate për kredi afatshkurtër nr. Co 153/5/31.03.2010, nr. 1469 Rep., 885/2 Kol</w:t>
      </w:r>
      <w:r w:rsidR="00312E21" w:rsidRPr="00AA71FA">
        <w:t>.</w:t>
      </w:r>
      <w:r w:rsidR="00952784" w:rsidRPr="00AA71FA">
        <w:t>, datë 18.05.2010</w:t>
      </w:r>
      <w:r w:rsidR="00312E21" w:rsidRPr="00AA71FA">
        <w:t>:</w:t>
      </w:r>
      <w:r w:rsidR="00952784" w:rsidRPr="00AA71FA">
        <w:t xml:space="preserve"> Shtojcë kontrate për kredi afatshkurtër nr. Co 153/6/08.12.2010, nr. 3357 Rep., 2152/2 Kol</w:t>
      </w:r>
      <w:r w:rsidR="00312E21" w:rsidRPr="00AA71FA">
        <w:t>.</w:t>
      </w:r>
      <w:r w:rsidR="00952784" w:rsidRPr="00AA71FA">
        <w:t>, datë 23.12.2010.</w:t>
      </w:r>
    </w:p>
    <w:p w14:paraId="7BF04067" w14:textId="330774C3" w:rsidR="00952784" w:rsidRPr="00AA71FA" w:rsidRDefault="00FE05A8" w:rsidP="00E932F5">
      <w:pPr>
        <w:pStyle w:val="NormalWeb"/>
        <w:spacing w:before="0" w:beforeAutospacing="0" w:after="0" w:afterAutospacing="0"/>
        <w:ind w:firstLine="720"/>
        <w:jc w:val="both"/>
        <w:rPr>
          <w:color w:val="FF0000"/>
        </w:rPr>
      </w:pPr>
      <w:r w:rsidRPr="00AA71FA">
        <w:t xml:space="preserve">5. </w:t>
      </w:r>
      <w:r w:rsidR="00952784" w:rsidRPr="00AA71FA">
        <w:t>Rezulton se si në Kontratën bazë të kredisë ashtu edhe në rinovimet e mëpasshme që i janë bërë kontratës bazë të kredisë pas datës 23.12.2010 nëpërmjet shtojcave përkatëse, ashtu siç listohen edhe në Urdhrin e Ekzekutimit, paditësi nuk ka qenë palë</w:t>
      </w:r>
      <w:r w:rsidR="00E932F5" w:rsidRPr="00AA71FA">
        <w:t>.</w:t>
      </w:r>
    </w:p>
    <w:p w14:paraId="1B28C045" w14:textId="74E5E8AB" w:rsidR="00952784" w:rsidRPr="00AA71FA" w:rsidRDefault="00FE05A8" w:rsidP="00B466C7">
      <w:pPr>
        <w:pStyle w:val="NormalWeb"/>
        <w:spacing w:before="0" w:beforeAutospacing="0" w:after="0" w:afterAutospacing="0"/>
        <w:ind w:firstLine="720"/>
        <w:jc w:val="both"/>
      </w:pPr>
      <w:r w:rsidRPr="00AA71FA">
        <w:t xml:space="preserve">9. </w:t>
      </w:r>
      <w:r w:rsidR="00952784" w:rsidRPr="00AA71FA">
        <w:t>Përmbaruesi Gjyqësor Petrit Qarri i Shoqërisë Përmbarimore Executores Litium S</w:t>
      </w:r>
      <w:r w:rsidR="00312E21" w:rsidRPr="00AA71FA">
        <w:t>HPK</w:t>
      </w:r>
      <w:r w:rsidR="00952784" w:rsidRPr="00AA71FA">
        <w:t xml:space="preserve"> me shkresën nr. 742 Regj, datë 14.07.2012, komunikuar më datë 26.07.2014, i ka dërguar paditësit Arian Mene, Lajmërimin për Ekzekutim Vullnetar</w:t>
      </w:r>
      <w:r w:rsidR="00312E21" w:rsidRPr="00AA71FA">
        <w:t xml:space="preserve"> n</w:t>
      </w:r>
      <w:r w:rsidR="00E932F5" w:rsidRPr="00AA71FA">
        <w:t>ë</w:t>
      </w:r>
      <w:r w:rsidR="00312E21" w:rsidRPr="00AA71FA">
        <w:t xml:space="preserve"> </w:t>
      </w:r>
      <w:r w:rsidR="00952784" w:rsidRPr="00AA71FA">
        <w:t>cilësinë e dorëzanësit.</w:t>
      </w:r>
    </w:p>
    <w:p w14:paraId="0A447F6F" w14:textId="4D2C5253" w:rsidR="00952784" w:rsidRPr="00AA71FA" w:rsidRDefault="00FE05A8" w:rsidP="00B466C7">
      <w:pPr>
        <w:pStyle w:val="NormalWeb"/>
        <w:spacing w:before="0" w:beforeAutospacing="0" w:after="0" w:afterAutospacing="0"/>
        <w:ind w:firstLine="720"/>
        <w:jc w:val="both"/>
      </w:pPr>
      <w:r w:rsidRPr="00AA71FA">
        <w:t xml:space="preserve">10. </w:t>
      </w:r>
      <w:r w:rsidR="00952784" w:rsidRPr="00AA71FA">
        <w:t>Pikërisht, paditësi duke vlerësuar se ky urdhër vjen në kundërshtim me ligjin dhe me titullin ekzekutiv kontratën e kredisë bankare, i është drejtuar gjykatës me padinë objekt gjykimi.</w:t>
      </w:r>
    </w:p>
    <w:p w14:paraId="32D97830" w14:textId="01B75DCA" w:rsidR="00952784" w:rsidRPr="00AA71FA" w:rsidRDefault="00FE05A8" w:rsidP="00B466C7">
      <w:pPr>
        <w:pStyle w:val="NormalWeb"/>
        <w:spacing w:before="0" w:beforeAutospacing="0" w:after="0" w:afterAutospacing="0"/>
        <w:ind w:firstLine="720"/>
        <w:jc w:val="both"/>
      </w:pPr>
      <w:r w:rsidRPr="00AA71FA">
        <w:t xml:space="preserve">11. </w:t>
      </w:r>
      <w:r w:rsidR="00952784" w:rsidRPr="00AA71FA">
        <w:t>Nëpërmjet padisë objekt gjykimi, paditësi parashtron se, ashtu siç rezulton edhe nga Kontrata e Kredisë Bankare Afatshkurtër nr. Co 153/21.02.2008, nr. 973 Rep., 6607 Kol, datë 04.03.2008 të Noteres Eriketa Kokoli, nuk rezulton të jetë në cilësinë juridike të Dorëzanësit për detyrimin e debitorit “City Park” S</w:t>
      </w:r>
      <w:r w:rsidR="00312E21" w:rsidRPr="00AA71FA">
        <w:t>HPK</w:t>
      </w:r>
      <w:r w:rsidR="00952784" w:rsidRPr="00AA71FA">
        <w:t>, kontratë e cila përbën edhe titull ekzekutiv. Në këtë aspekt, parashtron paditësi, duke qenë se ndodhemi përpara faktit që ai nuk rezulton dorëzanës i kontratës së kredisë bankare afatshkurtër të përcaktuar në Urdhrin e Përmbaruesit, detyrimisht veprimet përmbarimore të kryera ndaj tij duhet të anulohen dhe të mos vazhdojë kryerja e veprimeve të tjera për ekzekutimin e detyrimit; kjo pasi, sipas tij ai nuk mund të përgjigjet për marrëveshje të mëtejshme të rëna dakord dhe të nënshkruara nga palët për të cilat ai nuk ka dhënë miratimin dhe nuk ka qenë palë.</w:t>
      </w:r>
    </w:p>
    <w:p w14:paraId="085A7C3B" w14:textId="2E8D8D6F" w:rsidR="00952784" w:rsidRPr="00AA71FA" w:rsidRDefault="00FE05A8" w:rsidP="00B466C7">
      <w:pPr>
        <w:pStyle w:val="NoSpacing"/>
        <w:ind w:firstLine="720"/>
        <w:jc w:val="both"/>
        <w:rPr>
          <w:lang w:val="sq-AL"/>
        </w:rPr>
      </w:pPr>
      <w:r w:rsidRPr="00AA71FA">
        <w:rPr>
          <w:b/>
          <w:bCs/>
          <w:lang w:val="sq-AL"/>
        </w:rPr>
        <w:t xml:space="preserve">12. </w:t>
      </w:r>
      <w:r w:rsidR="00952784" w:rsidRPr="00AA71FA">
        <w:rPr>
          <w:b/>
          <w:bCs/>
          <w:lang w:val="sq-AL"/>
        </w:rPr>
        <w:t>Gjykata e Rrethit Gjyqësor Tiranë</w:t>
      </w:r>
      <w:r w:rsidR="00952784" w:rsidRPr="00AA71FA">
        <w:rPr>
          <w:b/>
          <w:lang w:val="sq-AL"/>
        </w:rPr>
        <w:t>,</w:t>
      </w:r>
      <w:r w:rsidR="00952784" w:rsidRPr="00AA71FA">
        <w:rPr>
          <w:lang w:val="sq-AL"/>
        </w:rPr>
        <w:t xml:space="preserve"> me vendimin nr. </w:t>
      </w:r>
      <w:r w:rsidR="00952784" w:rsidRPr="00AA71FA">
        <w:rPr>
          <w:rFonts w:eastAsia="SimSun"/>
          <w:bCs/>
          <w:color w:val="000000"/>
          <w:lang w:val="sq-AL" w:eastAsia="sq-AL"/>
        </w:rPr>
        <w:t>13431, datë 26.11.2015</w:t>
      </w:r>
      <w:r w:rsidR="00952784" w:rsidRPr="00AA71FA">
        <w:rPr>
          <w:lang w:val="sq-AL"/>
        </w:rPr>
        <w:t xml:space="preserve"> ka vendosur:</w:t>
      </w:r>
    </w:p>
    <w:p w14:paraId="125CA78C" w14:textId="07779E2A" w:rsidR="00952784" w:rsidRPr="00AA71FA" w:rsidRDefault="00FE05A8" w:rsidP="00952784">
      <w:pPr>
        <w:pStyle w:val="NormalWeb"/>
        <w:spacing w:before="0" w:beforeAutospacing="0" w:after="0" w:afterAutospacing="0"/>
        <w:jc w:val="both"/>
        <w:rPr>
          <w:i/>
          <w:iCs/>
        </w:rPr>
      </w:pPr>
      <w:r w:rsidRPr="00AA71FA">
        <w:rPr>
          <w:rStyle w:val="Strong"/>
          <w:b w:val="0"/>
          <w:bCs w:val="0"/>
          <w:i/>
          <w:iCs/>
        </w:rPr>
        <w:t>“</w:t>
      </w:r>
      <w:r w:rsidR="00952784" w:rsidRPr="00AA71FA">
        <w:rPr>
          <w:rStyle w:val="Strong"/>
          <w:b w:val="0"/>
          <w:bCs w:val="0"/>
          <w:i/>
          <w:iCs/>
        </w:rPr>
        <w:t>P</w:t>
      </w:r>
      <w:r w:rsidR="00952784" w:rsidRPr="00AA71FA">
        <w:rPr>
          <w:i/>
          <w:iCs/>
        </w:rPr>
        <w:t xml:space="preserve">ranimin e padisë. </w:t>
      </w:r>
    </w:p>
    <w:p w14:paraId="2A23489D" w14:textId="77777777" w:rsidR="00B466C7" w:rsidRPr="00AA71FA" w:rsidRDefault="00952784" w:rsidP="00952784">
      <w:pPr>
        <w:pStyle w:val="NormalWeb"/>
        <w:spacing w:before="0" w:beforeAutospacing="0" w:after="0" w:afterAutospacing="0"/>
        <w:jc w:val="both"/>
        <w:rPr>
          <w:i/>
          <w:iCs/>
        </w:rPr>
      </w:pPr>
      <w:r w:rsidRPr="00AA71FA">
        <w:rPr>
          <w:i/>
          <w:iCs/>
        </w:rPr>
        <w:t xml:space="preserve">Anulimin e veprimeve përmbarimore të Shërbimit Përmbarimor Executores Litium (përmbarues Petrit Qarri), lajmëruar me shkresën nr. 742 Regj, datë 14.07.2014 për ekzekutimin e titullit ekzekutiv për të cilin është lëshuar nga Gjykata e Rrethit Gjyqësor Tiranë urdhëri i ekzekutimit nr. 3497, datë 30.06.2014, për sa i përket shtrirjes së ekzekutimit ndaj paditësit Arian Mene. </w:t>
      </w:r>
    </w:p>
    <w:p w14:paraId="61D7E28A" w14:textId="1A50D5B5" w:rsidR="00952784" w:rsidRPr="00AA71FA" w:rsidRDefault="00952784" w:rsidP="00952784">
      <w:pPr>
        <w:pStyle w:val="NormalWeb"/>
        <w:spacing w:before="0" w:beforeAutospacing="0" w:after="0" w:afterAutospacing="0"/>
        <w:jc w:val="both"/>
        <w:rPr>
          <w:i/>
          <w:iCs/>
        </w:rPr>
      </w:pPr>
      <w:r w:rsidRPr="00AA71FA">
        <w:rPr>
          <w:i/>
          <w:iCs/>
        </w:rPr>
        <w:t xml:space="preserve">Pushimin e ekzekutimit të urdhërit të ekzekutimit Nr.3497, datë 30.06.2014, për paditësin Arian Mene si pasojë e shuarjes së dorëzanisë. Marrjen e masës së sigurimit të padisë duke urdhëruar pezullimin e veprimeve përmbarimore për paditësin Arian Mene deri në zgjidhjen përfundimtare të çështjes. </w:t>
      </w:r>
    </w:p>
    <w:p w14:paraId="321AC32B" w14:textId="26A569EE" w:rsidR="00952784" w:rsidRPr="00AA71FA" w:rsidRDefault="00952784" w:rsidP="00952784">
      <w:pPr>
        <w:pStyle w:val="NormalWeb"/>
        <w:spacing w:before="0" w:beforeAutospacing="0" w:after="0" w:afterAutospacing="0"/>
        <w:jc w:val="both"/>
        <w:rPr>
          <w:i/>
          <w:iCs/>
        </w:rPr>
      </w:pPr>
      <w:r w:rsidRPr="00AA71FA">
        <w:rPr>
          <w:rStyle w:val="Strong"/>
          <w:b w:val="0"/>
          <w:bCs w:val="0"/>
          <w:i/>
          <w:iCs/>
        </w:rPr>
        <w:lastRenderedPageBreak/>
        <w:t>S</w:t>
      </w:r>
      <w:r w:rsidRPr="00AA71FA">
        <w:rPr>
          <w:i/>
          <w:iCs/>
        </w:rPr>
        <w:t>hpenzimet gjyqësore në ngarkim të palës së paditur.</w:t>
      </w:r>
    </w:p>
    <w:p w14:paraId="47BE05D6" w14:textId="32DDA076" w:rsidR="00952784" w:rsidRPr="00AA71FA" w:rsidRDefault="00952784" w:rsidP="00952784">
      <w:pPr>
        <w:jc w:val="both"/>
        <w:rPr>
          <w:i/>
          <w:iCs/>
          <w:lang w:val="sq-AL"/>
        </w:rPr>
      </w:pPr>
      <w:r w:rsidRPr="00AA71FA">
        <w:rPr>
          <w:rStyle w:val="Strong"/>
          <w:b w:val="0"/>
          <w:bCs w:val="0"/>
          <w:i/>
          <w:iCs/>
          <w:lang w:val="sq-AL"/>
        </w:rPr>
        <w:t>K</w:t>
      </w:r>
      <w:r w:rsidRPr="00AA71FA">
        <w:rPr>
          <w:i/>
          <w:iCs/>
          <w:lang w:val="sq-AL"/>
        </w:rPr>
        <w:t>undër këtij vendimi mund të bëhet ankim në Gjykatën e Apelit Tiranë, brenda 15 (pesëmbëdhjetë) ditëve nga marrja dijeni.</w:t>
      </w:r>
      <w:r w:rsidR="00FE05A8" w:rsidRPr="00AA71FA">
        <w:rPr>
          <w:i/>
          <w:iCs/>
          <w:lang w:val="sq-AL"/>
        </w:rPr>
        <w:t>”</w:t>
      </w:r>
    </w:p>
    <w:p w14:paraId="4B326A73" w14:textId="7B618FE7" w:rsidR="00952784" w:rsidRPr="00AA71FA" w:rsidRDefault="00FE05A8" w:rsidP="00B466C7">
      <w:pPr>
        <w:ind w:left="720"/>
        <w:jc w:val="both"/>
        <w:rPr>
          <w:lang w:val="sq-AL"/>
        </w:rPr>
      </w:pPr>
      <w:r w:rsidRPr="00AA71FA">
        <w:rPr>
          <w:lang w:val="sq-AL"/>
        </w:rPr>
        <w:t xml:space="preserve">12.1. </w:t>
      </w:r>
      <w:r w:rsidR="00952784" w:rsidRPr="00AA71FA">
        <w:rPr>
          <w:lang w:val="sq-AL"/>
        </w:rPr>
        <w:t>Gjykata e rrethit gjyqësor ndër të tjera arsyeton:</w:t>
      </w:r>
    </w:p>
    <w:p w14:paraId="682A8C14" w14:textId="77777777" w:rsidR="00952784" w:rsidRPr="00AA71FA" w:rsidRDefault="00952784" w:rsidP="00952784">
      <w:pPr>
        <w:pStyle w:val="NormalWeb"/>
        <w:spacing w:before="0" w:beforeAutospacing="0" w:after="0" w:afterAutospacing="0"/>
        <w:jc w:val="both"/>
      </w:pPr>
      <w:r w:rsidRPr="00AA71FA">
        <w:rPr>
          <w:rStyle w:val="Strong"/>
          <w:b w:val="0"/>
          <w:bCs w:val="0"/>
        </w:rPr>
        <w:t>Gjykata</w:t>
      </w:r>
      <w:r w:rsidRPr="00AA71FA">
        <w:t xml:space="preserve">, si çmoi në tërësi rrethanat e çështjes dhe analizoi pretendimet e palëve në raport me dispozitat ligjore, </w:t>
      </w:r>
      <w:r w:rsidRPr="00AA71FA">
        <w:rPr>
          <w:rStyle w:val="Strong"/>
          <w:b w:val="0"/>
          <w:bCs w:val="0"/>
        </w:rPr>
        <w:t>arrin në përfundimin se padia e bërë duhet pranuar</w:t>
      </w:r>
      <w:r w:rsidRPr="00AA71FA">
        <w:t>.</w:t>
      </w:r>
      <w:r w:rsidRPr="00AA71FA">
        <w:rPr>
          <w:rStyle w:val="Strong"/>
        </w:rPr>
        <w:t xml:space="preserve"> </w:t>
      </w:r>
      <w:r w:rsidRPr="00AA71FA">
        <w:t xml:space="preserve">Gjykata arrin në këtë përfundim, duke argumentuar si më poshtë vijon: </w:t>
      </w:r>
    </w:p>
    <w:p w14:paraId="434CB973" w14:textId="77777777" w:rsidR="00952784" w:rsidRPr="00AA71FA" w:rsidRDefault="00952784" w:rsidP="00952784">
      <w:pPr>
        <w:pStyle w:val="NormalWeb"/>
        <w:spacing w:before="0" w:beforeAutospacing="0" w:after="0" w:afterAutospacing="0"/>
        <w:jc w:val="both"/>
      </w:pPr>
      <w:r w:rsidRPr="00AA71FA">
        <w:t>Paditësi si në parashtrimet në kërkesëpadi ashtu dhe në diskutimin përfundimtar, në themel kundërshton veprimet përmbarimore (formalizuar me shkresën</w:t>
      </w:r>
      <w:r w:rsidRPr="00AA71FA">
        <w:rPr>
          <w:rStyle w:val="Strong"/>
          <w:b w:val="0"/>
          <w:bCs w:val="0"/>
        </w:rPr>
        <w:t xml:space="preserve"> nr. </w:t>
      </w:r>
      <w:r w:rsidRPr="00AA71FA">
        <w:t xml:space="preserve">746 Regj, datë 14.07.2014), duke i kërkuar gjykatës anulimin e tyre, për sa i përket shtrirjes së ekzekutimit ndaj tij, si dhe pushimin e ekzekutimit të urdhërit të ekzekutimit nr. 3497, datë 30.06.2014, për të, si pasojë e shuarjes së dorëzanisë. Nga shqyrtim i akteve, rezulton se ky pretendim i tij është i bazuar në ligj dhe në prova, për arsyet si më poshtë vijon: </w:t>
      </w:r>
    </w:p>
    <w:p w14:paraId="717356FA" w14:textId="77777777" w:rsidR="00952784" w:rsidRPr="00AA71FA" w:rsidRDefault="00952784" w:rsidP="00952784">
      <w:pPr>
        <w:pStyle w:val="NormalWeb"/>
        <w:spacing w:before="0" w:beforeAutospacing="0" w:after="0" w:afterAutospacing="0"/>
        <w:jc w:val="both"/>
      </w:pPr>
      <w:r w:rsidRPr="00AA71FA">
        <w:t>Kështu, Kodi i Procedurës Civile parashikon në nenin 610 të tij se:</w:t>
      </w:r>
      <w:r w:rsidRPr="00AA71FA">
        <w:rPr>
          <w:color w:val="221F1F"/>
        </w:rPr>
        <w:t xml:space="preserve"> “</w:t>
      </w:r>
      <w:r w:rsidRPr="00AA71FA">
        <w:rPr>
          <w:rStyle w:val="Emphasis"/>
          <w:color w:val="221F1F"/>
        </w:rPr>
        <w:t xml:space="preserve">Kundër veprimeve të përmbaruesit gjyqësor dhe kundër refuzimit të tij për të kryer një veprim, palët mund të bëjnë ankim në gjykatën që ekzekuton vendimin brenda 5 ditëve nga dita e kryerjes së veprimit apo refuzimit, kur palët kanë qenë të pranishme në kryerjen e veprimit ose kanë qenë thirrur edhe në raste të tjera nga dita që i është njoftuar ose ka marrë dijeni për veprimin ose refuzimin. </w:t>
      </w:r>
      <w:r w:rsidRPr="00AA71FA">
        <w:rPr>
          <w:rStyle w:val="Emphasis"/>
        </w:rPr>
        <w:t xml:space="preserve">Kundër veprimeve të personave, përmbaruesit gjyqësorë, që ushtrojnë veprimtarinë publike të shërbimit përmbarimor gjyqësor të organizuar mbi baza private, pala debitore mund të paraqesë ankim në gjykatën, ku ekzekutohet titulli ekzekutiv, brenda 5 ditëve nga data e kryerjes së veprimit. </w:t>
      </w:r>
      <w:r w:rsidRPr="00AA71FA">
        <w:rPr>
          <w:rStyle w:val="Emphasis"/>
          <w:color w:val="221F1F"/>
        </w:rPr>
        <w:t>Ankimi shqyrtohet brenda 20 ditëve nga gjykata e vendit të ekzekutimit, e cila kur e sheh të nevojshme mund të thërrasë edhe palët. Përmbaruesi gjyqësor thirret nga gjykata me cilësinë e palës së paditur.</w:t>
      </w:r>
      <w:r w:rsidRPr="00AA71FA">
        <w:t>”</w:t>
      </w:r>
    </w:p>
    <w:p w14:paraId="70DCABBB" w14:textId="77777777" w:rsidR="00952784" w:rsidRPr="00AA71FA" w:rsidRDefault="00952784" w:rsidP="00952784">
      <w:pPr>
        <w:pStyle w:val="NormalWeb"/>
        <w:spacing w:before="0" w:beforeAutospacing="0" w:after="0" w:afterAutospacing="0"/>
        <w:jc w:val="both"/>
      </w:pPr>
      <w:r w:rsidRPr="00AA71FA">
        <w:t>Në çështjen objekt gjykimi jemi përpara rastit kur paditësi pretendon se detyrimi për të nuk ekziston. Nga shqyrtimi i akteve, rezulton se paditësi nuk gëzon cilësinë e dorëzanësit, pasi me ndryshimet e mëtejshme që i janë bërë Kontratës së Kredisë, ai nuk ka qenë palë nënshkruese e tyre dhe rrjedhimisht deduktohet që Banka ka hequr dorë nga dorëzania e tij.</w:t>
      </w:r>
    </w:p>
    <w:p w14:paraId="5CB508F6" w14:textId="77777777" w:rsidR="00952784" w:rsidRPr="00AA71FA" w:rsidRDefault="00952784" w:rsidP="00952784">
      <w:pPr>
        <w:pStyle w:val="NormalWeb"/>
        <w:spacing w:before="0" w:beforeAutospacing="0" w:after="0" w:afterAutospacing="0"/>
        <w:jc w:val="both"/>
      </w:pPr>
      <w:r w:rsidRPr="00AA71FA">
        <w:t>Po ashtu, rezulton se paditësi nuk ka shprehur vullnetin e tij si dorëzanës për të amenduar kontratën e kredisë me shtojcat pasuese. Kështu, duke mos shprehur vullnetin e tij si dorëzanës në shtojcat pasuese, ai nuk ka marrë përsipër përgjegjësinë e ekzekutimit të detyrimit të debitorit kryesor për periudhën në vijim d.m.th pas datës 30.01.2011.</w:t>
      </w:r>
    </w:p>
    <w:p w14:paraId="2825B217" w14:textId="505EB648" w:rsidR="00952784" w:rsidRPr="00AA71FA" w:rsidRDefault="00952784" w:rsidP="00952784">
      <w:pPr>
        <w:pStyle w:val="NormalWeb"/>
        <w:spacing w:before="0" w:beforeAutospacing="0" w:after="0" w:afterAutospacing="0"/>
        <w:jc w:val="both"/>
      </w:pPr>
      <w:r w:rsidRPr="00AA71FA">
        <w:t>Shprehja e vullnetit të dorëzanësit për ndryshimin e kontratës së dorëzanisë është thelbësore, arsyeton gjykata, përsa i përket vlefshmërisë në vijim të kësaj kontrate. Për rrjedhojë, amendimet e mëvonshme të kontratës së kredisë, të kryera ndërmjet palëve kredidhënësit “Banka e Tiranës” S</w:t>
      </w:r>
      <w:r w:rsidR="00942913" w:rsidRPr="00AA71FA">
        <w:t>HA</w:t>
      </w:r>
      <w:r w:rsidRPr="00AA71FA">
        <w:t>, kredimarrësit shoqëria “City Park” S</w:t>
      </w:r>
      <w:r w:rsidR="00942913" w:rsidRPr="00AA71FA">
        <w:t>HPK</w:t>
      </w:r>
      <w:r w:rsidRPr="00AA71FA">
        <w:t xml:space="preserve"> dhe dorëzanësve të tjerë, nuk janë të vlefshme për paditësin në kushtet kur ai si dorëzanës nuk ka shprehur vullnetin për vazhdimin e garantimit të kredisë për periudhën pasardhëse dhe nuk figuron më si i tillë në shtojcat pasardhëse. Në këto kushte, paditësit nuk mund t’i kërkohet më që të shlyejë si dorëzanës detyrimin e marrë përsipër nga kreditori </w:t>
      </w:r>
      <w:r w:rsidR="00E02132" w:rsidRPr="00AA71FA">
        <w:t>s</w:t>
      </w:r>
      <w:r w:rsidRPr="00AA71FA">
        <w:t xml:space="preserve">hoqëria </w:t>
      </w:r>
      <w:r w:rsidR="00E02132" w:rsidRPr="00AA71FA">
        <w:t>“City Park” S</w:t>
      </w:r>
      <w:r w:rsidR="00942913" w:rsidRPr="00AA71FA">
        <w:t>HPK</w:t>
      </w:r>
      <w:r w:rsidRPr="00AA71FA">
        <w:t xml:space="preserve"> me Kontratën për Kredi Afat Shkurtër nr. Co 153/21.02.2008, nr. 973 Rep., 6607 Kol, datë 04.03.2008, për sa kohë që pala tjetër e kontratës së dorëzanisë, kreditori, ka rënë dakord me debitorin që të ndryshojë kushtet e kontratës dhe të mos e përfshijë më si dorëzanës paditësin Arian Mene. </w:t>
      </w:r>
    </w:p>
    <w:p w14:paraId="492DE556" w14:textId="77777777" w:rsidR="00952784" w:rsidRPr="00AA71FA" w:rsidRDefault="00952784" w:rsidP="00952784">
      <w:pPr>
        <w:pStyle w:val="NormalWeb"/>
        <w:spacing w:before="0" w:beforeAutospacing="0" w:after="0" w:afterAutospacing="0"/>
        <w:jc w:val="both"/>
      </w:pPr>
      <w:r w:rsidRPr="00AA71FA">
        <w:t>Përfundimin për shuarjen e detyrimit të paditësit si dorëzanës, gjykata po ashtu e referon në atë që ligji parashikon në lidhje me institutin e Dorëzanisë. Kështu, Kodi Civil, në nenin 585 të tij përcakton se: “</w:t>
      </w:r>
      <w:r w:rsidRPr="00AA71FA">
        <w:rPr>
          <w:rStyle w:val="Emphasis"/>
          <w:color w:val="231F20"/>
        </w:rPr>
        <w:t>Dorëzania është një veprim juridik me të cilën një person (dorëzanësi), detyrohet t’i sigurojë kreditorit ekzekutimin e detyrimit të një personi të tretë (debitori kryesor)</w:t>
      </w:r>
      <w:r w:rsidRPr="00AA71FA">
        <w:rPr>
          <w:color w:val="231F20"/>
        </w:rPr>
        <w:t>”.</w:t>
      </w:r>
    </w:p>
    <w:p w14:paraId="00C3EAF0" w14:textId="77777777" w:rsidR="00952784" w:rsidRPr="00AA71FA" w:rsidRDefault="00952784" w:rsidP="00952784">
      <w:pPr>
        <w:pStyle w:val="NormalWeb"/>
        <w:spacing w:before="0" w:beforeAutospacing="0" w:after="0" w:afterAutospacing="0"/>
        <w:jc w:val="both"/>
      </w:pPr>
      <w:r w:rsidRPr="00AA71FA">
        <w:lastRenderedPageBreak/>
        <w:t>Sa më sipër, në rastin konkret, Banka duke rinovuar kontratën e kredisë dhe duke mos e përfshirë paditësin në listën e dorëzanësve, kuptohet që me vullnet të plotë ka hequr dorë nga Dorëzania e tij.</w:t>
      </w:r>
    </w:p>
    <w:p w14:paraId="7718B2BB" w14:textId="77777777" w:rsidR="00952784" w:rsidRPr="00AA71FA" w:rsidRDefault="00952784" w:rsidP="00952784">
      <w:pPr>
        <w:pStyle w:val="NormalWeb"/>
        <w:spacing w:before="0" w:beforeAutospacing="0" w:after="0" w:afterAutospacing="0"/>
        <w:jc w:val="both"/>
        <w:rPr>
          <w:i/>
          <w:iCs/>
        </w:rPr>
      </w:pPr>
      <w:r w:rsidRPr="00AA71FA">
        <w:t xml:space="preserve">Në nenet 597 e vijues të Kodit Civil parashikohen rastet e shuarjes së dorëzanisë, dhe konkretisht rastet e shuarjes së dorëzanisë janë: </w:t>
      </w:r>
      <w:r w:rsidRPr="00AA71FA">
        <w:rPr>
          <w:i/>
          <w:iCs/>
        </w:rPr>
        <w:t>1) Me shuarjen e detyrimit kryesor; 2) Kreditori ka hequr dorë nga privilegjet, pengu dhe hipoteka që i siguronin kredinë dhe për këtë shkak dorëzanësi nuk mund të zërë vendin e tij në këto të drejta; 3) Kur kreditori pranon vullnetarisht një pasuri, ose çdo gjë tjetër për pagimin e detyrimit kryesor; 4) Nëse kreditori nuk ka ngritur padi kundër dorëzanësit brenda 6 muajve nga dita e mbarimit të afatit të ekzekutimit të detyrimit. Kur afati i ekzekutimit të detyrimit nuk është caktuar as në kontratën e dorëzanisë dhe as në një marrëveshje tjetër, dorëzania shuhet me kalimin e një viti nga dita e lidhjes së kontratës së dorëzanisë.</w:t>
      </w:r>
    </w:p>
    <w:p w14:paraId="098D9CF6" w14:textId="77777777" w:rsidR="00952784" w:rsidRPr="00AA71FA" w:rsidRDefault="00952784" w:rsidP="00952784">
      <w:pPr>
        <w:pStyle w:val="NormalWeb"/>
        <w:spacing w:before="0" w:beforeAutospacing="0" w:after="0" w:afterAutospacing="0"/>
        <w:jc w:val="both"/>
      </w:pPr>
      <w:r w:rsidRPr="00AA71FA">
        <w:t xml:space="preserve">Dorëzania është një mjet për sigurimin dhe garantimin e përmbushjes së detyrimit dhe neni 600 i Kodit Civil ka parashikuar në mënyrë të qartë se dorëzanësi nuk është i lidhur pambarimisht me marrëveshjen e tij si dorëzanës, duke e kushtëzuar këtë me një afat 6 (gjashtë) mujor nga afati i përmbushjes së kontratës kryesore, brenda të cilit kreditori ka të drejtën e padisë ndaj tij për përmbushjen e detyrimit. </w:t>
      </w:r>
    </w:p>
    <w:p w14:paraId="18CB2D1C" w14:textId="77777777" w:rsidR="00952784" w:rsidRPr="00AA71FA" w:rsidRDefault="00952784" w:rsidP="00952784">
      <w:pPr>
        <w:pStyle w:val="NormalWeb"/>
        <w:spacing w:before="0" w:beforeAutospacing="0" w:after="0" w:afterAutospacing="0"/>
        <w:jc w:val="both"/>
      </w:pPr>
      <w:r w:rsidRPr="00AA71FA">
        <w:rPr>
          <w:color w:val="231F20"/>
        </w:rPr>
        <w:t>Pika 4 e përmendur më sipër parashikohet shprehimisht nga</w:t>
      </w:r>
      <w:r w:rsidRPr="00AA71FA">
        <w:t xml:space="preserve"> neni 600 i Kodit Civil</w:t>
      </w:r>
      <w:r w:rsidRPr="00AA71FA">
        <w:rPr>
          <w:rStyle w:val="Strong"/>
        </w:rPr>
        <w:t xml:space="preserve"> </w:t>
      </w:r>
      <w:r w:rsidRPr="00AA71FA">
        <w:t xml:space="preserve">dhe vlen pikërisht për rastin konkret. Kështu, në rastin objekt gjykimi kemi të bëjmë me një kontratë kredie, afati i së cilës për paditësin si dorëzanës ka përfunduar në datën 30 Janar 2011 dhe se deri në 6 muaj pas këtij afati nga ana e kreditorit nuk është jo vetëm kërkuar me padi, por as nuk i është kërkuar në asnjë lloj mënyre tjetër shlyerja e detyrimit. </w:t>
      </w:r>
    </w:p>
    <w:p w14:paraId="458E574D" w14:textId="77777777" w:rsidR="00952784" w:rsidRPr="00AA71FA" w:rsidRDefault="00952784" w:rsidP="00952784">
      <w:pPr>
        <w:pStyle w:val="NormalWeb"/>
        <w:spacing w:before="0" w:beforeAutospacing="0" w:after="0" w:afterAutospacing="0"/>
        <w:jc w:val="both"/>
      </w:pPr>
      <w:r w:rsidRPr="00AA71FA">
        <w:t>Gjithashtu, gjykata vëren se në lidhje me kërkimin e Dorëzanisë, Kodi i Procedurës Civile përcakton një afat të posaçëm, dhe moskërkimi brenda atij afati e shuan të drejtën për ta kërkuar më vonë.</w:t>
      </w:r>
    </w:p>
    <w:p w14:paraId="2B1C613D" w14:textId="4C0AF33A" w:rsidR="00952784" w:rsidRPr="00AA71FA" w:rsidRDefault="00952784" w:rsidP="00952784">
      <w:pPr>
        <w:pStyle w:val="NormalWeb"/>
        <w:spacing w:before="0" w:beforeAutospacing="0" w:after="0" w:afterAutospacing="0"/>
        <w:jc w:val="both"/>
      </w:pPr>
      <w:r w:rsidRPr="00AA71FA">
        <w:t>Më tej, duke bërë edhe një interpretim tërësor të asaj që parashikon legjislacioni në lidhje me parashkrimin dhe rënien në dekadencë të të drejtave mund të thuhet se:</w:t>
      </w:r>
      <w:r w:rsidR="00942913" w:rsidRPr="00AA71FA">
        <w:t xml:space="preserve"> </w:t>
      </w:r>
      <w:r w:rsidRPr="00AA71FA">
        <w:t>Kontrata e kredisë bankare e cila është vënë në ekzekutim është kontratë me afat të përcaktuar për ekzekutimin e detyrimit. Ajo për të cilën paditësi si person mund të detyrohet, është vetëm ajo për të cilën ai ka nënshkruar. Si</w:t>
      </w:r>
      <w:r w:rsidR="00E932F5" w:rsidRPr="00AA71FA">
        <w:rPr>
          <w:iCs/>
        </w:rPr>
        <w:t>ç</w:t>
      </w:r>
      <w:r w:rsidRPr="00AA71FA">
        <w:t xml:space="preserve"> u theksua më lart, paditësi ka nënshkruar në dy shtojca të kontratës së kredisë, e fundit e datës 24.12.2010, afat i cili ka mbaruar duke kaluar edhe periudha që kreditori mund ti kundrejtohet dorëzanësit. </w:t>
      </w:r>
    </w:p>
    <w:p w14:paraId="7ACB378D" w14:textId="77777777" w:rsidR="00952784" w:rsidRPr="00AA71FA" w:rsidRDefault="00952784" w:rsidP="00952784">
      <w:pPr>
        <w:pStyle w:val="NormalWeb"/>
        <w:spacing w:before="0" w:beforeAutospacing="0" w:after="0" w:afterAutospacing="0"/>
        <w:jc w:val="both"/>
      </w:pPr>
      <w:r w:rsidRPr="00AA71FA">
        <w:t>Në bazë të nenit 600 të Kodit Civil dhe mbështetur edhe faktit që megjithëse kontratat janë rinovuar sërish dhe janë nënshkruar nga kredimarrës e dorëzanës të tjerë dhe nuk janë nënshkruar nga ana e paditësit, dorëzania në fjalë e lidhur midis bankës dhe palës paditëse është shuar, si rrjedhojë, kërkimet e kreditorit bankë për ekzekutimin e titullit ekzekutiv nuk mund t’i drejtohen palës paditëse me cilësi të dorëzanësit e përmbaruesi nuk mund të veprojë kundrejt tij.</w:t>
      </w:r>
    </w:p>
    <w:p w14:paraId="611F121F" w14:textId="3D425597" w:rsidR="00952784" w:rsidRPr="00AA71FA" w:rsidRDefault="00952784" w:rsidP="00952784">
      <w:pPr>
        <w:pStyle w:val="NormalWeb"/>
        <w:spacing w:before="0" w:beforeAutospacing="0" w:after="0" w:afterAutospacing="0"/>
        <w:jc w:val="both"/>
      </w:pPr>
      <w:r w:rsidRPr="00AA71FA">
        <w:t>Theksohet gjithashtu se Urdhri i Ekzekutimit është nxjerrë për ekzekutimin e titullit ekzekutiv kontratë kredie dhe shtojcat përkatëse. Në asnjë rresht të dispozitivit të Urdhrit të Ekzekutimit, por edhe në asnjë rresht të përmbajtjes së vendimit të gjykatës për Lëshimin e Urdhrit të Ekzekutimit, nuk citohet se duhet kryer ekzekutimi ndaj paditësit Arian Mene. Për rrjedhojë, përmbaruesi në fillimin e ekzekutimit duhej të studionte me kujdes lindjen e marrëdhënies së kredisë, garancitë e krijuara për shlyerjen e detyrimit, mënyrën e krijimit dhe vazhdimin e marrëdhënies së kredisë deri në përfundim të afatit, në mënyrë që të arrinte në një cilësim të drejtë e të ligjshëm të palëve ndaj të cilëve do të shtrinte ekzekutimin.</w:t>
      </w:r>
    </w:p>
    <w:p w14:paraId="00071518" w14:textId="77777777" w:rsidR="00952784" w:rsidRPr="00AA71FA" w:rsidRDefault="00952784" w:rsidP="00952784">
      <w:pPr>
        <w:pStyle w:val="NormalWeb"/>
        <w:spacing w:before="0" w:beforeAutospacing="0" w:after="0" w:afterAutospacing="0"/>
        <w:jc w:val="both"/>
      </w:pPr>
      <w:r w:rsidRPr="00AA71FA">
        <w:t xml:space="preserve">Në gjykim, personi i tretë parashtroi se paditësi ka fituar cilësinë e Dorëzanësit që në kontratën bazë të kredisë. Lidhur me këtë pretendim, gjykata arsyeton se kjo nuk do të thotë asgjë, pasi kjo kontratë ka patur një afat të përcaktuar për ekzekutimin e saj e cila është ndryshuar me shtojca të mëtejshme ku paditësi nuk ka qenë palë dhe për të cilat deduktohet që nuk ka dhënë miratim. Ligji e përcakton fare qartë, që kalimi i afatit 6 </w:t>
      </w:r>
      <w:r w:rsidRPr="00AA71FA">
        <w:lastRenderedPageBreak/>
        <w:t>mujor nga afati i ekzekutimit të detyrimit bën që Dorëzania të shuhet. Për këtë arsye, pretendimi i Bankës se detyrimi nuk është shuar është i pambështetur në ligj. Dorëzania e dhënë nga paditësi është shuar si pasojë e ligjit (neni 600 Kodi Civil) dhe si pasojë e vetë marrëveshjeve të lidhura nga palët (kreditor, debitor) për ndryshimet dhe shtojcat e kontratës së kredisë.</w:t>
      </w:r>
    </w:p>
    <w:p w14:paraId="2AC0E76D" w14:textId="1D054021" w:rsidR="00952784" w:rsidRPr="00AA71FA" w:rsidRDefault="00952784" w:rsidP="00952784">
      <w:pPr>
        <w:pStyle w:val="NormalWeb"/>
        <w:spacing w:before="0" w:beforeAutospacing="0" w:after="0" w:afterAutospacing="0"/>
        <w:jc w:val="both"/>
      </w:pPr>
      <w:r w:rsidRPr="00AA71FA">
        <w:t xml:space="preserve">Pretendimi i personit të tretë Banka e Tiranës se detyrimi i shoqërisë “City Park” </w:t>
      </w:r>
      <w:r w:rsidR="00942913" w:rsidRPr="00AA71FA">
        <w:t>SHPK</w:t>
      </w:r>
      <w:r w:rsidRPr="00AA71FA">
        <w:t xml:space="preserve">, është bërë i kërkueshëm në datën 31.01.2014, e për rrjedhojë, nga kjo datë duhet të fillojë përllogaritja e afatit 6 mujor të shuarjes së dorëzanisë, është i pabazuar, pasi siç dhe u arsyetua më lart, data 31.01.2014, ka qenë përcaktuar pa dijeninë dhe pa pëlqimin e dorëzanësit, paditësit Arian Mene, në një kohë kur vullneti i tij si dorëzanës, ka </w:t>
      </w:r>
      <w:r w:rsidR="00CA225E" w:rsidRPr="00AA71FA">
        <w:t>qenë</w:t>
      </w:r>
      <w:r w:rsidRPr="00AA71FA">
        <w:t xml:space="preserve"> i lidhur me një afat të përcaktuar në shtojcën më të fundit të nënshkruar prej tij, ajo me</w:t>
      </w:r>
      <w:r w:rsidRPr="00AA71FA">
        <w:rPr>
          <w:rStyle w:val="Emphasis"/>
          <w:b/>
          <w:bCs/>
        </w:rPr>
        <w:t xml:space="preserve"> </w:t>
      </w:r>
      <w:r w:rsidRPr="00AA71FA">
        <w:rPr>
          <w:rStyle w:val="Emphasis"/>
          <w:i w:val="0"/>
          <w:iCs w:val="0"/>
        </w:rPr>
        <w:t>nr.</w:t>
      </w:r>
      <w:r w:rsidRPr="00AA71FA">
        <w:rPr>
          <w:rStyle w:val="Emphasis"/>
          <w:b/>
          <w:bCs/>
        </w:rPr>
        <w:t xml:space="preserve"> </w:t>
      </w:r>
      <w:r w:rsidRPr="00AA71FA">
        <w:t>Co 153/6/08.12.2010, nr. 3357 Rep., 2152/2 Kol, datë 23.12.2010</w:t>
      </w:r>
      <w:r w:rsidRPr="00AA71FA">
        <w:rPr>
          <w:rStyle w:val="Emphasis"/>
        </w:rPr>
        <w:t>.</w:t>
      </w:r>
      <w:r w:rsidRPr="00AA71FA">
        <w:rPr>
          <w:rStyle w:val="Emphasis"/>
          <w:b/>
          <w:bCs/>
        </w:rPr>
        <w:t xml:space="preserve"> </w:t>
      </w:r>
      <w:r w:rsidRPr="00AA71FA">
        <w:t>Edhe nëse kjo shtojcë, nuk do të kishte një afat të përcaktuar, neni 600 i Kodit Civil, parashikon afatin 1</w:t>
      </w:r>
      <w:r w:rsidR="00942913" w:rsidRPr="00AA71FA">
        <w:t xml:space="preserve"> </w:t>
      </w:r>
      <w:r w:rsidRPr="00AA71FA">
        <w:t xml:space="preserve">(një) vjeçar të shuarjes së dorëzanisë, nga momenti i lidhjes së kontratës respektive të kësaj dorëzanie. </w:t>
      </w:r>
    </w:p>
    <w:p w14:paraId="457B12CC" w14:textId="77777777" w:rsidR="00952784" w:rsidRPr="00AA71FA" w:rsidRDefault="00952784" w:rsidP="00952784">
      <w:pPr>
        <w:pStyle w:val="NormalWeb"/>
        <w:spacing w:before="0" w:beforeAutospacing="0" w:after="0" w:afterAutospacing="0"/>
        <w:ind w:right="90"/>
        <w:jc w:val="both"/>
      </w:pPr>
      <w:r w:rsidRPr="00AA71FA">
        <w:t xml:space="preserve">Si përfundim, </w:t>
      </w:r>
      <w:r w:rsidRPr="00AA71FA">
        <w:rPr>
          <w:rStyle w:val="Strong"/>
          <w:b w:val="0"/>
          <w:bCs w:val="0"/>
        </w:rPr>
        <w:t>gjykata rithekson se Shuarja e dorëzanisë në rastin konkret objekt gjykimi, e cila vjen e argumentuar dy herë, si për faktin e mosqenies dorëzanës, në bazë të nenit 600 të Kodit Civil, ashtu edhe për faktin se me ndryshimet që i janë bërë Kontratës së Kredisë, paditësi nuk figuron si i tillë; bën që veprimet e përmbaruesit gjyqësor të vijnë në kundërshtim me ligjin, pasi ato në momentin e kryerjes së tyre drejtohen kundrejt një marrëdhënie detyrimi të shuar dhe të ndryshuar me marrëveshje të mëpasshme, drejtohen kundrejt një subjekti i cili nuk e ka më cilësinë e dorëzanësit d.m.th dhe të të detyruarit solidar me debitorin kryesor dhe si të tilla këto veprime duhen anuluar dhe nuk duhet të vazhdojnë më në të ardhmen duke u pushuar ekzekutimi ndaj dorëzanësit.</w:t>
      </w:r>
    </w:p>
    <w:p w14:paraId="1D8CE731" w14:textId="77777777" w:rsidR="00952784" w:rsidRPr="00AA71FA" w:rsidRDefault="00952784" w:rsidP="00952784">
      <w:pPr>
        <w:pStyle w:val="NormalWeb"/>
        <w:spacing w:before="0" w:beforeAutospacing="0" w:after="0" w:afterAutospacing="0"/>
        <w:ind w:right="90"/>
        <w:jc w:val="both"/>
      </w:pPr>
      <w:r w:rsidRPr="00AA71FA">
        <w:t>Në këto rrethana, në kushtet kur padia gjendet e bazuar në kërkimet si më sipër, gjykata çmon se duhet pranuar dhe kërkesa për marrjen e masës së sigurimit të padisë.</w:t>
      </w:r>
    </w:p>
    <w:p w14:paraId="7E339334" w14:textId="42486BDC" w:rsidR="00952784" w:rsidRPr="00AA71FA" w:rsidRDefault="00FE05A8" w:rsidP="00E02132">
      <w:pPr>
        <w:ind w:firstLine="720"/>
        <w:jc w:val="both"/>
        <w:rPr>
          <w:b/>
          <w:bCs/>
          <w:lang w:val="sq-AL"/>
        </w:rPr>
      </w:pPr>
      <w:r w:rsidRPr="00AA71FA">
        <w:rPr>
          <w:b/>
          <w:bCs/>
          <w:lang w:val="sq-AL"/>
        </w:rPr>
        <w:t xml:space="preserve">13. </w:t>
      </w:r>
      <w:r w:rsidR="00952784" w:rsidRPr="00AA71FA">
        <w:rPr>
          <w:b/>
          <w:bCs/>
          <w:lang w:val="sq-AL"/>
        </w:rPr>
        <w:t xml:space="preserve">Kundër vendimit të sipërcituar ka paraqitur ankim </w:t>
      </w:r>
      <w:r w:rsidR="00952784" w:rsidRPr="00AA71FA">
        <w:rPr>
          <w:rFonts w:eastAsia="SimSun"/>
          <w:b/>
          <w:lang w:val="sq-AL" w:eastAsia="sq-AL"/>
        </w:rPr>
        <w:t>personi i tretë Shoqëria “Banka e Tiranës”</w:t>
      </w:r>
      <w:r w:rsidR="00942913" w:rsidRPr="00AA71FA">
        <w:rPr>
          <w:rFonts w:eastAsia="SimSun"/>
          <w:b/>
          <w:lang w:val="sq-AL" w:eastAsia="sq-AL"/>
        </w:rPr>
        <w:t xml:space="preserve"> SHA</w:t>
      </w:r>
      <w:r w:rsidR="00952784" w:rsidRPr="00AA71FA">
        <w:rPr>
          <w:b/>
          <w:bCs/>
          <w:lang w:val="sq-AL"/>
        </w:rPr>
        <w:t>, e cila parashtron:</w:t>
      </w:r>
    </w:p>
    <w:p w14:paraId="1BA32967" w14:textId="73A1B00D"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 xml:space="preserve">Paditësi ka paraqitur përpara Gjykatës së Rrethit Gjyqësor Tiranë, padinë me objekt kundërshtimin e veprimeve përmbarimore të kryera nga përmbaruesi gjyqësor ndaj tij me argumentin se Arian Mene nuk është fare dorëzanës për kredinë që ka marrë “City Park” </w:t>
      </w:r>
      <w:r w:rsidR="00942913" w:rsidRPr="00AA71FA">
        <w:rPr>
          <w:sz w:val="24"/>
          <w:szCs w:val="24"/>
          <w:lang w:val="sq-AL" w:eastAsia="sq-AL"/>
        </w:rPr>
        <w:t>SHPK</w:t>
      </w:r>
      <w:r w:rsidRPr="00AA71FA">
        <w:rPr>
          <w:sz w:val="24"/>
          <w:szCs w:val="24"/>
          <w:lang w:val="sq-AL" w:eastAsia="sq-AL"/>
        </w:rPr>
        <w:t xml:space="preserve"> dhe përmbaruesi në mënyrë të kundërligjshme e ka cilësuar paditësin si dorëzanës.</w:t>
      </w:r>
    </w:p>
    <w:p w14:paraId="5D782377" w14:textId="777777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 xml:space="preserve">Ky pretendim i paditësit është pranuar nga Gjykata në mënyrë të paligjshme me vendimin që kundërshtohet me këtë ankim, </w:t>
      </w:r>
    </w:p>
    <w:p w14:paraId="64F57E45" w14:textId="6855CD34"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 xml:space="preserve">Ky </w:t>
      </w:r>
      <w:r w:rsidR="00942913" w:rsidRPr="00AA71FA">
        <w:rPr>
          <w:sz w:val="24"/>
          <w:szCs w:val="24"/>
          <w:lang w:val="sq-AL" w:eastAsia="sq-AL"/>
        </w:rPr>
        <w:t>v</w:t>
      </w:r>
      <w:r w:rsidRPr="00AA71FA">
        <w:rPr>
          <w:sz w:val="24"/>
          <w:szCs w:val="24"/>
          <w:lang w:val="sq-AL" w:eastAsia="sq-AL"/>
        </w:rPr>
        <w:t xml:space="preserve">endim i </w:t>
      </w:r>
      <w:r w:rsidR="00942913" w:rsidRPr="00AA71FA">
        <w:rPr>
          <w:sz w:val="24"/>
          <w:szCs w:val="24"/>
          <w:lang w:val="sq-AL" w:eastAsia="sq-AL"/>
        </w:rPr>
        <w:t>g</w:t>
      </w:r>
      <w:r w:rsidRPr="00AA71FA">
        <w:rPr>
          <w:sz w:val="24"/>
          <w:szCs w:val="24"/>
          <w:lang w:val="sq-AL" w:eastAsia="sq-AL"/>
        </w:rPr>
        <w:t xml:space="preserve">jykatës është marrë pjesërisht në zbatim dhe interpretim të gabuar të </w:t>
      </w:r>
      <w:r w:rsidR="00942913" w:rsidRPr="00AA71FA">
        <w:rPr>
          <w:sz w:val="24"/>
          <w:szCs w:val="24"/>
          <w:lang w:val="sq-AL" w:eastAsia="sq-AL"/>
        </w:rPr>
        <w:t>l</w:t>
      </w:r>
      <w:r w:rsidRPr="00AA71FA">
        <w:rPr>
          <w:sz w:val="24"/>
          <w:szCs w:val="24"/>
          <w:lang w:val="sq-AL" w:eastAsia="sq-AL"/>
        </w:rPr>
        <w:t>igjit në pjesën e tij me të cilin është vendosur pranimi i padisë</w:t>
      </w:r>
      <w:r w:rsidR="00942913" w:rsidRPr="00AA71FA">
        <w:rPr>
          <w:sz w:val="24"/>
          <w:szCs w:val="24"/>
          <w:lang w:val="sq-AL" w:eastAsia="sq-AL"/>
        </w:rPr>
        <w:t>.</w:t>
      </w:r>
    </w:p>
    <w:p w14:paraId="6B2295B0" w14:textId="2880B152" w:rsidR="00952784" w:rsidRPr="00AA71FA" w:rsidRDefault="00952784" w:rsidP="00942913">
      <w:pPr>
        <w:pStyle w:val="ListParagraph"/>
        <w:numPr>
          <w:ilvl w:val="0"/>
          <w:numId w:val="11"/>
        </w:numPr>
        <w:jc w:val="both"/>
        <w:rPr>
          <w:sz w:val="24"/>
          <w:szCs w:val="24"/>
          <w:lang w:val="sq-AL" w:eastAsia="sq-AL"/>
        </w:rPr>
      </w:pPr>
      <w:r w:rsidRPr="00AA71FA">
        <w:rPr>
          <w:sz w:val="24"/>
          <w:szCs w:val="24"/>
          <w:lang w:val="sq-AL" w:eastAsia="sq-AL"/>
        </w:rPr>
        <w:t xml:space="preserve">Gjykata ka bërë një interpretim dhe zbatim të gabuar të ligjit material kur arsyeton se meqenëse paditësi Arian Mene nuk ka shprehur vullnetin e tij si dorëzanës për të amenduar kontratën e kredisë me shtojcat e tjera të kontratave të kredisë duke filluar nga data 14.06.20100 deri më datë 24.12.2013 dhe për këto arsye ai nuk ka marrë përsipër përgjegjësinë e ekzekutimit të detyrimit të debitorit kryesor për periudhën në vijim dmth pas datës 23.12.2010. </w:t>
      </w:r>
      <w:r w:rsidR="00942913" w:rsidRPr="00AA71FA">
        <w:rPr>
          <w:sz w:val="24"/>
          <w:szCs w:val="24"/>
          <w:lang w:val="sq-AL" w:eastAsia="sq-AL"/>
        </w:rPr>
        <w:t xml:space="preserve"> </w:t>
      </w:r>
      <w:r w:rsidRPr="00AA71FA">
        <w:rPr>
          <w:sz w:val="24"/>
          <w:szCs w:val="24"/>
          <w:lang w:val="sq-AL" w:eastAsia="sq-AL"/>
        </w:rPr>
        <w:t>Shprehja e vullnetit të dorëzanësit për ndryshimin e kontratës së dorëzanisë është thelbësore, përsa i përket vlefshmërisë në vijim të kësaj kontrate, pasi siç është përmendur më sipër palë në kontratën e dorëzanisë janë kreditori i një detyrimi të një personi të tretë dhe dorëzanësi, ndërsa personi i tretë (debitori kryesor), detyrimi i të cilit sigurohet me anë të dorëzanisë, nuk është palë në kontratën e dorëzanisë.</w:t>
      </w:r>
    </w:p>
    <w:p w14:paraId="28D57B72" w14:textId="62018AB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Gjykata arsyeton më tej se</w:t>
      </w:r>
      <w:r w:rsidR="00942913" w:rsidRPr="00AA71FA">
        <w:rPr>
          <w:sz w:val="24"/>
          <w:szCs w:val="24"/>
          <w:lang w:val="sq-AL" w:eastAsia="sq-AL"/>
        </w:rPr>
        <w:t>,</w:t>
      </w:r>
      <w:r w:rsidRPr="00AA71FA">
        <w:rPr>
          <w:sz w:val="24"/>
          <w:szCs w:val="24"/>
          <w:lang w:val="sq-AL" w:eastAsia="sq-AL"/>
        </w:rPr>
        <w:t xml:space="preserve"> marrëdhënia e dorëzanisë ka ndryshuar për paditësin Arian Mene duke mos e përfshirë më atë më në rrethin e personave që garantojnë shlyerjen e detyrimit me dorëzani. Për rrjedhojë paditësi Arian Mene është </w:t>
      </w:r>
      <w:r w:rsidRPr="00AA71FA">
        <w:rPr>
          <w:sz w:val="24"/>
          <w:szCs w:val="24"/>
          <w:lang w:val="sq-AL" w:eastAsia="sq-AL"/>
        </w:rPr>
        <w:lastRenderedPageBreak/>
        <w:t>shkarkuar nga detyrimi i tij për të garantuar shlyerjen e kredisë të marrë përsipër nga debitori Shoqëria City Park.</w:t>
      </w:r>
    </w:p>
    <w:p w14:paraId="20ED9DA8" w14:textId="777777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Ky arsyetim i Gjykatës është i pambështetur në ligj për këto arsye:</w:t>
      </w:r>
    </w:p>
    <w:p w14:paraId="56C5F652" w14:textId="30E8AF89"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Së pari, padia e paditësit me të cilën kërkohet kundërshtimi i veprimeve përmbarimore është e pambështetur në ligj dhe në prova pasi</w:t>
      </w:r>
      <w:r w:rsidR="00942913" w:rsidRPr="00AA71FA">
        <w:rPr>
          <w:sz w:val="24"/>
          <w:szCs w:val="24"/>
          <w:lang w:val="sq-AL" w:eastAsia="sq-AL"/>
        </w:rPr>
        <w:t>,</w:t>
      </w:r>
      <w:r w:rsidRPr="00AA71FA">
        <w:rPr>
          <w:sz w:val="24"/>
          <w:szCs w:val="24"/>
          <w:lang w:val="sq-AL" w:eastAsia="sq-AL"/>
        </w:rPr>
        <w:t xml:space="preserve"> së pari është i paqenë dhe i pavërtetë pretendimi i paditësit se ai nuk është fare dorëzanës dhe rezulton evidente se paditësi në mënyrë të shprehur dhe me vullnet të lirë ka marrë përsipër me kontratën e datës 18.05.2010 për të garantuar detyrimet që lindnin nga Kontrata e Kredisë Bankare me nr. Nr. CO. 153/21.02.2008, nr. 973 Rep/nr. 6607 Kol, datë 04.03.2008 me të gjitha detyrimet që rrjedhin nga kontrata e kredisë e ndryshuar.</w:t>
      </w:r>
    </w:p>
    <w:p w14:paraId="03877BCA" w14:textId="777777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Kontrata e Dorëzanisë mund të bëhet në të njëjtin akt me kontratën bazë detyrimet e së cilës dorëzanësi garanton për debitorin kryesor ose mund të hartohet edhe si një dokument më vete.</w:t>
      </w:r>
    </w:p>
    <w:p w14:paraId="7FA4993E" w14:textId="089FC6BE"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 xml:space="preserve">Paditësi ka një marrëdhënie të posaçme me Bankën e Tiranës </w:t>
      </w:r>
      <w:r w:rsidR="0012159C" w:rsidRPr="00AA71FA">
        <w:rPr>
          <w:sz w:val="24"/>
          <w:szCs w:val="24"/>
          <w:lang w:val="sq-AL" w:eastAsia="sq-AL"/>
        </w:rPr>
        <w:t>SHA</w:t>
      </w:r>
      <w:r w:rsidRPr="00AA71FA">
        <w:rPr>
          <w:sz w:val="24"/>
          <w:szCs w:val="24"/>
          <w:lang w:val="sq-AL" w:eastAsia="sq-AL"/>
        </w:rPr>
        <w:t xml:space="preserve"> duke qenë dorëzanës i Shoqërisë “City Park” </w:t>
      </w:r>
      <w:r w:rsidR="0012159C" w:rsidRPr="00AA71FA">
        <w:rPr>
          <w:sz w:val="24"/>
          <w:szCs w:val="24"/>
          <w:lang w:val="sq-AL" w:eastAsia="sq-AL"/>
        </w:rPr>
        <w:t>SHPK</w:t>
      </w:r>
      <w:r w:rsidRPr="00AA71FA">
        <w:rPr>
          <w:sz w:val="24"/>
          <w:szCs w:val="24"/>
          <w:lang w:val="sq-AL" w:eastAsia="sq-AL"/>
        </w:rPr>
        <w:t xml:space="preserve"> për të gjitha detyrimet që asaj i burojnë nga kontrata bazë e kredisë të cilën e ka garantuar edhe dorëzanësi Arian Mene.</w:t>
      </w:r>
    </w:p>
    <w:p w14:paraId="6897EDCF" w14:textId="6A1F44D3"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Një kontratë sjell detyrime vetëm për palët dhe që një detyrim i lindur nga kontrata të mbarojë apo të shuhet duhet të plotësohen kushtet e treguara në pjesën e IV, Titullin II, Kreu IV të Kodit Civil</w:t>
      </w:r>
      <w:r w:rsidR="0012159C" w:rsidRPr="00AA71FA">
        <w:rPr>
          <w:sz w:val="24"/>
          <w:szCs w:val="24"/>
          <w:lang w:val="sq-AL" w:eastAsia="sq-AL"/>
        </w:rPr>
        <w:t xml:space="preserve">, </w:t>
      </w:r>
      <w:r w:rsidRPr="00AA71FA">
        <w:rPr>
          <w:sz w:val="24"/>
          <w:szCs w:val="24"/>
          <w:lang w:val="sq-AL" w:eastAsia="sq-AL"/>
        </w:rPr>
        <w:t xml:space="preserve">nenet 508-529 dhe </w:t>
      </w:r>
      <w:r w:rsidR="0012159C" w:rsidRPr="00AA71FA">
        <w:rPr>
          <w:sz w:val="24"/>
          <w:szCs w:val="24"/>
          <w:lang w:val="sq-AL" w:eastAsia="sq-AL"/>
        </w:rPr>
        <w:t>K</w:t>
      </w:r>
      <w:r w:rsidRPr="00AA71FA">
        <w:rPr>
          <w:sz w:val="24"/>
          <w:szCs w:val="24"/>
          <w:lang w:val="sq-AL" w:eastAsia="sq-AL"/>
        </w:rPr>
        <w:t>onkretisht që detyrimi shuhet kur ai Përtërihet, Falet, Kompensohet, Bashkohen cilësitë e kreditorit dhe debitorit në një të vetëm dhe Pamundësia e Ekzekutimit të detyrimit.</w:t>
      </w:r>
    </w:p>
    <w:p w14:paraId="278B1C01" w14:textId="777777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Paditësi në rastin konkret nuk ndodhet në asnjë prej këtyre rrethanave dhe as nuk shpjegon në padinë e tij se përse detyrimi i tij është shuar.</w:t>
      </w:r>
    </w:p>
    <w:p w14:paraId="1EBE2B3B" w14:textId="3BEC4F95"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 xml:space="preserve">Pretendimi i tij se dorëzania nuk ekziston sepse Banka e Tiranës ka nënshkruar kontrata dorëzanie me dorëzanës të tjerë është abuziv sepse kontratat me personat e tjerë as nuk kanë ndonjë efekt juridik mbi kontratën që Z. Mene ka me Bankën e Tiranës </w:t>
      </w:r>
      <w:r w:rsidR="0012159C" w:rsidRPr="00AA71FA">
        <w:rPr>
          <w:sz w:val="24"/>
          <w:szCs w:val="24"/>
          <w:lang w:val="sq-AL" w:eastAsia="sq-AL"/>
        </w:rPr>
        <w:t>SHA</w:t>
      </w:r>
      <w:r w:rsidRPr="00AA71FA">
        <w:rPr>
          <w:sz w:val="24"/>
          <w:szCs w:val="24"/>
          <w:lang w:val="sq-AL" w:eastAsia="sq-AL"/>
        </w:rPr>
        <w:t>.</w:t>
      </w:r>
    </w:p>
    <w:p w14:paraId="008D3A3F" w14:textId="777777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Së dyti, paditësi pretendon se ai nuk ka dalë dorëzanës në kuptimin klasik të këtij instituti, por ka dalë dorëzanës vetëm duke deklaruar se nuk do të tjetërsojë pasuritë e tij pa pëlqimin e Bankës.</w:t>
      </w:r>
    </w:p>
    <w:p w14:paraId="45004520" w14:textId="73B5C8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Ky fakt është i pavërtetë sepse sikurse rezulton nga kontrata e datës 18.05.2010 e konkretisht pika 10 e 11 e saj rezulton se “Të gjitha kushtet e tjera të dhënies së kredisë do të rregullohen nga kushtet e kontratës bazë të cilat mbeten të pandryshuara” dhe se “Kjo shtojcë kontrate është pjesë integrale dhe e pandarë e kontratës bazë”. Ndërsa në kontratën bazë është sanksionuar se dorëzanësi është solidar me kredimarrësin kryesor dhe përgjigjet njëlloj si ai për të gjithë shumën e detyrimit të tashëm dhe të ardhëm.</w:t>
      </w:r>
    </w:p>
    <w:p w14:paraId="3668A5FB" w14:textId="4C56FBD2"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Po kështu në nenin 6/14 të Kontratës Bazë është parashikuar se “si Kredimarrësi ashtu edhe dorëzanësi pranojnë se kjo kontratë është titull ekzekutiv në kuptim të nenit 511/d të KPC dhe është menjëherë e ekzekutueshme ndaj tij dhe veçanërisht në rastet e mospërmbushjes së detyrimit në vlerën dhe afatin e parashikuar nga Banka</w:t>
      </w:r>
      <w:r w:rsidR="0012159C" w:rsidRPr="00AA71FA">
        <w:rPr>
          <w:sz w:val="24"/>
          <w:szCs w:val="24"/>
          <w:lang w:val="sq-AL" w:eastAsia="sq-AL"/>
        </w:rPr>
        <w:t>, q</w:t>
      </w:r>
      <w:r w:rsidR="00E932F5" w:rsidRPr="00AA71FA">
        <w:rPr>
          <w:sz w:val="24"/>
          <w:szCs w:val="24"/>
          <w:lang w:val="sq-AL" w:eastAsia="sq-AL"/>
        </w:rPr>
        <w:t>ë</w:t>
      </w:r>
      <w:r w:rsidRPr="00AA71FA">
        <w:rPr>
          <w:sz w:val="24"/>
          <w:szCs w:val="24"/>
          <w:lang w:val="sq-AL" w:eastAsia="sq-AL"/>
        </w:rPr>
        <w:t xml:space="preserve"> i jep të drejtë Bankës për të kërkuar vënien në ekzekutimin të detyrueshëm të pasurive të kredimarrësit dhe ose dorëzanësit me qëllim shlyerjen e detyrimit kontraktor.</w:t>
      </w:r>
    </w:p>
    <w:p w14:paraId="67B46CD1" w14:textId="3E23F566"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Në këto kushte rezulton se</w:t>
      </w:r>
      <w:r w:rsidR="0012159C" w:rsidRPr="00AA71FA">
        <w:rPr>
          <w:sz w:val="24"/>
          <w:szCs w:val="24"/>
          <w:lang w:val="sq-AL" w:eastAsia="sq-AL"/>
        </w:rPr>
        <w:t>,</w:t>
      </w:r>
      <w:r w:rsidRPr="00AA71FA">
        <w:rPr>
          <w:sz w:val="24"/>
          <w:szCs w:val="24"/>
          <w:lang w:val="sq-AL" w:eastAsia="sq-AL"/>
        </w:rPr>
        <w:t xml:space="preserve"> paditësi është debitor solidar me kredimarrësin “City Park” </w:t>
      </w:r>
      <w:r w:rsidR="0012159C" w:rsidRPr="00AA71FA">
        <w:rPr>
          <w:sz w:val="24"/>
          <w:szCs w:val="24"/>
          <w:lang w:val="sq-AL" w:eastAsia="sq-AL"/>
        </w:rPr>
        <w:t>SHPK</w:t>
      </w:r>
      <w:r w:rsidRPr="00AA71FA">
        <w:rPr>
          <w:sz w:val="24"/>
          <w:szCs w:val="24"/>
          <w:lang w:val="sq-AL" w:eastAsia="sq-AL"/>
        </w:rPr>
        <w:t xml:space="preserve"> dhe në këto kushte ai përgjigjet njëlloj si debitori kryesor dhe për këtë shkak veprimet e përmbaruesit ndaj paditësit janë të ligjshme dhe janë kryer në përputhje me ligjin. </w:t>
      </w:r>
    </w:p>
    <w:p w14:paraId="0FBF7794" w14:textId="048A15D0"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 xml:space="preserve">Për aq kohë sa detyrimi që i lind paditësit nga kontrata e datës 18.05.2010 së bashku me shtojcat e saj nuk është deklaruar i mbaruar me vendim gjykate apo </w:t>
      </w:r>
      <w:r w:rsidRPr="00AA71FA">
        <w:rPr>
          <w:sz w:val="24"/>
          <w:szCs w:val="24"/>
          <w:lang w:val="sq-AL" w:eastAsia="sq-AL"/>
        </w:rPr>
        <w:lastRenderedPageBreak/>
        <w:t>një marrëveshje të palëve</w:t>
      </w:r>
      <w:r w:rsidR="0012159C" w:rsidRPr="00AA71FA">
        <w:rPr>
          <w:sz w:val="24"/>
          <w:szCs w:val="24"/>
          <w:lang w:val="sq-AL" w:eastAsia="sq-AL"/>
        </w:rPr>
        <w:t>,</w:t>
      </w:r>
      <w:r w:rsidRPr="00AA71FA">
        <w:rPr>
          <w:sz w:val="24"/>
          <w:szCs w:val="24"/>
          <w:lang w:val="sq-AL" w:eastAsia="sq-AL"/>
        </w:rPr>
        <w:t xml:space="preserve"> atëherë përmbaruesit nuk i njihet tagri të deklarojë të mbaruar një marrëdhënie juridike civile prandaj dhe veprimet e tij duhet të konsiderohen të ligjshme dhe Gjykata duhet të vendosë rrëzimin e padisë . </w:t>
      </w:r>
    </w:p>
    <w:p w14:paraId="3F5B2096" w14:textId="576C05AB"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Në rastin konkret</w:t>
      </w:r>
      <w:r w:rsidR="0012159C" w:rsidRPr="00AA71FA">
        <w:rPr>
          <w:sz w:val="24"/>
          <w:szCs w:val="24"/>
          <w:lang w:val="sq-AL" w:eastAsia="sq-AL"/>
        </w:rPr>
        <w:t>,</w:t>
      </w:r>
      <w:r w:rsidRPr="00AA71FA">
        <w:rPr>
          <w:sz w:val="24"/>
          <w:szCs w:val="24"/>
          <w:lang w:val="sq-AL" w:eastAsia="sq-AL"/>
        </w:rPr>
        <w:t xml:space="preserve"> kredia e </w:t>
      </w:r>
      <w:r w:rsidR="0012159C" w:rsidRPr="00AA71FA">
        <w:rPr>
          <w:sz w:val="24"/>
          <w:szCs w:val="24"/>
          <w:lang w:val="sq-AL" w:eastAsia="sq-AL"/>
        </w:rPr>
        <w:t>“</w:t>
      </w:r>
      <w:r w:rsidRPr="00AA71FA">
        <w:rPr>
          <w:sz w:val="24"/>
          <w:szCs w:val="24"/>
          <w:lang w:val="sq-AL" w:eastAsia="sq-AL"/>
        </w:rPr>
        <w:t>Bankës së Tiranës</w:t>
      </w:r>
      <w:r w:rsidR="0012159C" w:rsidRPr="00AA71FA">
        <w:rPr>
          <w:sz w:val="24"/>
          <w:szCs w:val="24"/>
          <w:lang w:val="sq-AL" w:eastAsia="sq-AL"/>
        </w:rPr>
        <w:t>”</w:t>
      </w:r>
      <w:r w:rsidRPr="00AA71FA">
        <w:rPr>
          <w:sz w:val="24"/>
          <w:szCs w:val="24"/>
          <w:lang w:val="sq-AL" w:eastAsia="sq-AL"/>
        </w:rPr>
        <w:t xml:space="preserve"> </w:t>
      </w:r>
      <w:r w:rsidR="0012159C" w:rsidRPr="00AA71FA">
        <w:rPr>
          <w:sz w:val="24"/>
          <w:szCs w:val="24"/>
          <w:lang w:val="sq-AL" w:eastAsia="sq-AL"/>
        </w:rPr>
        <w:t>SHA</w:t>
      </w:r>
      <w:r w:rsidRPr="00AA71FA">
        <w:rPr>
          <w:sz w:val="24"/>
          <w:szCs w:val="24"/>
          <w:lang w:val="sq-AL" w:eastAsia="sq-AL"/>
        </w:rPr>
        <w:t xml:space="preserve"> është bërë e kërkueshme ndaj “City Park” </w:t>
      </w:r>
      <w:r w:rsidR="0012159C" w:rsidRPr="00AA71FA">
        <w:rPr>
          <w:sz w:val="24"/>
          <w:szCs w:val="24"/>
          <w:lang w:val="sq-AL" w:eastAsia="sq-AL"/>
        </w:rPr>
        <w:t>SHPK</w:t>
      </w:r>
      <w:r w:rsidRPr="00AA71FA">
        <w:rPr>
          <w:sz w:val="24"/>
          <w:szCs w:val="24"/>
          <w:lang w:val="sq-AL" w:eastAsia="sq-AL"/>
        </w:rPr>
        <w:t xml:space="preserve"> më datë 31.01.2014. Deri në këtë datë kredia e Bankës nuk ka qenë e kërkueshme ndaj </w:t>
      </w:r>
      <w:r w:rsidR="0012159C" w:rsidRPr="00AA71FA">
        <w:rPr>
          <w:sz w:val="24"/>
          <w:szCs w:val="24"/>
          <w:lang w:val="sq-AL" w:eastAsia="sq-AL"/>
        </w:rPr>
        <w:t>“</w:t>
      </w:r>
      <w:r w:rsidRPr="00AA71FA">
        <w:rPr>
          <w:sz w:val="24"/>
          <w:szCs w:val="24"/>
          <w:lang w:val="sq-AL" w:eastAsia="sq-AL"/>
        </w:rPr>
        <w:t>City Park</w:t>
      </w:r>
      <w:r w:rsidR="0012159C" w:rsidRPr="00AA71FA">
        <w:rPr>
          <w:sz w:val="24"/>
          <w:szCs w:val="24"/>
          <w:lang w:val="sq-AL" w:eastAsia="sq-AL"/>
        </w:rPr>
        <w:t>”</w:t>
      </w:r>
      <w:r w:rsidRPr="00AA71FA">
        <w:rPr>
          <w:sz w:val="24"/>
          <w:szCs w:val="24"/>
          <w:lang w:val="sq-AL" w:eastAsia="sq-AL"/>
        </w:rPr>
        <w:t xml:space="preserve"> </w:t>
      </w:r>
      <w:r w:rsidR="0012159C" w:rsidRPr="00AA71FA">
        <w:rPr>
          <w:sz w:val="24"/>
          <w:szCs w:val="24"/>
          <w:lang w:val="sq-AL" w:eastAsia="sq-AL"/>
        </w:rPr>
        <w:t>SHPK</w:t>
      </w:r>
      <w:r w:rsidRPr="00AA71FA">
        <w:rPr>
          <w:sz w:val="24"/>
          <w:szCs w:val="24"/>
          <w:lang w:val="sq-AL" w:eastAsia="sq-AL"/>
        </w:rPr>
        <w:t xml:space="preserve"> dhe për këtë shkak, Banka as nuk mund të ndërmerrte veprimet e ekzekutimit të detyrueshëm.</w:t>
      </w:r>
    </w:p>
    <w:p w14:paraId="25FE00B2" w14:textId="66225B11"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E drejta e kreditorit që ti drejtohet dorëzanësit nuk lind deri në momentin që kredia e tij të bëhet e kërkueshme, për këtë shkak edhe legjislatori ynë në nenin 600 ka parashikuar se dorëzania shuhet me plotësimin e 6 muajve nga dita e mbarimit të afatit të ekzekutimit të detyrimit. Për aq kohë sa afati i ekzekutimit të detyrimit që ka garantuar edhe dorëzanësi Arian Mene mbaronte më datë 30.01.2014, Banka nuk mund të ndërmerrte ndonjë aksion të njohur nga ligji për të kërkuar ekzekutimin e detyrimit si nga kredimarrësi edhe nga dorëzanësi.</w:t>
      </w:r>
    </w:p>
    <w:p w14:paraId="1C6D7D37" w14:textId="30C5F484"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Banka në rastin konkret ka paraqitur kërkesën në Gjykatë brenda afatit 6 mujor dhe Gjykata më datë 27.06.2014 ka vendosur të lëshojë urdhrin e ekzekutimit për kontratën bazë të kredisë së bashku me shtojcat e saj. Dhe nga kjo datë</w:t>
      </w:r>
      <w:r w:rsidR="0012159C" w:rsidRPr="00AA71FA">
        <w:rPr>
          <w:sz w:val="24"/>
          <w:szCs w:val="24"/>
          <w:lang w:val="sq-AL" w:eastAsia="sq-AL"/>
        </w:rPr>
        <w:t>,</w:t>
      </w:r>
      <w:r w:rsidRPr="00AA71FA">
        <w:rPr>
          <w:sz w:val="24"/>
          <w:szCs w:val="24"/>
          <w:lang w:val="sq-AL" w:eastAsia="sq-AL"/>
        </w:rPr>
        <w:t xml:space="preserve"> afati 6 mujor konsiderohet i ndërprerë dhe nuk sjell asnjë shuarës mbi dorëzaninë e lindur.</w:t>
      </w:r>
    </w:p>
    <w:p w14:paraId="2F696493" w14:textId="777777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Paditësi as ka argumentuar se përse detyrimi nuk ekziston dhe cila është baza ligjore e posaçme të cilës paditësi i referohet për të treguar se detyrimi nuk ekziston, ose se detyrimi ekziston në një masë më të vogël ose se detyrimi është shuar më pas.</w:t>
      </w:r>
    </w:p>
    <w:p w14:paraId="79441AB7" w14:textId="35423E00"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Po kështu paditësi as ka treguar se për cilin shkak ligjor titulli është i pavlefshëm dhe konkretisht për shkaqet e pavlefshmërisë të treguara në Kodin Civil të Republikës së Shqipërisë.</w:t>
      </w:r>
    </w:p>
    <w:p w14:paraId="44C1CAFA" w14:textId="3B0C780E"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Po kështu padia për kundërshtimin e veprimeve përmbarimore është një padi e pambështetur në ligj dhe në prova dh</w:t>
      </w:r>
      <w:r w:rsidR="0012159C" w:rsidRPr="00AA71FA">
        <w:rPr>
          <w:sz w:val="24"/>
          <w:szCs w:val="24"/>
          <w:lang w:val="sq-AL" w:eastAsia="sq-AL"/>
        </w:rPr>
        <w:t>e</w:t>
      </w:r>
      <w:r w:rsidRPr="00AA71FA">
        <w:rPr>
          <w:sz w:val="24"/>
          <w:szCs w:val="24"/>
          <w:lang w:val="sq-AL" w:eastAsia="sq-AL"/>
        </w:rPr>
        <w:t xml:space="preserve"> për arsye se përmbaruesi gjyqësor e ka zbatuar drejt dhe me korrektësi ligjin në çështjen konkrete dhe veprimet e tij i ka kryer në përputhje me procedurën e ekzekutimit të detyrueshëm. Përmbaruesi as ka shkelur ndonjë të drejtë të paditësit dhe as ka refuzuar të respektojë ndonjë të drejtë të tij.</w:t>
      </w:r>
    </w:p>
    <w:p w14:paraId="5994B342" w14:textId="77777777" w:rsidR="00952784" w:rsidRPr="00AA71FA" w:rsidRDefault="00952784" w:rsidP="00952784">
      <w:pPr>
        <w:pStyle w:val="ListParagraph"/>
        <w:numPr>
          <w:ilvl w:val="0"/>
          <w:numId w:val="11"/>
        </w:numPr>
        <w:jc w:val="both"/>
        <w:rPr>
          <w:sz w:val="24"/>
          <w:szCs w:val="24"/>
          <w:lang w:val="sq-AL" w:eastAsia="sq-AL"/>
        </w:rPr>
      </w:pPr>
      <w:r w:rsidRPr="00AA71FA">
        <w:rPr>
          <w:sz w:val="24"/>
          <w:szCs w:val="24"/>
          <w:lang w:val="sq-AL" w:eastAsia="sq-AL"/>
        </w:rPr>
        <w:t>Për këto shkaqe padia edhe për këtë pjesë të kërkimit të saj duhet të rrëzohet si e pambështetur në nenin 610 të KPC.</w:t>
      </w:r>
    </w:p>
    <w:p w14:paraId="09564287" w14:textId="1C4422CC" w:rsidR="00952784" w:rsidRPr="00AA71FA" w:rsidRDefault="00FE05A8" w:rsidP="00332268">
      <w:pPr>
        <w:ind w:firstLine="720"/>
        <w:jc w:val="both"/>
        <w:rPr>
          <w:lang w:val="sq-AL"/>
        </w:rPr>
      </w:pPr>
      <w:r w:rsidRPr="00AA71FA">
        <w:rPr>
          <w:b/>
          <w:lang w:val="sq-AL"/>
        </w:rPr>
        <w:t xml:space="preserve">14. </w:t>
      </w:r>
      <w:r w:rsidR="00952784" w:rsidRPr="00AA71FA">
        <w:rPr>
          <w:b/>
          <w:lang w:val="sq-AL"/>
        </w:rPr>
        <w:t>Gjykata e Apelit Tiranë</w:t>
      </w:r>
      <w:r w:rsidR="00952784" w:rsidRPr="00AA71FA">
        <w:rPr>
          <w:bCs/>
          <w:lang w:val="sq-AL"/>
        </w:rPr>
        <w:t xml:space="preserve">, </w:t>
      </w:r>
      <w:r w:rsidR="00952784" w:rsidRPr="00AA71FA">
        <w:rPr>
          <w:b/>
          <w:bCs/>
          <w:lang w:val="sq-AL"/>
        </w:rPr>
        <w:t xml:space="preserve"> </w:t>
      </w:r>
      <w:r w:rsidR="00952784" w:rsidRPr="00AA71FA">
        <w:rPr>
          <w:lang w:val="sq-AL"/>
        </w:rPr>
        <w:t>me vendimin nr. 278, datë 09.02.2016, ka vendosur:</w:t>
      </w:r>
    </w:p>
    <w:p w14:paraId="4D42E49F" w14:textId="60ECD2E9" w:rsidR="00952784" w:rsidRPr="00AA71FA" w:rsidRDefault="00FE05A8" w:rsidP="00952784">
      <w:pPr>
        <w:jc w:val="both"/>
        <w:rPr>
          <w:i/>
          <w:iCs/>
          <w:lang w:val="sq-AL" w:eastAsia="en-US"/>
        </w:rPr>
      </w:pPr>
      <w:r w:rsidRPr="00AA71FA">
        <w:rPr>
          <w:i/>
          <w:iCs/>
          <w:lang w:val="sq-AL"/>
        </w:rPr>
        <w:t>“</w:t>
      </w:r>
      <w:r w:rsidR="00952784" w:rsidRPr="00AA71FA">
        <w:rPr>
          <w:i/>
          <w:iCs/>
          <w:lang w:val="sq-AL"/>
        </w:rPr>
        <w:t>Prishjen e vendimit nr. 11376, datë 26.11.2014 të Gjykatës së rrethit Gjyqësor Tiranë dërgimin e çështjes për rigjykim në po atë gjykatë me tjetër trup gjykues.</w:t>
      </w:r>
      <w:r w:rsidRPr="00AA71FA">
        <w:rPr>
          <w:i/>
          <w:iCs/>
          <w:lang w:val="sq-AL"/>
        </w:rPr>
        <w:t>”</w:t>
      </w:r>
    </w:p>
    <w:p w14:paraId="12F4CBFD" w14:textId="7CF7A2E1" w:rsidR="00952784" w:rsidRPr="00AA71FA" w:rsidRDefault="00FE05A8" w:rsidP="00332268">
      <w:pPr>
        <w:ind w:firstLine="720"/>
        <w:jc w:val="both"/>
        <w:rPr>
          <w:lang w:val="sq-AL"/>
        </w:rPr>
      </w:pPr>
      <w:r w:rsidRPr="00AA71FA">
        <w:rPr>
          <w:lang w:val="sq-AL"/>
        </w:rPr>
        <w:t xml:space="preserve">14.1. </w:t>
      </w:r>
      <w:r w:rsidR="00952784" w:rsidRPr="00AA71FA">
        <w:rPr>
          <w:lang w:val="sq-AL"/>
        </w:rPr>
        <w:t>Gjykata e apelit ndër të tjera arsyeton:</w:t>
      </w:r>
    </w:p>
    <w:p w14:paraId="11F5E718" w14:textId="77777777" w:rsidR="00952784" w:rsidRPr="00AA71FA" w:rsidRDefault="00952784" w:rsidP="00952784">
      <w:pPr>
        <w:jc w:val="both"/>
        <w:rPr>
          <w:lang w:val="sq-AL" w:eastAsia="sq-AL"/>
        </w:rPr>
      </w:pPr>
      <w:r w:rsidRPr="00AA71FA">
        <w:rPr>
          <w:lang w:val="sq-AL" w:eastAsia="sq-AL"/>
        </w:rPr>
        <w:t>Gjykata e Apelit, pasi shqyrtoi pretendimet e palëve ndërgjyqëse në bazë të nenit 467/d të Kodit të Procedurës Civile, arrin në përfundimin se vendimi duhet prishur dhe ta kthejë çështjen për rigjykim pasi ndërgjyqësia nuk është formuar drejtë sipas ligjit.</w:t>
      </w:r>
    </w:p>
    <w:p w14:paraId="21AF4D00" w14:textId="04A8F37B" w:rsidR="00952784" w:rsidRPr="00AA71FA" w:rsidRDefault="00952784" w:rsidP="00952784">
      <w:pPr>
        <w:jc w:val="both"/>
        <w:rPr>
          <w:lang w:val="sq-AL" w:eastAsia="sq-AL"/>
        </w:rPr>
      </w:pPr>
      <w:r w:rsidRPr="00AA71FA">
        <w:rPr>
          <w:lang w:val="sq-AL" w:eastAsia="sq-AL"/>
        </w:rPr>
        <w:t>Gjykata, bazuar në nenin 193 të Kodit të Procedurës Civile, duhet të kishte thirrur në cilësinë e personave të tretë në gjykim të gjithë personat juridike apo fizik</w:t>
      </w:r>
      <w:r w:rsidR="00E932F5" w:rsidRPr="00AA71FA">
        <w:rPr>
          <w:lang w:val="sq-AL" w:eastAsia="sq-AL"/>
        </w:rPr>
        <w:t>ë</w:t>
      </w:r>
      <w:r w:rsidRPr="00AA71FA">
        <w:rPr>
          <w:lang w:val="sq-AL" w:eastAsia="sq-AL"/>
        </w:rPr>
        <w:t xml:space="preserve"> që janë pal</w:t>
      </w:r>
      <w:r w:rsidR="00E932F5" w:rsidRPr="00AA71FA">
        <w:rPr>
          <w:lang w:val="sq-AL" w:eastAsia="sq-AL"/>
        </w:rPr>
        <w:t>ë</w:t>
      </w:r>
      <w:r w:rsidRPr="00AA71FA">
        <w:rPr>
          <w:lang w:val="sq-AL" w:eastAsia="sq-AL"/>
        </w:rPr>
        <w:t xml:space="preserve"> në kontratat e kredisë për të cilat është lëshuar urdhëri i ekzekutimit dhe janë objekt i ekzekutimit nga shërbimi përmbarimor.</w:t>
      </w:r>
    </w:p>
    <w:p w14:paraId="57AA4CE5" w14:textId="466AB0D5" w:rsidR="00952784" w:rsidRPr="00AA71FA" w:rsidRDefault="00952784" w:rsidP="00952784">
      <w:pPr>
        <w:jc w:val="both"/>
        <w:rPr>
          <w:lang w:val="sq-AL" w:eastAsia="sq-AL"/>
        </w:rPr>
      </w:pPr>
      <w:r w:rsidRPr="00AA71FA">
        <w:rPr>
          <w:lang w:val="sq-AL" w:eastAsia="sq-AL"/>
        </w:rPr>
        <w:t>Gjatë gjykimit, ka rezultuar e provuar se me “Lajmërim për Ekzekutim Vullnetar” Drejtuar: Shoqëria “</w:t>
      </w:r>
      <w:r w:rsidR="00290C1D" w:rsidRPr="00AA71FA">
        <w:rPr>
          <w:lang w:val="sq-AL" w:eastAsia="sq-AL"/>
        </w:rPr>
        <w:t>City Park</w:t>
      </w:r>
      <w:r w:rsidRPr="00AA71FA">
        <w:rPr>
          <w:lang w:val="sq-AL" w:eastAsia="sq-AL"/>
        </w:rPr>
        <w:t xml:space="preserve">” </w:t>
      </w:r>
      <w:r w:rsidR="0012159C" w:rsidRPr="00AA71FA">
        <w:rPr>
          <w:lang w:val="sq-AL" w:eastAsia="sq-AL"/>
        </w:rPr>
        <w:t>SHPK</w:t>
      </w:r>
      <w:r w:rsidRPr="00AA71FA">
        <w:rPr>
          <w:lang w:val="sq-AL" w:eastAsia="sq-AL"/>
        </w:rPr>
        <w:t>, Artan Mene, Arian Mene</w:t>
      </w:r>
      <w:r w:rsidRPr="00AA71FA">
        <w:rPr>
          <w:bCs/>
          <w:iCs/>
          <w:lang w:val="sq-AL" w:eastAsia="sq-AL"/>
        </w:rPr>
        <w:t xml:space="preserve">, </w:t>
      </w:r>
      <w:r w:rsidRPr="00AA71FA">
        <w:rPr>
          <w:lang w:val="sq-AL" w:eastAsia="sq-AL"/>
        </w:rPr>
        <w:t>Shoqëria “</w:t>
      </w:r>
      <w:r w:rsidR="00290C1D" w:rsidRPr="00AA71FA">
        <w:rPr>
          <w:lang w:val="sq-AL" w:eastAsia="sq-AL"/>
        </w:rPr>
        <w:t>Deka</w:t>
      </w:r>
      <w:r w:rsidRPr="00AA71FA">
        <w:rPr>
          <w:lang w:val="sq-AL" w:eastAsia="sq-AL"/>
        </w:rPr>
        <w:t>”, Avni Ponari, Eduart Ibrahimi, Aleksandër Pilo, Shoqëria “</w:t>
      </w:r>
      <w:r w:rsidR="00290C1D" w:rsidRPr="00AA71FA">
        <w:rPr>
          <w:lang w:val="sq-AL" w:eastAsia="sq-AL"/>
        </w:rPr>
        <w:t>Olim</w:t>
      </w:r>
      <w:r w:rsidRPr="00AA71FA">
        <w:rPr>
          <w:lang w:val="sq-AL" w:eastAsia="sq-AL"/>
        </w:rPr>
        <w:t xml:space="preserve">” </w:t>
      </w:r>
      <w:r w:rsidR="0012159C" w:rsidRPr="00AA71FA">
        <w:rPr>
          <w:lang w:val="sq-AL" w:eastAsia="sq-AL"/>
        </w:rPr>
        <w:t>SHA</w:t>
      </w:r>
      <w:r w:rsidRPr="00AA71FA">
        <w:rPr>
          <w:lang w:val="sq-AL" w:eastAsia="sq-AL"/>
        </w:rPr>
        <w:t xml:space="preserve">, </w:t>
      </w:r>
      <w:r w:rsidRPr="00AA71FA">
        <w:rPr>
          <w:bCs/>
          <w:lang w:val="sq-AL" w:eastAsia="sq-AL"/>
        </w:rPr>
        <w:t>Shoqëria</w:t>
      </w:r>
      <w:r w:rsidRPr="00AA71FA">
        <w:rPr>
          <w:lang w:val="sq-AL" w:eastAsia="sq-AL"/>
        </w:rPr>
        <w:t xml:space="preserve"> “Enternal</w:t>
      </w:r>
      <w:r w:rsidR="0088659E" w:rsidRPr="00AA71FA">
        <w:rPr>
          <w:lang w:val="sq-AL" w:eastAsia="sq-AL"/>
        </w:rPr>
        <w:t>”</w:t>
      </w:r>
      <w:r w:rsidRPr="00AA71FA">
        <w:rPr>
          <w:lang w:val="sq-AL" w:eastAsia="sq-AL"/>
        </w:rPr>
        <w:t xml:space="preserve"> </w:t>
      </w:r>
      <w:r w:rsidR="0012159C" w:rsidRPr="00AA71FA">
        <w:rPr>
          <w:lang w:val="sq-AL" w:eastAsia="sq-AL"/>
        </w:rPr>
        <w:t>SHPK</w:t>
      </w:r>
      <w:r w:rsidRPr="00AA71FA">
        <w:rPr>
          <w:lang w:val="sq-AL" w:eastAsia="sq-AL"/>
        </w:rPr>
        <w:t xml:space="preserve">, pala e paditur ka vënë në dijeni të sipërpërmendurit se </w:t>
      </w:r>
      <w:r w:rsidRPr="00AA71FA">
        <w:rPr>
          <w:bCs/>
          <w:lang w:val="sq-AL" w:eastAsia="sq-AL"/>
        </w:rPr>
        <w:t>p</w:t>
      </w:r>
      <w:r w:rsidRPr="00AA71FA">
        <w:rPr>
          <w:lang w:val="sq-AL" w:eastAsia="sq-AL"/>
        </w:rPr>
        <w:t>ranë zyrës së Përmbarimit Gjyqësor Privat “</w:t>
      </w:r>
      <w:r w:rsidR="00290C1D" w:rsidRPr="00AA71FA">
        <w:rPr>
          <w:lang w:val="sq-AL" w:eastAsia="sq-AL"/>
        </w:rPr>
        <w:t>Executores Litium</w:t>
      </w:r>
      <w:r w:rsidRPr="00AA71FA">
        <w:rPr>
          <w:lang w:val="sq-AL" w:eastAsia="sq-AL"/>
        </w:rPr>
        <w:t xml:space="preserve">” </w:t>
      </w:r>
      <w:r w:rsidR="0088659E" w:rsidRPr="00AA71FA">
        <w:rPr>
          <w:lang w:val="sq-AL" w:eastAsia="sq-AL"/>
        </w:rPr>
        <w:t>SHPK</w:t>
      </w:r>
      <w:r w:rsidRPr="00AA71FA">
        <w:rPr>
          <w:lang w:val="sq-AL" w:eastAsia="sq-AL"/>
        </w:rPr>
        <w:t xml:space="preserve"> me kërkesë të palës kreditore datë </w:t>
      </w:r>
      <w:r w:rsidRPr="00AA71FA">
        <w:rPr>
          <w:lang w:val="sq-AL" w:eastAsia="sq-AL"/>
        </w:rPr>
        <w:lastRenderedPageBreak/>
        <w:t>14.07.2014, është regjistruar çështja përmbarimore me numër regj.742 me pal</w:t>
      </w:r>
      <w:r w:rsidR="00E932F5" w:rsidRPr="00AA71FA">
        <w:rPr>
          <w:lang w:val="sq-AL" w:eastAsia="sq-AL"/>
        </w:rPr>
        <w:t>ë</w:t>
      </w:r>
      <w:r w:rsidRPr="00AA71FA">
        <w:rPr>
          <w:lang w:val="sq-AL" w:eastAsia="sq-AL"/>
        </w:rPr>
        <w:t>: Kreditor: Banka e Tiranës, Debitor: Shoqëria “</w:t>
      </w:r>
      <w:r w:rsidR="00290C1D" w:rsidRPr="00AA71FA">
        <w:rPr>
          <w:lang w:val="sq-AL" w:eastAsia="sq-AL"/>
        </w:rPr>
        <w:t>City Park</w:t>
      </w:r>
      <w:r w:rsidRPr="00AA71FA">
        <w:rPr>
          <w:lang w:val="sq-AL" w:eastAsia="sq-AL"/>
        </w:rPr>
        <w:t xml:space="preserve">” </w:t>
      </w:r>
      <w:r w:rsidR="0088659E" w:rsidRPr="00AA71FA">
        <w:rPr>
          <w:lang w:val="sq-AL" w:eastAsia="sq-AL"/>
        </w:rPr>
        <w:t xml:space="preserve">SHPK; </w:t>
      </w:r>
      <w:r w:rsidRPr="00AA71FA">
        <w:rPr>
          <w:lang w:val="sq-AL" w:eastAsia="sq-AL"/>
        </w:rPr>
        <w:t>Dorëzanës: Artan Mene, Arian Mene, Bedri Rryta, Avni Ponari, Eduart Ibrahimi, Aleksandër Pilo, Shoqëria “</w:t>
      </w:r>
      <w:r w:rsidR="00290C1D" w:rsidRPr="00AA71FA">
        <w:rPr>
          <w:lang w:val="sq-AL" w:eastAsia="sq-AL"/>
        </w:rPr>
        <w:t>Deka</w:t>
      </w:r>
      <w:r w:rsidRPr="00AA71FA">
        <w:rPr>
          <w:lang w:val="sq-AL" w:eastAsia="sq-AL"/>
        </w:rPr>
        <w:t xml:space="preserve">” </w:t>
      </w:r>
      <w:r w:rsidR="0088659E" w:rsidRPr="00AA71FA">
        <w:rPr>
          <w:lang w:val="sq-AL" w:eastAsia="sq-AL"/>
        </w:rPr>
        <w:t>SHA</w:t>
      </w:r>
      <w:r w:rsidRPr="00AA71FA">
        <w:rPr>
          <w:lang w:val="sq-AL" w:eastAsia="sq-AL"/>
        </w:rPr>
        <w:t xml:space="preserve">, Shoqëria “ </w:t>
      </w:r>
      <w:r w:rsidR="00290C1D" w:rsidRPr="00AA71FA">
        <w:rPr>
          <w:lang w:val="sq-AL" w:eastAsia="sq-AL"/>
        </w:rPr>
        <w:t>Olim</w:t>
      </w:r>
      <w:r w:rsidRPr="00AA71FA">
        <w:rPr>
          <w:lang w:val="sq-AL" w:eastAsia="sq-AL"/>
        </w:rPr>
        <w:t xml:space="preserve">” </w:t>
      </w:r>
      <w:r w:rsidR="0088659E" w:rsidRPr="00AA71FA">
        <w:rPr>
          <w:lang w:val="sq-AL" w:eastAsia="sq-AL"/>
        </w:rPr>
        <w:t xml:space="preserve">SHA; </w:t>
      </w:r>
      <w:r w:rsidRPr="00AA71FA">
        <w:rPr>
          <w:lang w:val="sq-AL" w:eastAsia="sq-AL"/>
        </w:rPr>
        <w:t xml:space="preserve">Hipotekues: Shoqëria “CITY PARK” </w:t>
      </w:r>
      <w:r w:rsidR="0088659E" w:rsidRPr="00AA71FA">
        <w:rPr>
          <w:lang w:val="sq-AL" w:eastAsia="sq-AL"/>
        </w:rPr>
        <w:t>SHPK</w:t>
      </w:r>
      <w:r w:rsidRPr="00AA71FA">
        <w:rPr>
          <w:lang w:val="sq-AL" w:eastAsia="sq-AL"/>
        </w:rPr>
        <w:t>, Shoqëria “</w:t>
      </w:r>
      <w:r w:rsidR="00290C1D" w:rsidRPr="00AA71FA">
        <w:rPr>
          <w:lang w:val="sq-AL" w:eastAsia="sq-AL"/>
        </w:rPr>
        <w:t>Deka</w:t>
      </w:r>
      <w:r w:rsidRPr="00AA71FA">
        <w:rPr>
          <w:lang w:val="sq-AL" w:eastAsia="sq-AL"/>
        </w:rPr>
        <w:t xml:space="preserve">” </w:t>
      </w:r>
      <w:r w:rsidR="0088659E" w:rsidRPr="00AA71FA">
        <w:rPr>
          <w:lang w:val="sq-AL" w:eastAsia="sq-AL"/>
        </w:rPr>
        <w:t>SHA</w:t>
      </w:r>
      <w:r w:rsidRPr="00AA71FA">
        <w:rPr>
          <w:lang w:val="sq-AL" w:eastAsia="sq-AL"/>
        </w:rPr>
        <w:t>, Artan Mene, Elida Mene, Shoqëria “</w:t>
      </w:r>
      <w:r w:rsidR="00290C1D" w:rsidRPr="00AA71FA">
        <w:rPr>
          <w:lang w:val="sq-AL" w:eastAsia="sq-AL"/>
        </w:rPr>
        <w:t>Olim</w:t>
      </w:r>
      <w:r w:rsidRPr="00AA71FA">
        <w:rPr>
          <w:lang w:val="sq-AL" w:eastAsia="sq-AL"/>
        </w:rPr>
        <w:t xml:space="preserve">” </w:t>
      </w:r>
      <w:r w:rsidR="0088659E" w:rsidRPr="00AA71FA">
        <w:rPr>
          <w:lang w:val="sq-AL" w:eastAsia="sq-AL"/>
        </w:rPr>
        <w:t>SHA</w:t>
      </w:r>
      <w:r w:rsidRPr="00AA71FA">
        <w:rPr>
          <w:lang w:val="sq-AL" w:eastAsia="sq-AL"/>
        </w:rPr>
        <w:t xml:space="preserve">, Shoqëria “Enternal” </w:t>
      </w:r>
      <w:r w:rsidR="0088659E" w:rsidRPr="00AA71FA">
        <w:rPr>
          <w:lang w:val="sq-AL" w:eastAsia="sq-AL"/>
        </w:rPr>
        <w:t>SHPK;</w:t>
      </w:r>
      <w:r w:rsidRPr="00AA71FA">
        <w:rPr>
          <w:lang w:val="sq-AL" w:eastAsia="sq-AL"/>
        </w:rPr>
        <w:t xml:space="preserve"> Me objekt: Kthim shume (kredi bankare). Për këtë titull ekzekutiv është lëshuar nga Gjykata e Rrethit Gjyqësor Tiranë Urdhri i ekzekutimit nr. 3497, datë 30.06.2014. Në bazë të neneve </w:t>
      </w:r>
      <w:r w:rsidRPr="00AA71FA">
        <w:rPr>
          <w:spacing w:val="-20"/>
          <w:lang w:val="sq-AL" w:eastAsia="sq-AL"/>
        </w:rPr>
        <w:t>517,  518,  525,  të</w:t>
      </w:r>
      <w:r w:rsidR="00FE05A8" w:rsidRPr="00AA71FA">
        <w:rPr>
          <w:spacing w:val="-20"/>
          <w:lang w:val="sq-AL" w:eastAsia="sq-AL"/>
        </w:rPr>
        <w:t xml:space="preserve"> </w:t>
      </w:r>
      <w:r w:rsidRPr="00AA71FA">
        <w:rPr>
          <w:spacing w:val="-20"/>
          <w:lang w:val="sq-AL" w:eastAsia="sq-AL"/>
        </w:rPr>
        <w:t xml:space="preserve"> </w:t>
      </w:r>
      <w:r w:rsidRPr="00AA71FA">
        <w:rPr>
          <w:lang w:val="sq-AL" w:eastAsia="sq-AL"/>
        </w:rPr>
        <w:t xml:space="preserve">KPC pala e paditur ka kërkuar </w:t>
      </w:r>
      <w:r w:rsidR="00E932F5" w:rsidRPr="00AA71FA">
        <w:rPr>
          <w:lang w:val="sq-AL" w:eastAsia="sq-AL"/>
        </w:rPr>
        <w:t>shly</w:t>
      </w:r>
      <w:r w:rsidRPr="00AA71FA">
        <w:rPr>
          <w:lang w:val="sq-AL" w:eastAsia="sq-AL"/>
        </w:rPr>
        <w:t>erjen e titullit ekzekutiv</w:t>
      </w:r>
      <w:r w:rsidRPr="00AA71FA">
        <w:rPr>
          <w:bCs/>
          <w:iCs/>
          <w:lang w:val="sq-AL" w:eastAsia="sq-AL"/>
        </w:rPr>
        <w:t xml:space="preserve"> “Kontrate Kredie Bankare për Kredi afatshkurtër Bridge Loan nr. CO 153/21.02.2008, nr. 973 rep/nr. 6607 kol, datë 04.03.2008 të noteres Eriketa Kokoli, ndryshuar me Shtojce kontrate për Kredi afatshkurtër Bridge Loan nr. </w:t>
      </w:r>
      <w:r w:rsidRPr="00AA71FA">
        <w:rPr>
          <w:iCs/>
          <w:spacing w:val="-20"/>
          <w:lang w:val="sq-AL" w:eastAsia="sq-AL"/>
        </w:rPr>
        <w:t>CO</w:t>
      </w:r>
      <w:r w:rsidRPr="00AA71FA">
        <w:rPr>
          <w:bCs/>
          <w:iCs/>
          <w:lang w:val="sq-AL" w:eastAsia="sq-AL"/>
        </w:rPr>
        <w:t xml:space="preserve"> 153/1/20.03.2009, nr. 861 rep/nr. 385 kol, datë 31.03.2009 të noteres Eriketa Kokoli, Shtojce kontrate për Kredi Afatshkurtër Bridge Loan nr. </w:t>
      </w:r>
      <w:r w:rsidRPr="00AA71FA">
        <w:rPr>
          <w:iCs/>
          <w:spacing w:val="-20"/>
          <w:lang w:val="sq-AL" w:eastAsia="sq-AL"/>
        </w:rPr>
        <w:t>CO</w:t>
      </w:r>
      <w:r w:rsidRPr="00AA71FA">
        <w:rPr>
          <w:bCs/>
          <w:iCs/>
          <w:lang w:val="sq-AL" w:eastAsia="sq-AL"/>
        </w:rPr>
        <w:t xml:space="preserve"> 153/2/13.08.2009, nr. 2496 rep/nr. 1134 kol, datë 19.08.2009 të noteres Eriketa Kokoli, Shtojce kontrate për Kredi Afatshkurtër Bridge Loan nr. </w:t>
      </w:r>
      <w:r w:rsidRPr="00AA71FA">
        <w:rPr>
          <w:iCs/>
          <w:spacing w:val="-20"/>
          <w:lang w:val="sq-AL" w:eastAsia="sq-AL"/>
        </w:rPr>
        <w:t>CO</w:t>
      </w:r>
      <w:r w:rsidRPr="00AA71FA">
        <w:rPr>
          <w:bCs/>
          <w:iCs/>
          <w:lang w:val="sq-AL" w:eastAsia="sq-AL"/>
        </w:rPr>
        <w:t xml:space="preserve"> 153/3/24.11.2009, nr. 3526 rep/nr. 1742 kol, të noteres Eriketa Kokoli, Shtojce kontrate për Kredi Afatshkurtër Bridge Loan nr. CO 153/4/20.01.2010, nr. 226 rep/nr. 129 kol, datë 28.01.2010 të noteres Eriketa Kokoli, Shtojce kontrate për Kredi Afatshkurtër Bridge Loan nr. </w:t>
      </w:r>
      <w:r w:rsidRPr="00AA71FA">
        <w:rPr>
          <w:bCs/>
          <w:iCs/>
          <w:spacing w:val="-20"/>
          <w:lang w:val="sq-AL" w:eastAsia="sq-AL"/>
        </w:rPr>
        <w:t>CO</w:t>
      </w:r>
      <w:r w:rsidRPr="00AA71FA">
        <w:rPr>
          <w:bCs/>
          <w:iCs/>
          <w:lang w:val="sq-AL" w:eastAsia="sq-AL"/>
        </w:rPr>
        <w:t xml:space="preserve"> 153/5/31.03.2010, nr. 1469 rep/nr. 885 kol, të noteres Eriketa Kokoli, Shtojce kontrate për Kredi Afatshkurtër Bridge Loan nr. CO 153/6/08.10.2010, nr. 3357 rep/nr. 2152 kol, datë 23.12.2010 të noteres Eriketa Kokoli, Shtojce kontrate për Kredi Afatshkurtër Bridge Loan nr. </w:t>
      </w:r>
      <w:r w:rsidRPr="00AA71FA">
        <w:rPr>
          <w:bCs/>
          <w:iCs/>
          <w:spacing w:val="-20"/>
          <w:lang w:val="sq-AL" w:eastAsia="sq-AL"/>
        </w:rPr>
        <w:t>CO</w:t>
      </w:r>
      <w:r w:rsidRPr="00AA71FA">
        <w:rPr>
          <w:bCs/>
          <w:iCs/>
          <w:lang w:val="sq-AL" w:eastAsia="sq-AL"/>
        </w:rPr>
        <w:t xml:space="preserve"> 153/7/30.05.2011, nr. 1470 rep/nr. 1078 kol të noteres Eriketa Kokoli, Shtojce kontrate për Kredi Afatshkurtër Bridge Loan nr. CO 153/8/12.03.2012, nr. 682 rep/nr. 349 kol, datë 15.03.2012 të noteres Eriketa Kokoli, Shtojce kontrate për Kredi Afatshkurtër Bridge Loan nr. CO 153/9/20.03.2012, nr. 802rep/nr. 417 kol, datë 27.03.2012 të noteres Eriketa Kokoli, Shtojce kontrate për Kredi Afatshkurtër Bridge Loan nr. CO 153/10/15.11.2012, nr. 3312 rep/nr.1936 kol datë 04.12.2012 të noteres Eriketa Kokoli, Shtojce kontrate për Kredi Afatshkurtër Bridge Loan nr. CO 153/11/28.05.2013, nr. 1586 rep/nr. 951 kol, datë 19.06.2013 të noteres Eriketa Kokoli, Shtojce kontrate për Kredi Afatshkurtër Bridge Loan nr. CO 153/12/16.12.2013, nr. 3096 rep/nr. 1991 kol, datë 24.12.2013 të noteres Eriketa Kokoli e lidhur ndërmjet “Banka e Tiranës” </w:t>
      </w:r>
      <w:r w:rsidR="0088659E" w:rsidRPr="00AA71FA">
        <w:rPr>
          <w:bCs/>
          <w:iCs/>
          <w:lang w:val="sq-AL" w:eastAsia="sq-AL"/>
        </w:rPr>
        <w:t>SHA</w:t>
      </w:r>
      <w:r w:rsidRPr="00AA71FA">
        <w:rPr>
          <w:bCs/>
          <w:iCs/>
          <w:lang w:val="sq-AL" w:eastAsia="sq-AL"/>
        </w:rPr>
        <w:t xml:space="preserve"> në cilësinë e kredidhënëses në këto kontrata dhe shoqërisë “</w:t>
      </w:r>
      <w:r w:rsidR="00290C1D" w:rsidRPr="00AA71FA">
        <w:rPr>
          <w:bCs/>
          <w:iCs/>
          <w:lang w:val="sq-AL" w:eastAsia="sq-AL"/>
        </w:rPr>
        <w:t>City Park</w:t>
      </w:r>
      <w:r w:rsidRPr="00AA71FA">
        <w:rPr>
          <w:bCs/>
          <w:iCs/>
          <w:lang w:val="sq-AL" w:eastAsia="sq-AL"/>
        </w:rPr>
        <w:t xml:space="preserve">” </w:t>
      </w:r>
      <w:r w:rsidR="0088659E" w:rsidRPr="00AA71FA">
        <w:rPr>
          <w:bCs/>
          <w:iCs/>
          <w:lang w:val="sq-AL" w:eastAsia="sq-AL"/>
        </w:rPr>
        <w:t>SHPK</w:t>
      </w:r>
      <w:r w:rsidRPr="00AA71FA">
        <w:rPr>
          <w:bCs/>
          <w:iCs/>
          <w:lang w:val="sq-AL" w:eastAsia="sq-AL"/>
        </w:rPr>
        <w:t xml:space="preserve"> me cilësinë e kredimarrëses”. </w:t>
      </w:r>
    </w:p>
    <w:p w14:paraId="3B54D438" w14:textId="77777777" w:rsidR="00952784" w:rsidRPr="00AA71FA" w:rsidRDefault="00952784" w:rsidP="00952784">
      <w:pPr>
        <w:jc w:val="both"/>
        <w:rPr>
          <w:lang w:val="sq-AL" w:eastAsia="sq-AL"/>
        </w:rPr>
      </w:pPr>
      <w:r w:rsidRPr="00AA71FA">
        <w:rPr>
          <w:lang w:val="sq-AL" w:eastAsia="sq-AL"/>
        </w:rPr>
        <w:t>Mosthirrja në gjykim me cilësinë e personave të tretë të gjithë personave fizike apo juridike palë në kontratën e kredisë cenon interesat e ligjshme të tyre.</w:t>
      </w:r>
    </w:p>
    <w:p w14:paraId="6033152C" w14:textId="6CF7DB2F" w:rsidR="00952784" w:rsidRPr="00AA71FA" w:rsidRDefault="00FE05A8" w:rsidP="00290C1D">
      <w:pPr>
        <w:ind w:firstLine="720"/>
        <w:jc w:val="both"/>
        <w:rPr>
          <w:b/>
          <w:lang w:val="sq-AL"/>
        </w:rPr>
      </w:pPr>
      <w:r w:rsidRPr="00AA71FA">
        <w:rPr>
          <w:b/>
          <w:lang w:val="sq-AL"/>
        </w:rPr>
        <w:t xml:space="preserve">15. </w:t>
      </w:r>
      <w:r w:rsidR="00952784" w:rsidRPr="00AA71FA">
        <w:rPr>
          <w:b/>
          <w:lang w:val="sq-AL"/>
        </w:rPr>
        <w:t xml:space="preserve">Ndaj vendimit të sipërcituar rezulton të ketë paraqitur rekurs pala paditëse Arian </w:t>
      </w:r>
      <w:r w:rsidR="00952784" w:rsidRPr="00AA71FA">
        <w:rPr>
          <w:b/>
          <w:bCs/>
          <w:lang w:val="sq-AL"/>
        </w:rPr>
        <w:t>Mene</w:t>
      </w:r>
      <w:r w:rsidR="00952784" w:rsidRPr="00AA71FA">
        <w:rPr>
          <w:b/>
          <w:lang w:val="sq-AL"/>
        </w:rPr>
        <w:t xml:space="preserve">, i cili kërkon: </w:t>
      </w:r>
      <w:r w:rsidR="00952784" w:rsidRPr="00AA71FA">
        <w:rPr>
          <w:lang w:val="sq-AL"/>
        </w:rPr>
        <w:t>“</w:t>
      </w:r>
      <w:r w:rsidR="00952784" w:rsidRPr="00AA71FA">
        <w:rPr>
          <w:i/>
          <w:iCs/>
          <w:lang w:val="sq-AL"/>
        </w:rPr>
        <w:t>Prishjen e vendimit gjyqësor nr. 278, datë 09.02.2016 të Gjykatës së Apelit Tiranë dhe lënien në fuqi të vendimit nr. 11376, datë 26.11.2014 të Gjykatës së Rrethit Gjyqësor Tiranë</w:t>
      </w:r>
      <w:r w:rsidR="00952784" w:rsidRPr="00AA71FA">
        <w:rPr>
          <w:lang w:val="sq-AL"/>
        </w:rPr>
        <w:t>”, duke parashtruar shkaqet si vijon:</w:t>
      </w:r>
    </w:p>
    <w:p w14:paraId="22C016F2" w14:textId="5419CB19" w:rsidR="00952784" w:rsidRPr="00AA71FA" w:rsidRDefault="00952784" w:rsidP="00952784">
      <w:pPr>
        <w:pStyle w:val="ListParagraph"/>
        <w:numPr>
          <w:ilvl w:val="0"/>
          <w:numId w:val="12"/>
        </w:numPr>
        <w:jc w:val="both"/>
        <w:rPr>
          <w:sz w:val="24"/>
          <w:szCs w:val="24"/>
          <w:lang w:val="sq-AL"/>
        </w:rPr>
      </w:pPr>
      <w:r w:rsidRPr="00AA71FA">
        <w:rPr>
          <w:sz w:val="24"/>
          <w:szCs w:val="24"/>
          <w:lang w:val="sq-AL"/>
        </w:rPr>
        <w:t>Gjykata e Apelit Tiran</w:t>
      </w:r>
      <w:r w:rsidR="00E42AD6" w:rsidRPr="00AA71FA">
        <w:rPr>
          <w:sz w:val="24"/>
          <w:szCs w:val="24"/>
          <w:lang w:val="sq-AL"/>
        </w:rPr>
        <w:t>ë</w:t>
      </w:r>
      <w:r w:rsidRPr="00AA71FA">
        <w:rPr>
          <w:sz w:val="24"/>
          <w:szCs w:val="24"/>
          <w:lang w:val="sq-AL"/>
        </w:rPr>
        <w:t>, ka arritur në përfundimin e gabuar se vendimi duhet prishur dhe se duhet ta kthejë çështjen për rigjykim pasi ndërgjyqësia nuk është formuar drejtë sipas ligjit.</w:t>
      </w:r>
    </w:p>
    <w:p w14:paraId="4816DB87" w14:textId="5D99DFD6" w:rsidR="00952784" w:rsidRPr="00AA71FA" w:rsidRDefault="00952784" w:rsidP="0088659E">
      <w:pPr>
        <w:pStyle w:val="ListParagraph"/>
        <w:numPr>
          <w:ilvl w:val="0"/>
          <w:numId w:val="12"/>
        </w:numPr>
        <w:jc w:val="both"/>
        <w:rPr>
          <w:sz w:val="24"/>
          <w:szCs w:val="24"/>
          <w:lang w:val="sq-AL"/>
        </w:rPr>
      </w:pPr>
      <w:r w:rsidRPr="00AA71FA">
        <w:rPr>
          <w:sz w:val="24"/>
          <w:szCs w:val="24"/>
          <w:lang w:val="sq-AL"/>
        </w:rPr>
        <w:t xml:space="preserve">Gjykata e </w:t>
      </w:r>
      <w:r w:rsidR="00290C1D" w:rsidRPr="00AA71FA">
        <w:rPr>
          <w:sz w:val="24"/>
          <w:szCs w:val="24"/>
          <w:lang w:val="sq-AL"/>
        </w:rPr>
        <w:t>a</w:t>
      </w:r>
      <w:r w:rsidRPr="00AA71FA">
        <w:rPr>
          <w:sz w:val="24"/>
          <w:szCs w:val="24"/>
          <w:lang w:val="sq-AL"/>
        </w:rPr>
        <w:t>pelit arsyeton se, bazuar në nenin 193 të Kodit të Procedurës Civile, Gjykata e Rrethit Gjyqësor Tiran</w:t>
      </w:r>
      <w:r w:rsidR="00E42AD6" w:rsidRPr="00AA71FA">
        <w:rPr>
          <w:sz w:val="24"/>
          <w:szCs w:val="24"/>
          <w:lang w:val="sq-AL"/>
        </w:rPr>
        <w:t>ë</w:t>
      </w:r>
      <w:r w:rsidRPr="00AA71FA">
        <w:rPr>
          <w:sz w:val="24"/>
          <w:szCs w:val="24"/>
          <w:lang w:val="sq-AL"/>
        </w:rPr>
        <w:t xml:space="preserve"> duhet të kishte thirrur në cilësinë e personave të tretë në gjykim të gjithë personat juridike apo fizike që janë pal</w:t>
      </w:r>
      <w:r w:rsidR="00E932F5" w:rsidRPr="00AA71FA">
        <w:rPr>
          <w:sz w:val="24"/>
          <w:szCs w:val="24"/>
          <w:lang w:val="sq-AL"/>
        </w:rPr>
        <w:t>ë</w:t>
      </w:r>
      <w:r w:rsidRPr="00AA71FA">
        <w:rPr>
          <w:sz w:val="24"/>
          <w:szCs w:val="24"/>
          <w:lang w:val="sq-AL"/>
        </w:rPr>
        <w:t xml:space="preserve"> në kontratat e kredisë për të cilat është lëshuar urdhri i ekzekutimit dhe janë objekt i ekzekutimit nga shërbimi përmbarimor.</w:t>
      </w:r>
      <w:r w:rsidR="0088659E" w:rsidRPr="00AA71FA">
        <w:rPr>
          <w:sz w:val="24"/>
          <w:szCs w:val="24"/>
          <w:lang w:val="sq-AL"/>
        </w:rPr>
        <w:t xml:space="preserve"> </w:t>
      </w:r>
      <w:r w:rsidRPr="00AA71FA">
        <w:rPr>
          <w:sz w:val="24"/>
          <w:szCs w:val="24"/>
          <w:lang w:val="sq-AL"/>
        </w:rPr>
        <w:t>Mos</w:t>
      </w:r>
      <w:r w:rsidR="0088659E" w:rsidRPr="00AA71FA">
        <w:rPr>
          <w:sz w:val="24"/>
          <w:szCs w:val="24"/>
          <w:lang w:val="sq-AL"/>
        </w:rPr>
        <w:t xml:space="preserve"> </w:t>
      </w:r>
      <w:r w:rsidRPr="00AA71FA">
        <w:rPr>
          <w:sz w:val="24"/>
          <w:szCs w:val="24"/>
          <w:lang w:val="sq-AL"/>
        </w:rPr>
        <w:t>thirrja në gjykim me cilësinë e personave të tretë të gjithë personave fizik</w:t>
      </w:r>
      <w:r w:rsidR="00E932F5" w:rsidRPr="00AA71FA">
        <w:rPr>
          <w:sz w:val="24"/>
          <w:szCs w:val="24"/>
          <w:lang w:val="sq-AL"/>
        </w:rPr>
        <w:t>ë</w:t>
      </w:r>
      <w:r w:rsidRPr="00AA71FA">
        <w:rPr>
          <w:sz w:val="24"/>
          <w:szCs w:val="24"/>
          <w:lang w:val="sq-AL"/>
        </w:rPr>
        <w:t xml:space="preserve"> apo juridik</w:t>
      </w:r>
      <w:r w:rsidR="00E932F5" w:rsidRPr="00AA71FA">
        <w:rPr>
          <w:sz w:val="24"/>
          <w:szCs w:val="24"/>
          <w:lang w:val="sq-AL"/>
        </w:rPr>
        <w:t>ë</w:t>
      </w:r>
      <w:r w:rsidRPr="00AA71FA">
        <w:rPr>
          <w:sz w:val="24"/>
          <w:szCs w:val="24"/>
          <w:lang w:val="sq-AL"/>
        </w:rPr>
        <w:t xml:space="preserve"> pal</w:t>
      </w:r>
      <w:r w:rsidR="00E932F5" w:rsidRPr="00AA71FA">
        <w:rPr>
          <w:sz w:val="24"/>
          <w:szCs w:val="24"/>
          <w:lang w:val="sq-AL"/>
        </w:rPr>
        <w:t>ë</w:t>
      </w:r>
      <w:r w:rsidRPr="00AA71FA">
        <w:rPr>
          <w:sz w:val="24"/>
          <w:szCs w:val="24"/>
          <w:lang w:val="sq-AL"/>
        </w:rPr>
        <w:t xml:space="preserve"> në kontratën e kredisë cenon interesat e ligjshme të tyre.</w:t>
      </w:r>
    </w:p>
    <w:p w14:paraId="2FF0ACE0" w14:textId="77777777" w:rsidR="00952784" w:rsidRPr="00AA71FA" w:rsidRDefault="00952784" w:rsidP="00952784">
      <w:pPr>
        <w:pStyle w:val="ListParagraph"/>
        <w:numPr>
          <w:ilvl w:val="0"/>
          <w:numId w:val="12"/>
        </w:numPr>
        <w:jc w:val="both"/>
        <w:rPr>
          <w:sz w:val="24"/>
          <w:szCs w:val="24"/>
          <w:lang w:val="sq-AL"/>
        </w:rPr>
      </w:pPr>
      <w:r w:rsidRPr="00AA71FA">
        <w:rPr>
          <w:sz w:val="24"/>
          <w:szCs w:val="24"/>
          <w:lang w:val="sq-AL"/>
        </w:rPr>
        <w:t xml:space="preserve">Arsyetimi i mësipërm i Gjykatës së Apelit është jo në përputhje me ligjin dhe përbën një vlerësim të gabuar të termit “interes i ligjshëm për gjykimin”. Së pari, Gjykata e Apelit pavarësisht se përmend termin interes i ligjshëm, nuk arsyeton se cili është konkretisht interesi i ligjshëm që palët e tjera të kontratës mund të </w:t>
      </w:r>
      <w:r w:rsidRPr="00AA71FA">
        <w:rPr>
          <w:sz w:val="24"/>
          <w:szCs w:val="24"/>
          <w:lang w:val="sq-AL"/>
        </w:rPr>
        <w:lastRenderedPageBreak/>
        <w:t>kenë në këtë çështje. Gjykata mjaftohet vetëm duke u shprehur se cenohet interesi i ligjshëm, por pa e argumentuar aspak se cili është ky interes i ligjshëm.</w:t>
      </w:r>
    </w:p>
    <w:p w14:paraId="3F24D741" w14:textId="77777777" w:rsidR="00952784" w:rsidRPr="00AA71FA" w:rsidRDefault="00952784" w:rsidP="00952784">
      <w:pPr>
        <w:pStyle w:val="ListParagraph"/>
        <w:numPr>
          <w:ilvl w:val="0"/>
          <w:numId w:val="12"/>
        </w:numPr>
        <w:jc w:val="both"/>
        <w:rPr>
          <w:sz w:val="24"/>
          <w:szCs w:val="24"/>
          <w:lang w:val="sq-AL"/>
        </w:rPr>
      </w:pPr>
      <w:r w:rsidRPr="00AA71FA">
        <w:rPr>
          <w:sz w:val="24"/>
          <w:szCs w:val="24"/>
          <w:lang w:val="sq-AL"/>
        </w:rPr>
        <w:t>Përkundër kësaj duam të theksojmë dhe të argumentojmë se palët e thirrura në gjykim, përmbaruesi gjyqësor si i paditur dhe kreditori Banka e Tiranës si person i tretë, janë pikërisht palët e vetme që kanë interes të ligjshëm.</w:t>
      </w:r>
    </w:p>
    <w:p w14:paraId="0362B634" w14:textId="77777777" w:rsidR="00952784" w:rsidRPr="00AA71FA" w:rsidRDefault="00952784" w:rsidP="00952784">
      <w:pPr>
        <w:pStyle w:val="ListParagraph"/>
        <w:numPr>
          <w:ilvl w:val="0"/>
          <w:numId w:val="13"/>
        </w:numPr>
        <w:jc w:val="both"/>
        <w:rPr>
          <w:sz w:val="24"/>
          <w:szCs w:val="24"/>
          <w:lang w:val="sq-AL"/>
        </w:rPr>
      </w:pPr>
      <w:r w:rsidRPr="00AA71FA">
        <w:rPr>
          <w:sz w:val="24"/>
          <w:szCs w:val="24"/>
          <w:lang w:val="sq-AL"/>
        </w:rPr>
        <w:t>Ndaj edhe për këto arsye konsiderojmë se vendimi i Gjykatës së Apelit, mbetet i izoluar, jo i ligjshëm dhe jo në përputhje me normat ligjore në tërësi, pa kryer një vlerësim ligjor të gjithanshëm dhe duke shkaktuar vetëm zvarritje artificiale të procesit.</w:t>
      </w:r>
    </w:p>
    <w:p w14:paraId="51ADA68D" w14:textId="77777777" w:rsidR="00952784" w:rsidRPr="00AA71FA" w:rsidRDefault="00952784" w:rsidP="00952784">
      <w:pPr>
        <w:jc w:val="both"/>
        <w:rPr>
          <w:lang w:val="sq-AL"/>
        </w:rPr>
      </w:pPr>
    </w:p>
    <w:p w14:paraId="53EDE490" w14:textId="77777777" w:rsidR="000C2FBE" w:rsidRPr="00AA71FA" w:rsidRDefault="000C2FBE" w:rsidP="000C2FBE">
      <w:pPr>
        <w:ind w:firstLine="720"/>
        <w:jc w:val="both"/>
        <w:rPr>
          <w:b/>
          <w:bCs/>
          <w:lang w:val="sq-AL"/>
        </w:rPr>
      </w:pPr>
      <w:bookmarkStart w:id="0" w:name="_Hlk211612653"/>
      <w:r w:rsidRPr="00AA71FA">
        <w:rPr>
          <w:b/>
          <w:bCs/>
          <w:lang w:val="sq-AL"/>
        </w:rPr>
        <w:t xml:space="preserve">II. Vlerësimi i Kolegjit Civil </w:t>
      </w:r>
    </w:p>
    <w:p w14:paraId="68665628" w14:textId="77777777" w:rsidR="000C2FBE" w:rsidRPr="00AA71FA" w:rsidRDefault="000C2FBE" w:rsidP="000C2FBE">
      <w:pPr>
        <w:ind w:firstLine="720"/>
        <w:jc w:val="both"/>
        <w:rPr>
          <w:bCs/>
          <w:lang w:val="sq-AL"/>
        </w:rPr>
      </w:pPr>
    </w:p>
    <w:p w14:paraId="39042150" w14:textId="77777777" w:rsidR="000C2FBE" w:rsidRPr="00AA71FA" w:rsidRDefault="000C2FBE" w:rsidP="000C2FBE">
      <w:pPr>
        <w:ind w:firstLine="720"/>
        <w:jc w:val="both"/>
        <w:rPr>
          <w:lang w:val="sq-AL"/>
        </w:rPr>
      </w:pPr>
      <w:r w:rsidRPr="00AA71FA">
        <w:rPr>
          <w:lang w:val="sq-AL"/>
        </w:rPr>
        <w:t xml:space="preserve">16. Kolegji Civil i Gjykatës së Lartë (në vijim Kolegji) vlerëson se, </w:t>
      </w:r>
      <w:r w:rsidRPr="00AA71FA">
        <w:rPr>
          <w:noProof/>
          <w:lang w:val="sq-AL"/>
        </w:rPr>
        <w:t xml:space="preserve">vendimi i Gjykatës së Apelit Tiranë me të cilin është vendosur prishja e vendimit të gjykatës së shkallës së parë dhe dërgimi i çështjes për rigjykim është i pabazuar në ligjin procedural. </w:t>
      </w:r>
      <w:r w:rsidRPr="00AA71FA">
        <w:rPr>
          <w:lang w:val="sq-AL"/>
        </w:rPr>
        <w:t xml:space="preserve">Nuk rezulton të ketë asnjë shkak të ligjshëm të gjykatës së apelit për moszgjidhjen e çështjes në themel. </w:t>
      </w:r>
    </w:p>
    <w:p w14:paraId="6E7EB94D" w14:textId="77777777" w:rsidR="000C2FBE" w:rsidRPr="00AA71FA" w:rsidRDefault="000C2FBE" w:rsidP="000C2FBE">
      <w:pPr>
        <w:ind w:firstLine="720"/>
        <w:jc w:val="both"/>
        <w:rPr>
          <w:lang w:val="sq-AL"/>
        </w:rPr>
      </w:pPr>
      <w:r w:rsidRPr="00AA71FA">
        <w:rPr>
          <w:lang w:val="sq-AL"/>
        </w:rPr>
        <w:t xml:space="preserve">16.1. Në këto kushte Gjykata e Lartë duhet të vendosë prishjen e vendimit të Gjykatës së Apelit Tiranë dhe </w:t>
      </w:r>
      <w:r w:rsidRPr="00AA71FA">
        <w:rPr>
          <w:bCs/>
          <w:lang w:val="sq-AL"/>
        </w:rPr>
        <w:t xml:space="preserve">referuar </w:t>
      </w:r>
      <w:r w:rsidRPr="00AA71FA">
        <w:rPr>
          <w:lang w:val="sq-AL"/>
        </w:rPr>
        <w:t>Vendimit të Këshillit të Ministrave nr. 495, datë 21.07.2022 “</w:t>
      </w:r>
      <w:r w:rsidRPr="00AA71FA">
        <w:rPr>
          <w:i/>
          <w:lang w:val="sq-AL"/>
        </w:rPr>
        <w:t>Për riorganizimin e rretheve gjyqësore dhe kompetencave gjyqësore të gjykatave</w:t>
      </w:r>
      <w:r w:rsidRPr="00AA71FA">
        <w:rPr>
          <w:lang w:val="sq-AL"/>
        </w:rPr>
        <w:t>”, si dhe Vendimit të Këshillit të Lartë Gjyqësor nr. 505, datë 21.11.2022</w:t>
      </w:r>
      <w:r w:rsidRPr="00AA71FA">
        <w:rPr>
          <w:bCs/>
          <w:lang w:val="sq-AL"/>
        </w:rPr>
        <w:t>, çështja duhet të dërgohet në Gjykatën e Apelit të Juridiksionit të Përgjithshëm</w:t>
      </w:r>
      <w:r w:rsidRPr="00AA71FA">
        <w:rPr>
          <w:lang w:val="sq-AL"/>
        </w:rPr>
        <w:t xml:space="preserve">, me tjetër trup gjykues. </w:t>
      </w:r>
    </w:p>
    <w:p w14:paraId="0E97A481" w14:textId="1BD1AF1F" w:rsidR="000C2FBE" w:rsidRPr="00AA71FA" w:rsidRDefault="000C2FBE" w:rsidP="000C2FBE">
      <w:pPr>
        <w:ind w:firstLine="720"/>
        <w:jc w:val="both"/>
        <w:rPr>
          <w:noProof/>
          <w:lang w:val="sq-AL"/>
        </w:rPr>
      </w:pPr>
      <w:r w:rsidRPr="00AA71FA">
        <w:rPr>
          <w:lang w:val="sq-AL"/>
        </w:rPr>
        <w:t xml:space="preserve">17. Në rastin objekt gjykimi gjykata e apelit ka prishur vendimin e gjykatës së shkallës së parë, </w:t>
      </w:r>
      <w:r w:rsidRPr="00AA71FA">
        <w:rPr>
          <w:noProof/>
          <w:lang w:val="sq-AL"/>
        </w:rPr>
        <w:t xml:space="preserve">për formim të parregullt të ndërgjyqësisë, duke arsyetuar se </w:t>
      </w:r>
      <w:r w:rsidRPr="00AA71FA">
        <w:rPr>
          <w:lang w:val="sq-AL" w:eastAsia="sq-AL"/>
        </w:rPr>
        <w:t>bazuar në nenin 193 të Kodit të Procedurës Civile, duhet të kishte thirrur në cilësinë e personave të tretë në gjykim të gjithë personat juridike apo fizike që janë pal</w:t>
      </w:r>
      <w:r w:rsidR="00E42AD6" w:rsidRPr="00AA71FA">
        <w:rPr>
          <w:lang w:val="sq-AL" w:eastAsia="sq-AL"/>
        </w:rPr>
        <w:t>ë</w:t>
      </w:r>
      <w:r w:rsidRPr="00AA71FA">
        <w:rPr>
          <w:lang w:val="sq-AL" w:eastAsia="sq-AL"/>
        </w:rPr>
        <w:t xml:space="preserve"> në kontratat e kredisë për të cilat është lëshuar urdhëri i ekzekutimit dhe janë objekt i ekzekutimit nga shërbimi përmbarimore.</w:t>
      </w:r>
    </w:p>
    <w:p w14:paraId="6A8EA122" w14:textId="39F1B62D" w:rsidR="000C2FBE" w:rsidRPr="00AA71FA" w:rsidRDefault="000C2FBE" w:rsidP="000C2FBE">
      <w:pPr>
        <w:ind w:firstLine="720"/>
        <w:jc w:val="both"/>
        <w:rPr>
          <w:lang w:val="sq-AL"/>
        </w:rPr>
      </w:pPr>
      <w:r w:rsidRPr="00AA71FA">
        <w:rPr>
          <w:noProof/>
          <w:lang w:val="sq-AL"/>
        </w:rPr>
        <w:t xml:space="preserve">18. Qëllimi i Ligjvënësit në </w:t>
      </w:r>
      <w:r w:rsidRPr="00AA71FA">
        <w:rPr>
          <w:lang w:val="sq-AL"/>
        </w:rPr>
        <w:t>parashikimet e nenit 467 të KPC, është të garantojë parimin e ekonomisë procedurale dhe të ruajtjes së veprimeve procedurale që nuk varen nga shkaqet e pavlefshmërisë. Megjithatë, parimi i kthimit të akteve gjykatës së shkallës së parë është taksativ vetëm për sa i takon shkaqeve të parashikuara shprehimisht në këtë dispozitë. Prandaj disponimi i gjykatës së apelit sipas shkaqeve që parashikohen në nenin 467 të KPC, duhet të arsyetohet në mënyrë të detajuar, duke shpjeguar gjykata në mënyrë konkrete dhe të mjaftueshme rastin e pavlefshmërisë të parashikuar nga norma</w:t>
      </w:r>
      <w:r w:rsidR="0088659E" w:rsidRPr="00AA71FA">
        <w:rPr>
          <w:lang w:val="sq-AL"/>
        </w:rPr>
        <w:t>.</w:t>
      </w:r>
    </w:p>
    <w:p w14:paraId="08E6BC8F" w14:textId="02C02220" w:rsidR="00E932F5" w:rsidRPr="00AA71FA" w:rsidRDefault="00E932F5" w:rsidP="00E932F5">
      <w:pPr>
        <w:tabs>
          <w:tab w:val="left" w:pos="360"/>
        </w:tabs>
        <w:spacing w:line="276" w:lineRule="auto"/>
        <w:jc w:val="both"/>
        <w:rPr>
          <w:bCs/>
          <w:color w:val="000000"/>
          <w:lang w:val="sq-AL"/>
        </w:rPr>
      </w:pPr>
      <w:r w:rsidRPr="00AA71FA">
        <w:rPr>
          <w:bCs/>
          <w:color w:val="000000"/>
          <w:lang w:val="sq-AL"/>
        </w:rPr>
        <w:tab/>
      </w:r>
      <w:r w:rsidRPr="00AA71FA">
        <w:rPr>
          <w:bCs/>
          <w:color w:val="000000"/>
          <w:lang w:val="sq-AL"/>
        </w:rPr>
        <w:tab/>
      </w:r>
      <w:bookmarkStart w:id="1" w:name="_Hlk214101876"/>
      <w:r w:rsidRPr="00AA71FA">
        <w:rPr>
          <w:bCs/>
          <w:color w:val="000000"/>
          <w:lang w:val="sq-AL"/>
        </w:rPr>
        <w:t>19. N</w:t>
      </w:r>
      <w:r w:rsidRPr="00AA71FA">
        <w:rPr>
          <w:bCs/>
          <w:iCs/>
          <w:lang w:val="sq-AL"/>
        </w:rPr>
        <w:t>ë kuadër të dërgimit të çështjes për rigjykim, neni 467 i Kodit të Procedurës Civile (përpara ndryshimeve me ligjin nr. 38/2017), parashikonte se: “</w:t>
      </w:r>
      <w:r w:rsidRPr="00AA71FA">
        <w:rPr>
          <w:bCs/>
          <w:i/>
          <w:iCs/>
          <w:lang w:val="sq-AL"/>
        </w:rPr>
        <w:t>Gjykata e apelit prish vendimin e gjykatës së shkallës së parë dhe e dërgon çështjen për rigjykim kur: a) gjykata e shkallës së parë ka shkelur dispozitat mbi juridiksionin dhe kompetencën; b) përbërja e trupit gjykues nuk ka qenë e rregullt apo vendimi nuk është nënshkruar nga anëtarët e tij, ose është cenuar parimi i paanësisë; c) gjykata ka vendosur pushimin e çështjes në kundërshtim me rregullat e përcaktuara nga ky Kod; ç) çështja është gjykuar në mungesë të pjesëmarrësve në proces, pa pasur dijeni për ditën e gjykimit; d) nuk është formuar drejt ndërgjyqësia; e) kur mungojnë ose janë të pavlefshme padia, procesverbali gjyqësor, ankimi, si dhe çdo dokument tjetër që ka ndikuar në dhënien e vendimit. ë) lind nevoja për marrjen e një prove vendimtare, marrja e së cilës është e vështirë në shkallë të dytë, ose gjykata nuk është shprehur për të gjitha kërkesat e parashtruara nga palët në padi dhe që përbëjnë objektin e mosmarrëveshjes midis palëve ndërgjyqëse</w:t>
      </w:r>
      <w:r w:rsidRPr="00AA71FA">
        <w:rPr>
          <w:bCs/>
          <w:iCs/>
          <w:lang w:val="sq-AL"/>
        </w:rPr>
        <w:t>”.</w:t>
      </w:r>
    </w:p>
    <w:bookmarkEnd w:id="1"/>
    <w:p w14:paraId="7CC87EFF" w14:textId="285B2EC5" w:rsidR="000C2FBE" w:rsidRPr="00AA71FA" w:rsidRDefault="00E932F5" w:rsidP="000C2FBE">
      <w:pPr>
        <w:ind w:firstLine="720"/>
        <w:jc w:val="both"/>
        <w:rPr>
          <w:noProof/>
          <w:lang w:val="sq-AL"/>
        </w:rPr>
      </w:pPr>
      <w:r w:rsidRPr="00AA71FA">
        <w:rPr>
          <w:lang w:val="sq-AL"/>
        </w:rPr>
        <w:lastRenderedPageBreak/>
        <w:t>20</w:t>
      </w:r>
      <w:r w:rsidR="000C2FBE" w:rsidRPr="00AA71FA">
        <w:rPr>
          <w:lang w:val="sq-AL"/>
        </w:rPr>
        <w:t xml:space="preserve">. Kolegji vlerëson se vendimi i Gjykatës së Apelit Tiranë nuk është i bazuar dhe </w:t>
      </w:r>
      <w:r w:rsidR="000C2FBE" w:rsidRPr="00AA71FA">
        <w:rPr>
          <w:noProof/>
          <w:lang w:val="sq-AL"/>
        </w:rPr>
        <w:t xml:space="preserve">nuk gjen mbështetje në asnjë nga rastet e parashikuara në nenin 467 të KPC, i cili në mënyrë shteruese ka parashikuar se kur mund të prishet vendimi i gjykatës së shkallës së parë dhe çështja të kthehet për rigjykim. </w:t>
      </w:r>
    </w:p>
    <w:p w14:paraId="32BD0130" w14:textId="154D9249" w:rsidR="000C2FBE" w:rsidRPr="00AA71FA" w:rsidRDefault="000C2FBE" w:rsidP="000C2FBE">
      <w:pPr>
        <w:ind w:firstLine="720"/>
        <w:jc w:val="both"/>
        <w:rPr>
          <w:bCs/>
          <w:lang w:val="sq-AL"/>
        </w:rPr>
      </w:pPr>
      <w:r w:rsidRPr="00AA71FA">
        <w:rPr>
          <w:noProof/>
          <w:lang w:val="sq-AL"/>
        </w:rPr>
        <w:t>2</w:t>
      </w:r>
      <w:r w:rsidR="00E932F5" w:rsidRPr="00AA71FA">
        <w:rPr>
          <w:noProof/>
          <w:lang w:val="sq-AL"/>
        </w:rPr>
        <w:t>1</w:t>
      </w:r>
      <w:r w:rsidRPr="00AA71FA">
        <w:rPr>
          <w:noProof/>
          <w:lang w:val="sq-AL"/>
        </w:rPr>
        <w:t xml:space="preserve">. Kolegji vlerëson se kjo gjykatë </w:t>
      </w:r>
      <w:r w:rsidRPr="00AA71FA">
        <w:rPr>
          <w:bCs/>
          <w:lang w:val="sq-AL"/>
        </w:rPr>
        <w:t xml:space="preserve">nuk ka garantuar të drejtën e palëve ndërgjyqëse për akses në gjykatë, në juridiksionin rishikues, pasi, në kushtet kur nuk ka patur asnjë pengesë procedurale për gjykimin në themel të çështjes, ka refuzuar të japë drejtësi, duke mos zgjidhur çështjen me vendim përfundimtar, por duke prishur vendimin e gjykatës së shkallës së parë dhe duke e kthyer çështjen për rigjykim në atë gjykatë. </w:t>
      </w:r>
    </w:p>
    <w:p w14:paraId="17E34E5B" w14:textId="628D1738" w:rsidR="000C2FBE" w:rsidRPr="00AA71FA" w:rsidRDefault="000C2FBE" w:rsidP="000C2FBE">
      <w:pPr>
        <w:ind w:firstLine="720"/>
        <w:jc w:val="both"/>
        <w:rPr>
          <w:lang w:val="sq-AL"/>
        </w:rPr>
      </w:pPr>
      <w:r w:rsidRPr="00AA71FA">
        <w:rPr>
          <w:bCs/>
          <w:lang w:val="sq-AL"/>
        </w:rPr>
        <w:t>2</w:t>
      </w:r>
      <w:r w:rsidR="00E932F5" w:rsidRPr="00AA71FA">
        <w:rPr>
          <w:bCs/>
          <w:lang w:val="sq-AL"/>
        </w:rPr>
        <w:t>2</w:t>
      </w:r>
      <w:r w:rsidRPr="00AA71FA">
        <w:rPr>
          <w:bCs/>
          <w:lang w:val="sq-AL"/>
        </w:rPr>
        <w:t xml:space="preserve">. </w:t>
      </w:r>
      <w:bookmarkEnd w:id="0"/>
      <w:r w:rsidRPr="00AA71FA">
        <w:rPr>
          <w:lang w:val="sq-AL"/>
        </w:rPr>
        <w:t>Kolegji e vlerëson të pambështetur në ligj interpretimin e nenit 467/d të KPC nga ana e Gjykatës së Apelit Tiranë, duke lënë si detyrë për gjykatën e shkallës së parë, të garantojë pjesëmarrjen në gjykim në cilësinë e personit të tretë të kufitarëve të pronës.</w:t>
      </w:r>
      <w:r w:rsidRPr="00AA71FA">
        <w:rPr>
          <w:bCs/>
          <w:lang w:val="sq-AL"/>
        </w:rPr>
        <w:t xml:space="preserve"> </w:t>
      </w:r>
    </w:p>
    <w:p w14:paraId="0641AA37" w14:textId="50424965" w:rsidR="000C2FBE" w:rsidRPr="00AA71FA" w:rsidRDefault="000C2FBE" w:rsidP="000C2FBE">
      <w:pPr>
        <w:ind w:firstLine="720"/>
        <w:jc w:val="both"/>
        <w:rPr>
          <w:bCs/>
          <w:lang w:val="sq-AL"/>
        </w:rPr>
      </w:pPr>
      <w:r w:rsidRPr="00AA71FA">
        <w:rPr>
          <w:bCs/>
          <w:lang w:val="sq-AL"/>
        </w:rPr>
        <w:t>2</w:t>
      </w:r>
      <w:r w:rsidR="00E932F5" w:rsidRPr="00AA71FA">
        <w:rPr>
          <w:bCs/>
          <w:lang w:val="sq-AL"/>
        </w:rPr>
        <w:t>3</w:t>
      </w:r>
      <w:r w:rsidRPr="00AA71FA">
        <w:rPr>
          <w:bCs/>
          <w:lang w:val="sq-AL"/>
        </w:rPr>
        <w:t xml:space="preserve">. Nga përmbajtja e nenit 162 të KPC vihen re dy kategori të ndryshme të llojeve të ndërgjyqësisë: ndërgjyqësia e detyrueshme dhe ndërgjyqësia fakultative. Në rastin e ndërgjyqësisë së detyrueshme palët, aktive apo pasive të procesit, janë së bashku në njërën apo tjetrën pozitë, jo si pasojë e disponimit maksimal të padisë apo parimit të disponibilitetit, por si pasojë e parashikimit të ligjit dhe natyrës juridike të mosmarrëveshjes. Në këto raste, nëse paditësi nuk ka thirrur të gjithë bashkëndërgjyqësit e nevojshëm apo të detyrueshëm, padia është me të meta, pasi ai ka detyrimin ligjor të thërrasë si të paditur këdo bashkëtitullar të së drejtës që ai pretendon të konfirmojë gjyqësisht. Disponibiliteti maksimal i padisë së paditësit kufizohet vetëm tek e drejta e tij për të bërë të vlefshëm në emrin e tij procesin apo jo, apo thënë ndryshe për të ngritur padi apo jo. </w:t>
      </w:r>
    </w:p>
    <w:p w14:paraId="202BB974" w14:textId="095BB0C9" w:rsidR="000C2FBE" w:rsidRPr="00AA71FA" w:rsidRDefault="000C2FBE" w:rsidP="000C2FBE">
      <w:pPr>
        <w:ind w:firstLine="720"/>
        <w:jc w:val="both"/>
        <w:rPr>
          <w:lang w:val="sq-AL"/>
        </w:rPr>
      </w:pPr>
      <w:r w:rsidRPr="00AA71FA">
        <w:rPr>
          <w:bCs/>
          <w:lang w:val="sq-AL"/>
        </w:rPr>
        <w:t>2</w:t>
      </w:r>
      <w:r w:rsidR="00E932F5" w:rsidRPr="00AA71FA">
        <w:rPr>
          <w:bCs/>
          <w:lang w:val="sq-AL"/>
        </w:rPr>
        <w:t>4</w:t>
      </w:r>
      <w:r w:rsidRPr="00AA71FA">
        <w:rPr>
          <w:bCs/>
          <w:lang w:val="sq-AL"/>
        </w:rPr>
        <w:t>. Në këto raste rrethi i ndërgjyqësve përcaktohet jo nga vullneti i palës apo nga vendimmarrja e gjykatës, por vetëm nga ligji dhe natyra juridike e marrëdhënies. Gjykata në këto raste ngarkohet nga ligji që të zbatojë ligjin procedural në mënyrë që askush të mos lejohet që në emrin e tij të bëjë të vlefshme të drejtat e dikujt tjetër (shiko nenin 195 të KPC) dhe nga ana tjetër të mos lejojë që askush të gjykohet pa iu dhënë mundësia për t’u dëgjuar (shiko nenin 33 dhe 42 të Kushtetutës</w:t>
      </w:r>
      <w:r w:rsidR="00A46FED" w:rsidRPr="00AA71FA">
        <w:rPr>
          <w:bCs/>
          <w:lang w:val="sq-AL"/>
        </w:rPr>
        <w:t xml:space="preserve">, </w:t>
      </w:r>
      <w:r w:rsidRPr="00AA71FA">
        <w:rPr>
          <w:lang w:val="sq-AL"/>
        </w:rPr>
        <w:t>nenin 161 të ndryshuar të KPC, që ka hyrë në fuqi në datë 05.11.2017).</w:t>
      </w:r>
    </w:p>
    <w:p w14:paraId="487656D4" w14:textId="2EBBD454" w:rsidR="000C2FBE" w:rsidRPr="00AA71FA" w:rsidRDefault="000C2FBE" w:rsidP="000C2FBE">
      <w:pPr>
        <w:ind w:firstLine="720"/>
        <w:jc w:val="both"/>
        <w:rPr>
          <w:lang w:val="sq-AL"/>
        </w:rPr>
      </w:pPr>
      <w:r w:rsidRPr="00AA71FA">
        <w:rPr>
          <w:bCs/>
          <w:lang w:val="sq-AL"/>
        </w:rPr>
        <w:t>2</w:t>
      </w:r>
      <w:r w:rsidR="00E932F5" w:rsidRPr="00AA71FA">
        <w:rPr>
          <w:bCs/>
          <w:lang w:val="sq-AL"/>
        </w:rPr>
        <w:t>5</w:t>
      </w:r>
      <w:r w:rsidRPr="00AA71FA">
        <w:rPr>
          <w:bCs/>
          <w:lang w:val="sq-AL"/>
        </w:rPr>
        <w:t>. Nga ana tjetër, të gjitha marrëdhëniet e tjera juridike që formohen ndërmjet bashkëndërgjyqësve janë lloji i bashkëndërgjyqësisë fakultative, ku rrethi i personave si bashkëpaditës apo bashkëtëpaditur varen nga e drejta dhe fakulteti që ligji i njeh paditësit për të vendosur se kujt ia kundrejton pretendimet në padi, apo thënë ndryshe është rrjedhojë dhe përditësim i parimit të disponibilitetit maksimal të padisë. Këtu gjykata ka rol pasiv.</w:t>
      </w:r>
    </w:p>
    <w:p w14:paraId="7EEDEBFD" w14:textId="3F9CFF45" w:rsidR="000C2FBE" w:rsidRPr="00AA71FA" w:rsidRDefault="000C2FBE" w:rsidP="000C2FBE">
      <w:pPr>
        <w:ind w:firstLine="720"/>
        <w:jc w:val="both"/>
        <w:rPr>
          <w:lang w:val="sq-AL"/>
        </w:rPr>
      </w:pPr>
      <w:r w:rsidRPr="00AA71FA">
        <w:rPr>
          <w:bCs/>
          <w:lang w:val="sq-AL"/>
        </w:rPr>
        <w:t>2</w:t>
      </w:r>
      <w:r w:rsidR="00E932F5" w:rsidRPr="00AA71FA">
        <w:rPr>
          <w:bCs/>
          <w:lang w:val="sq-AL"/>
        </w:rPr>
        <w:t>5</w:t>
      </w:r>
      <w:r w:rsidRPr="00AA71FA">
        <w:rPr>
          <w:bCs/>
          <w:lang w:val="sq-AL"/>
        </w:rPr>
        <w:t>.1. Nisur nga ky regjim juridik procedural konkludohet se ndërgjyqësia dytësore, apo thënë ndryshe personat e tretë, nuk mundet të jenë pjesë e ndërgjyqësisë së detyrueshme, pasi në këtë kategori palësh bëhet fjalë vetëm për palët në kuptimin e ngushtë, me të gjitha karakteristikat e treguara më lart. Ndërkohë mbetet që regjimi juridik i marrëdhënieve procedurale që krijohen ndërmjet palëve dhe personave të tretë dhe gjykatës nga ana tjetër të zgjidhen sipas regjimit juridik të ndërgjyqësisë fakultative.</w:t>
      </w:r>
    </w:p>
    <w:p w14:paraId="0883351C" w14:textId="7F433CF3" w:rsidR="000C2FBE" w:rsidRPr="00AA71FA" w:rsidRDefault="000C2FBE" w:rsidP="000C2FBE">
      <w:pPr>
        <w:ind w:firstLine="720"/>
        <w:jc w:val="both"/>
        <w:rPr>
          <w:bCs/>
          <w:lang w:val="sq-AL"/>
        </w:rPr>
      </w:pPr>
      <w:r w:rsidRPr="00AA71FA">
        <w:rPr>
          <w:bCs/>
          <w:lang w:val="sq-AL"/>
        </w:rPr>
        <w:t>2</w:t>
      </w:r>
      <w:r w:rsidR="00E932F5" w:rsidRPr="00AA71FA">
        <w:rPr>
          <w:bCs/>
          <w:lang w:val="sq-AL"/>
        </w:rPr>
        <w:t>6</w:t>
      </w:r>
      <w:r w:rsidRPr="00AA71FA">
        <w:rPr>
          <w:bCs/>
          <w:lang w:val="sq-AL"/>
        </w:rPr>
        <w:t>. Nga kjo analizë, mundet të konkludohet se neni 467 shkronja “d” i KPC, që ka zbatuar Gjykata e Apelit Tiranë, nuk lidhet me mënyrën se si gjykata ka marrë apo nuk ka marrë vendimet e ndërmjetme për të formuar ndërgjyqësinë dytësore, por vetëm dhe ekskluzivisht me ndërgjyqësinë kryesore dhe të detyrueshme. Kjo është logjika procedurale dhe mënyra se si duhet të kuptohet fillimisht dhe më tej se si duhet të zbatohet neni 467 shkronja “d” e KPC nga gjykatat me juridiksion rishikues (shih edhe shkronjën “d” të nenit 467 të ndryshuar në vitin 2017 të KPC).</w:t>
      </w:r>
    </w:p>
    <w:p w14:paraId="2C9931BD" w14:textId="24D39F35" w:rsidR="000C2FBE" w:rsidRPr="00AA71FA" w:rsidRDefault="000C2FBE" w:rsidP="000C2FBE">
      <w:pPr>
        <w:ind w:firstLine="720"/>
        <w:jc w:val="both"/>
        <w:rPr>
          <w:lang w:val="sq-AL"/>
        </w:rPr>
      </w:pPr>
      <w:r w:rsidRPr="00AA71FA">
        <w:rPr>
          <w:bCs/>
          <w:lang w:val="sq-AL"/>
        </w:rPr>
        <w:t>2</w:t>
      </w:r>
      <w:r w:rsidR="00E932F5" w:rsidRPr="00AA71FA">
        <w:rPr>
          <w:bCs/>
          <w:lang w:val="sq-AL"/>
        </w:rPr>
        <w:t>7</w:t>
      </w:r>
      <w:r w:rsidRPr="00AA71FA">
        <w:rPr>
          <w:bCs/>
          <w:lang w:val="sq-AL"/>
        </w:rPr>
        <w:t xml:space="preserve">. Sa më sipër gjykata me juridiksion rishikues mundet të prishë një vendim të një gjykate më të ulët vetëm kur nga ajo është lejuar të zhvillohet gjykimi pa respektuar ligjin dhe natyrën e marrëdhënies juridike objekt gjykimi, e cila e krijon ndërgjyqësin </w:t>
      </w:r>
      <w:r w:rsidRPr="00AA71FA">
        <w:rPr>
          <w:bCs/>
          <w:lang w:val="sq-AL"/>
        </w:rPr>
        <w:lastRenderedPageBreak/>
        <w:t xml:space="preserve">kryesore të detyrueshme. Vetëm kjo parregullsi dhe paligjshmëri është shkak i jashtëm pavlefshmërie që është i aftë të nulizojë të gjithë gjykimin në atë shkallë ku është lejuar të ndodhë kjo shkelje (shiko nenin 119, 120 dhe 121 të KPC) (shih për analogji vendimin nr. </w:t>
      </w:r>
      <w:r w:rsidRPr="00AA71FA">
        <w:rPr>
          <w:spacing w:val="-3"/>
          <w:lang w:val="sq-AL"/>
        </w:rPr>
        <w:t>00-2021-1083 i Vendimit (39)</w:t>
      </w:r>
      <w:r w:rsidRPr="00AA71FA">
        <w:rPr>
          <w:bCs/>
          <w:lang w:val="sq-AL"/>
        </w:rPr>
        <w:t>, datë 05.07.2021 të Kolegjit Civil të Gjykatës së Lartë).</w:t>
      </w:r>
    </w:p>
    <w:p w14:paraId="0C15ECD7" w14:textId="4E39ECAD" w:rsidR="000C2FBE" w:rsidRPr="00AA71FA" w:rsidRDefault="000C2FBE" w:rsidP="000C2FBE">
      <w:pPr>
        <w:ind w:firstLine="720"/>
        <w:jc w:val="both"/>
        <w:rPr>
          <w:bCs/>
          <w:lang w:val="sq-AL"/>
        </w:rPr>
      </w:pPr>
      <w:r w:rsidRPr="00AA71FA">
        <w:rPr>
          <w:bCs/>
          <w:lang w:val="sq-AL"/>
        </w:rPr>
        <w:t>2</w:t>
      </w:r>
      <w:r w:rsidR="00E932F5" w:rsidRPr="00AA71FA">
        <w:rPr>
          <w:bCs/>
          <w:lang w:val="sq-AL"/>
        </w:rPr>
        <w:t>8</w:t>
      </w:r>
      <w:r w:rsidRPr="00AA71FA">
        <w:rPr>
          <w:bCs/>
          <w:lang w:val="sq-AL"/>
        </w:rPr>
        <w:t>. Për të ardhur tek zgjidhja e çështjes konkrete, Kolegji vlerëson se detyrimi objekt gjykimi, i kundrejtohet palës së paditur, pasi pretendohet se kjo palë me veprimet e saj ka cënuar të drejtat e palës paditëse. Kundërshtimi i veprimeve përmbarimore bëhet drejtpërdrejt nga personi që cenohet prej tyre</w:t>
      </w:r>
      <w:r w:rsidR="00A75954" w:rsidRPr="00AA71FA">
        <w:rPr>
          <w:bCs/>
          <w:lang w:val="sq-AL"/>
        </w:rPr>
        <w:t xml:space="preserve"> dhe në rastin në gjykim, shkaku i ankimit të veprimeve përmbarimore ka  karakter personal për sa kohë që pretendohet nga paditësi se ai nuk është më individualisht garant për kredinë pasi nuk mbart më cilësinë e dorëzanësit</w:t>
      </w:r>
      <w:r w:rsidRPr="00AA71FA">
        <w:rPr>
          <w:bCs/>
          <w:lang w:val="sq-AL"/>
        </w:rPr>
        <w:t>. N</w:t>
      </w:r>
      <w:r w:rsidR="00E42AD6" w:rsidRPr="00AA71FA">
        <w:rPr>
          <w:bCs/>
          <w:lang w:val="sq-AL"/>
        </w:rPr>
        <w:t>ë</w:t>
      </w:r>
      <w:r w:rsidRPr="00AA71FA">
        <w:rPr>
          <w:bCs/>
          <w:lang w:val="sq-AL"/>
        </w:rPr>
        <w:t xml:space="preserve"> k</w:t>
      </w:r>
      <w:r w:rsidR="00E42AD6" w:rsidRPr="00AA71FA">
        <w:rPr>
          <w:bCs/>
          <w:lang w:val="sq-AL"/>
        </w:rPr>
        <w:t>ë</w:t>
      </w:r>
      <w:r w:rsidRPr="00AA71FA">
        <w:rPr>
          <w:bCs/>
          <w:lang w:val="sq-AL"/>
        </w:rPr>
        <w:t>to rrethana Kolegji vler</w:t>
      </w:r>
      <w:r w:rsidR="00E42AD6" w:rsidRPr="00AA71FA">
        <w:rPr>
          <w:bCs/>
          <w:lang w:val="sq-AL"/>
        </w:rPr>
        <w:t>ë</w:t>
      </w:r>
      <w:r w:rsidRPr="00AA71FA">
        <w:rPr>
          <w:bCs/>
          <w:lang w:val="sq-AL"/>
        </w:rPr>
        <w:t xml:space="preserve">son se </w:t>
      </w:r>
      <w:r w:rsidR="00E42AD6" w:rsidRPr="00AA71FA">
        <w:rPr>
          <w:bCs/>
          <w:lang w:val="sq-AL"/>
        </w:rPr>
        <w:t>ë</w:t>
      </w:r>
      <w:r w:rsidRPr="00AA71FA">
        <w:rPr>
          <w:bCs/>
          <w:lang w:val="sq-AL"/>
        </w:rPr>
        <w:t>sht</w:t>
      </w:r>
      <w:r w:rsidR="00E42AD6" w:rsidRPr="00AA71FA">
        <w:rPr>
          <w:bCs/>
          <w:lang w:val="sq-AL"/>
        </w:rPr>
        <w:t>ë</w:t>
      </w:r>
      <w:r w:rsidRPr="00AA71FA">
        <w:rPr>
          <w:bCs/>
          <w:lang w:val="sq-AL"/>
        </w:rPr>
        <w:t xml:space="preserve"> n</w:t>
      </w:r>
      <w:r w:rsidR="00E42AD6" w:rsidRPr="00AA71FA">
        <w:rPr>
          <w:bCs/>
          <w:lang w:val="sq-AL"/>
        </w:rPr>
        <w:t>ë</w:t>
      </w:r>
      <w:r w:rsidRPr="00AA71FA">
        <w:rPr>
          <w:bCs/>
          <w:lang w:val="sq-AL"/>
        </w:rPr>
        <w:t xml:space="preserve"> disponibilitetin e </w:t>
      </w:r>
      <w:r w:rsidRPr="00AA71FA">
        <w:rPr>
          <w:lang w:val="sq-AL" w:eastAsia="sq-AL"/>
        </w:rPr>
        <w:t>personave juridike apo fizike që janë pal</w:t>
      </w:r>
      <w:r w:rsidR="00E42AD6" w:rsidRPr="00AA71FA">
        <w:rPr>
          <w:lang w:val="sq-AL" w:eastAsia="sq-AL"/>
        </w:rPr>
        <w:t>ë</w:t>
      </w:r>
      <w:r w:rsidRPr="00AA71FA">
        <w:rPr>
          <w:lang w:val="sq-AL" w:eastAsia="sq-AL"/>
        </w:rPr>
        <w:t xml:space="preserve"> në kontratat e kredisë për të cilat është lëshuar urdhëri i ekzekutimit dhe janë objekt i ekzekutimit nga shërbimi përmbarimor,</w:t>
      </w:r>
      <w:r w:rsidRPr="00AA71FA">
        <w:rPr>
          <w:bCs/>
          <w:lang w:val="sq-AL"/>
        </w:rPr>
        <w:t xml:space="preserve"> q</w:t>
      </w:r>
      <w:r w:rsidR="00E42AD6" w:rsidRPr="00AA71FA">
        <w:rPr>
          <w:bCs/>
          <w:lang w:val="sq-AL"/>
        </w:rPr>
        <w:t>ë</w:t>
      </w:r>
      <w:r w:rsidRPr="00AA71FA">
        <w:rPr>
          <w:bCs/>
          <w:lang w:val="sq-AL"/>
        </w:rPr>
        <w:t xml:space="preserve"> t</w:t>
      </w:r>
      <w:r w:rsidR="00E42AD6" w:rsidRPr="00AA71FA">
        <w:rPr>
          <w:bCs/>
          <w:lang w:val="sq-AL"/>
        </w:rPr>
        <w:t>ë</w:t>
      </w:r>
      <w:r w:rsidRPr="00AA71FA">
        <w:rPr>
          <w:bCs/>
          <w:lang w:val="sq-AL"/>
        </w:rPr>
        <w:t xml:space="preserve"> kund</w:t>
      </w:r>
      <w:r w:rsidR="00E42AD6" w:rsidRPr="00AA71FA">
        <w:rPr>
          <w:bCs/>
          <w:lang w:val="sq-AL"/>
        </w:rPr>
        <w:t>ë</w:t>
      </w:r>
      <w:r w:rsidRPr="00AA71FA">
        <w:rPr>
          <w:bCs/>
          <w:lang w:val="sq-AL"/>
        </w:rPr>
        <w:t>rshtojn</w:t>
      </w:r>
      <w:r w:rsidR="00E42AD6" w:rsidRPr="00AA71FA">
        <w:rPr>
          <w:bCs/>
          <w:lang w:val="sq-AL"/>
        </w:rPr>
        <w:t>ë</w:t>
      </w:r>
      <w:r w:rsidRPr="00AA71FA">
        <w:rPr>
          <w:bCs/>
          <w:lang w:val="sq-AL"/>
        </w:rPr>
        <w:t xml:space="preserve"> k</w:t>
      </w:r>
      <w:r w:rsidR="00E42AD6" w:rsidRPr="00AA71FA">
        <w:rPr>
          <w:bCs/>
          <w:lang w:val="sq-AL"/>
        </w:rPr>
        <w:t>ë</w:t>
      </w:r>
      <w:r w:rsidRPr="00AA71FA">
        <w:rPr>
          <w:bCs/>
          <w:lang w:val="sq-AL"/>
        </w:rPr>
        <w:t>to veprime sipas p</w:t>
      </w:r>
      <w:r w:rsidR="00E42AD6" w:rsidRPr="00AA71FA">
        <w:rPr>
          <w:bCs/>
          <w:lang w:val="sq-AL"/>
        </w:rPr>
        <w:t>ë</w:t>
      </w:r>
      <w:r w:rsidRPr="00AA71FA">
        <w:rPr>
          <w:bCs/>
          <w:lang w:val="sq-AL"/>
        </w:rPr>
        <w:t>rcaktimeve ligjore, n</w:t>
      </w:r>
      <w:r w:rsidR="00E42AD6" w:rsidRPr="00AA71FA">
        <w:rPr>
          <w:bCs/>
          <w:lang w:val="sq-AL"/>
        </w:rPr>
        <w:t>ë</w:t>
      </w:r>
      <w:r w:rsidRPr="00AA71FA">
        <w:rPr>
          <w:bCs/>
          <w:lang w:val="sq-AL"/>
        </w:rPr>
        <w:t>se kan</w:t>
      </w:r>
      <w:r w:rsidR="00E42AD6" w:rsidRPr="00AA71FA">
        <w:rPr>
          <w:bCs/>
          <w:lang w:val="sq-AL"/>
        </w:rPr>
        <w:t>ë</w:t>
      </w:r>
      <w:r w:rsidRPr="00AA71FA">
        <w:rPr>
          <w:bCs/>
          <w:lang w:val="sq-AL"/>
        </w:rPr>
        <w:t xml:space="preserve"> pretendime p</w:t>
      </w:r>
      <w:r w:rsidR="00E42AD6" w:rsidRPr="00AA71FA">
        <w:rPr>
          <w:bCs/>
          <w:lang w:val="sq-AL"/>
        </w:rPr>
        <w:t>ë</w:t>
      </w:r>
      <w:r w:rsidRPr="00AA71FA">
        <w:rPr>
          <w:bCs/>
          <w:lang w:val="sq-AL"/>
        </w:rPr>
        <w:t>r paligjshm</w:t>
      </w:r>
      <w:r w:rsidR="00E42AD6" w:rsidRPr="00AA71FA">
        <w:rPr>
          <w:bCs/>
          <w:lang w:val="sq-AL"/>
        </w:rPr>
        <w:t>ë</w:t>
      </w:r>
      <w:r w:rsidRPr="00AA71FA">
        <w:rPr>
          <w:bCs/>
          <w:lang w:val="sq-AL"/>
        </w:rPr>
        <w:t>rin</w:t>
      </w:r>
      <w:r w:rsidR="00E42AD6" w:rsidRPr="00AA71FA">
        <w:rPr>
          <w:bCs/>
          <w:lang w:val="sq-AL"/>
        </w:rPr>
        <w:t>ë</w:t>
      </w:r>
      <w:r w:rsidRPr="00AA71FA">
        <w:rPr>
          <w:bCs/>
          <w:lang w:val="sq-AL"/>
        </w:rPr>
        <w:t xml:space="preserve"> e tyre. Për rrjedhojë, duke mos pasur ndërgjyqësi të detyrueshme nuk ka asnjë shkak ligjor se pse të zbatohet kryesisht nga gjykata dhe jashtë shkaqeve të apelit të ushtruar nga pala, shkronja ‘d’ e nenit 467 të KPC. </w:t>
      </w:r>
    </w:p>
    <w:p w14:paraId="402BAB07" w14:textId="7D73FECD" w:rsidR="000C2FBE" w:rsidRPr="00AA71FA" w:rsidRDefault="000C2FBE" w:rsidP="000C2FBE">
      <w:pPr>
        <w:ind w:firstLine="720"/>
        <w:jc w:val="both"/>
        <w:rPr>
          <w:bCs/>
          <w:lang w:val="sq-AL"/>
        </w:rPr>
      </w:pPr>
      <w:r w:rsidRPr="00AA71FA">
        <w:rPr>
          <w:bCs/>
          <w:lang w:val="sq-AL"/>
        </w:rPr>
        <w:t>2</w:t>
      </w:r>
      <w:r w:rsidR="00E932F5" w:rsidRPr="00AA71FA">
        <w:rPr>
          <w:bCs/>
          <w:lang w:val="sq-AL"/>
        </w:rPr>
        <w:t>9</w:t>
      </w:r>
      <w:r w:rsidRPr="00AA71FA">
        <w:rPr>
          <w:bCs/>
          <w:lang w:val="sq-AL"/>
        </w:rPr>
        <w:t xml:space="preserve">. </w:t>
      </w:r>
      <w:r w:rsidRPr="00AA71FA">
        <w:rPr>
          <w:lang w:val="sq-AL" w:bidi="en-US"/>
        </w:rPr>
        <w:t>Sa më sipër, Kolegji konkludon e</w:t>
      </w:r>
      <w:r w:rsidRPr="00AA71FA">
        <w:rPr>
          <w:bCs/>
          <w:lang w:val="sq-AL"/>
        </w:rPr>
        <w:t xml:space="preserve"> drejta për akses në gjykatë, e drejta për t’u dëgjuar, parimi i barazisë së armëve, parimi i kontradiktoritetit si dhe detyrimi i gjykatës për arsyetimin e vendimit gjyqësor janë disa nga elementët thelbësorë për një proces të rregullt ligjor. Këto të drejta </w:t>
      </w:r>
      <w:r w:rsidRPr="00AA71FA">
        <w:rPr>
          <w:spacing w:val="-4"/>
          <w:lang w:val="sq-AL"/>
        </w:rPr>
        <w:t>janë të lidhura nga pikëpamja organike dhe funksionale me njëra-tjetrën në mënyrë të tillë që cenimi i njërit standard ndikon në mënyrë të pashmangshme në cenimin e të tjerave</w:t>
      </w:r>
      <w:r w:rsidRPr="00AA71FA">
        <w:rPr>
          <w:bCs/>
          <w:lang w:val="sq-AL"/>
        </w:rPr>
        <w:t xml:space="preserve"> (</w:t>
      </w:r>
      <w:r w:rsidRPr="00AA71FA">
        <w:rPr>
          <w:bCs/>
          <w:i/>
          <w:lang w:val="sq-AL"/>
        </w:rPr>
        <w:t>shiko Vendimin nr. 39, datë 16.03.2017 të Gjykatës Kushtetuese</w:t>
      </w:r>
      <w:r w:rsidRPr="00AA71FA">
        <w:rPr>
          <w:bCs/>
          <w:lang w:val="sq-AL"/>
        </w:rPr>
        <w:t xml:space="preserve">). </w:t>
      </w:r>
    </w:p>
    <w:p w14:paraId="664D0ADA" w14:textId="04BF11AF" w:rsidR="000C2FBE" w:rsidRPr="00AA71FA" w:rsidRDefault="00E932F5" w:rsidP="000C2FBE">
      <w:pPr>
        <w:pStyle w:val="BodyText"/>
        <w:spacing w:after="0"/>
        <w:ind w:firstLine="720"/>
        <w:jc w:val="both"/>
        <w:rPr>
          <w:bCs/>
          <w:lang w:val="sq-AL"/>
        </w:rPr>
      </w:pPr>
      <w:r w:rsidRPr="00AA71FA">
        <w:rPr>
          <w:bCs/>
          <w:lang w:val="sq-AL"/>
        </w:rPr>
        <w:t>30</w:t>
      </w:r>
      <w:r w:rsidR="000C2FBE" w:rsidRPr="00AA71FA">
        <w:rPr>
          <w:bCs/>
          <w:lang w:val="sq-AL"/>
        </w:rPr>
        <w:t xml:space="preserve">. Garantimi i një procesi të rregullt ligjor, me të gjithë elementët përbërës të tij, synon në thelb mbrojtjen e individit ndaj arbitraritetit dhe dhënien e një vendimi të drejtë, jo të njëanshëm, të bazuar mbi të vërtetën e marrëdhënies juridike objekt konflikti gjyqësor dhe në normën juridike që rregullon këtë marrëdhënie. </w:t>
      </w:r>
      <w:r w:rsidR="000C2FBE" w:rsidRPr="00AA71FA">
        <w:rPr>
          <w:lang w:val="sq-AL"/>
        </w:rPr>
        <w:t xml:space="preserve">Synimi kryesor i këtyre parimeve është realizimi i një debati real ndërmjet palëve ndërgjyqëse, ç’ka ndikon pozitivisht dhe në mënyrë të drejtpërdrejt në zbulimin e të vërtetës dhe dhënien e drejtësisë nga gjykata me objektivitet e paanësi </w:t>
      </w:r>
      <w:r w:rsidR="000C2FBE" w:rsidRPr="00AA71FA">
        <w:rPr>
          <w:i/>
          <w:lang w:val="sq-AL"/>
        </w:rPr>
        <w:t>(shih vendimet e Gjykatës Kushtetuese</w:t>
      </w:r>
      <w:r w:rsidR="000C2FBE" w:rsidRPr="00AA71FA">
        <w:rPr>
          <w:b/>
          <w:i/>
          <w:lang w:val="sq-AL"/>
        </w:rPr>
        <w:t xml:space="preserve"> </w:t>
      </w:r>
      <w:r w:rsidR="000C2FBE" w:rsidRPr="00AA71FA">
        <w:rPr>
          <w:i/>
          <w:lang w:val="sq-AL"/>
        </w:rPr>
        <w:t>nr. 13, datë 21.07.2008; nr. 19, datë 18.09.2008, nr. 10, datë 02.04.2009 nr. 23, datë 23.07.2009)</w:t>
      </w:r>
      <w:r w:rsidR="000C2FBE" w:rsidRPr="00AA71FA">
        <w:rPr>
          <w:lang w:val="sq-AL"/>
        </w:rPr>
        <w:t xml:space="preserve">. </w:t>
      </w:r>
    </w:p>
    <w:p w14:paraId="34A628D5" w14:textId="380C22E3" w:rsidR="000C2FBE" w:rsidRPr="00AA71FA" w:rsidRDefault="000C2FBE" w:rsidP="000C2FBE">
      <w:pPr>
        <w:pStyle w:val="BodyText"/>
        <w:spacing w:after="0"/>
        <w:ind w:firstLine="720"/>
        <w:jc w:val="both"/>
        <w:rPr>
          <w:lang w:val="sq-AL"/>
        </w:rPr>
      </w:pPr>
      <w:r w:rsidRPr="00AA71FA">
        <w:rPr>
          <w:bCs/>
          <w:lang w:val="sq-AL"/>
        </w:rPr>
        <w:t>3</w:t>
      </w:r>
      <w:r w:rsidR="00E932F5" w:rsidRPr="00AA71FA">
        <w:rPr>
          <w:bCs/>
          <w:lang w:val="sq-AL"/>
        </w:rPr>
        <w:t>1</w:t>
      </w:r>
      <w:r w:rsidRPr="00AA71FA">
        <w:rPr>
          <w:bCs/>
          <w:lang w:val="sq-AL"/>
        </w:rPr>
        <w:t xml:space="preserve">. E drejta për akses në gjykatë dhe e drejta për t’u dëgjuar, sipas nenit 6 të Konventës Evropiane të të Drejtave të Njeriut dhe Nenit 42/2 të Kushtetutës së Republikës së Shqipërisë </w:t>
      </w:r>
      <w:r w:rsidRPr="00AA71FA">
        <w:rPr>
          <w:lang w:val="sq-AL"/>
        </w:rPr>
        <w:t>nuk përfshin vetëm të drejtën për të filluar një proces, por edhe të drejtën për të pasur, nga ana e gjykatës, një zgjidhje përfundimtare për mosmarrëveshjen objekt gjykimi, pasi aksesi në gjykatë duhet të jetë substantiv dhe jo thjesht formal. Mohimi i së drejtës për t’iu drejtuar gjykatës dhe për të marrë një përgjigje përfundimtare prej saj për pretendimet e ngritura përbën cenim të së drejtës themelore për një proces të rregullt ligjor (</w:t>
      </w:r>
      <w:r w:rsidRPr="00AA71FA">
        <w:rPr>
          <w:i/>
          <w:lang w:val="sq-AL"/>
        </w:rPr>
        <w:t>shih vendimin nr. 28, datë 15.3.2016 të Gjykatës Kushtetuese</w:t>
      </w:r>
      <w:r w:rsidRPr="00AA71FA">
        <w:rPr>
          <w:lang w:val="sq-AL"/>
        </w:rPr>
        <w:t xml:space="preserve">). E drejta për t’u dëgjuar dhe aksesi në gjykatë, sipas parimit të barazisë së armëve dhe kontradiktoritetit nënkupton, detyrimin e gjykatës për të arsyetuar vendimin gjyqësor. </w:t>
      </w:r>
    </w:p>
    <w:p w14:paraId="657952D6" w14:textId="43FBE249" w:rsidR="000C2FBE" w:rsidRPr="00AA71FA" w:rsidRDefault="000C2FBE" w:rsidP="000C2FBE">
      <w:pPr>
        <w:ind w:firstLine="720"/>
        <w:jc w:val="both"/>
        <w:rPr>
          <w:bCs/>
          <w:lang w:val="sq-AL"/>
        </w:rPr>
      </w:pPr>
      <w:r w:rsidRPr="00AA71FA">
        <w:rPr>
          <w:lang w:val="sq-AL"/>
        </w:rPr>
        <w:t>3</w:t>
      </w:r>
      <w:r w:rsidR="00E932F5" w:rsidRPr="00AA71FA">
        <w:rPr>
          <w:lang w:val="sq-AL"/>
        </w:rPr>
        <w:t>2</w:t>
      </w:r>
      <w:r w:rsidRPr="00AA71FA">
        <w:rPr>
          <w:lang w:val="sq-AL"/>
        </w:rPr>
        <w:t>.</w:t>
      </w:r>
      <w:r w:rsidRPr="00AA71FA">
        <w:rPr>
          <w:bCs/>
          <w:lang w:val="sq-AL"/>
        </w:rPr>
        <w:t xml:space="preserve"> Përsa i përket ritit të gjykimit dhe mënyrës së disponimit nga Gjykata e Lartë, Kolegji vlerëson se me Ligjin nr. 44/2021, nenet 482/1 dhe nenet 485 të KPC pësuan ndryshime, duke i njohur të drejtën Gjykatës së Lartë që si rregull të shqyrtojë dhe të vendosë përfundimisht mbi çështjet në dhomë këshillimi mbi bazë dokumentesh. Për rastin konkret, edhe pse rekursi është paraqitur para hyrjes në fuqi të Ligjit nr. 44/2021, sipas dispozitave kalimtare të tij, mbi përbërjen e trupës gjykuese dhe procedurën e gjykimit në Gjykatën e Lartë do të zbatohet ligji procedural në fuqi në kohën e shqyrtimit të rekursit. </w:t>
      </w:r>
    </w:p>
    <w:p w14:paraId="7A6BC550" w14:textId="6E903825" w:rsidR="000C2FBE" w:rsidRPr="00AA71FA" w:rsidRDefault="000C2FBE" w:rsidP="000C2FBE">
      <w:pPr>
        <w:ind w:firstLine="720"/>
        <w:jc w:val="both"/>
        <w:rPr>
          <w:lang w:val="sq-AL"/>
        </w:rPr>
      </w:pPr>
      <w:r w:rsidRPr="00AA71FA">
        <w:rPr>
          <w:lang w:val="sq-AL"/>
        </w:rPr>
        <w:lastRenderedPageBreak/>
        <w:t>3</w:t>
      </w:r>
      <w:r w:rsidR="00E932F5" w:rsidRPr="00AA71FA">
        <w:rPr>
          <w:lang w:val="sq-AL"/>
        </w:rPr>
        <w:t>3</w:t>
      </w:r>
      <w:r w:rsidRPr="00AA71FA">
        <w:rPr>
          <w:lang w:val="sq-AL"/>
        </w:rPr>
        <w:t>. Gjithashtu Kolegji vëren se në bazë dhe për zbatim të ligjit nr. 98/2016 “</w:t>
      </w:r>
      <w:r w:rsidRPr="00AA71FA">
        <w:rPr>
          <w:i/>
          <w:lang w:val="sq-AL"/>
        </w:rPr>
        <w:t>Për organizimin e pushtetit gjyqësor në Republikën e Shqipërisë</w:t>
      </w:r>
      <w:r w:rsidRPr="00AA71FA">
        <w:rPr>
          <w:lang w:val="sq-AL"/>
        </w:rPr>
        <w:t>”, i ndryshuar, Vendimit të Këshillit të Ministrave nr. 495, datë 21.7.2022 “</w:t>
      </w:r>
      <w:r w:rsidRPr="00AA71FA">
        <w:rPr>
          <w:i/>
          <w:lang w:val="sq-AL"/>
        </w:rPr>
        <w:t>Për riorganizimin e rretheve gjyqësore dhe kompetencave gjyqësore të gjykatave</w:t>
      </w:r>
      <w:r w:rsidRPr="00AA71FA">
        <w:rPr>
          <w:lang w:val="sq-AL"/>
        </w:rPr>
        <w:t>”, si dhe Vendimit të Këshillit të Lartë Gjyqësor nr. 505, datë 21.11.2022 “</w:t>
      </w:r>
      <w:r w:rsidRPr="00AA71FA">
        <w:rPr>
          <w:i/>
          <w:lang w:val="sq-AL"/>
        </w:rPr>
        <w:t>Për fillimin e funksionimit të gjykatës së apelit të juridiksionit të përgjithshëm</w:t>
      </w:r>
      <w:r w:rsidRPr="00AA71FA">
        <w:rPr>
          <w:lang w:val="sq-AL"/>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w:t>
      </w:r>
    </w:p>
    <w:p w14:paraId="137D8BA5" w14:textId="3F43A347" w:rsidR="000C2FBE" w:rsidRPr="00AA71FA" w:rsidRDefault="000C2FBE" w:rsidP="000C2FBE">
      <w:pPr>
        <w:ind w:firstLine="720"/>
        <w:jc w:val="both"/>
        <w:rPr>
          <w:lang w:val="sq-AL"/>
        </w:rPr>
      </w:pPr>
      <w:r w:rsidRPr="00AA71FA">
        <w:rPr>
          <w:lang w:val="sq-AL"/>
        </w:rPr>
        <w:t>3</w:t>
      </w:r>
      <w:r w:rsidR="00E932F5" w:rsidRPr="00AA71FA">
        <w:rPr>
          <w:lang w:val="sq-AL"/>
        </w:rPr>
        <w:t>4</w:t>
      </w:r>
      <w:r w:rsidRPr="00AA71FA">
        <w:rPr>
          <w:lang w:val="sq-AL"/>
        </w:rPr>
        <w:t>. Për sa më sipër Kolegji vlerëson se</w:t>
      </w:r>
      <w:r w:rsidRPr="00AA71FA">
        <w:rPr>
          <w:spacing w:val="-3"/>
          <w:lang w:val="sq-AL"/>
        </w:rPr>
        <w:t xml:space="preserve"> vendimi i Gjykatës së Apelit Tiranë </w:t>
      </w:r>
      <w:r w:rsidRPr="00AA71FA">
        <w:rPr>
          <w:lang w:val="sq-AL"/>
        </w:rPr>
        <w:t xml:space="preserve">duhet të prishet dhe </w:t>
      </w:r>
      <w:r w:rsidRPr="00AA71FA">
        <w:rPr>
          <w:bCs/>
          <w:lang w:val="sq-AL"/>
        </w:rPr>
        <w:t xml:space="preserve">referuar </w:t>
      </w:r>
      <w:r w:rsidRPr="00AA71FA">
        <w:rPr>
          <w:lang w:val="sq-AL"/>
        </w:rPr>
        <w:t>Vendimit të Këshillit të Ministrave nr. 495, datë 21.7.2022 “</w:t>
      </w:r>
      <w:r w:rsidRPr="00AA71FA">
        <w:rPr>
          <w:i/>
          <w:lang w:val="sq-AL"/>
        </w:rPr>
        <w:t>Për riorganizimin e rretheve gjyqësore dhe kompetencave gjyqësore të gjykatave</w:t>
      </w:r>
      <w:r w:rsidRPr="00AA71FA">
        <w:rPr>
          <w:lang w:val="sq-AL"/>
        </w:rPr>
        <w:t>”, si dhe Vendimit të Këshillit të Lartë Gjyqësor nr. 505, datë 21.11.2022</w:t>
      </w:r>
      <w:r w:rsidRPr="00AA71FA">
        <w:rPr>
          <w:bCs/>
          <w:lang w:val="sq-AL"/>
        </w:rPr>
        <w:t>, çështja duhet të dërgohet në Gjykatën e Apelit të Juridiksionit të Përgjithshëm</w:t>
      </w:r>
      <w:r w:rsidRPr="00AA71FA">
        <w:rPr>
          <w:lang w:val="sq-AL"/>
        </w:rPr>
        <w:t>, me tjetër trup gjykues.</w:t>
      </w:r>
    </w:p>
    <w:p w14:paraId="37790F95" w14:textId="77777777" w:rsidR="00093FB1" w:rsidRPr="00AA71FA" w:rsidRDefault="00093FB1" w:rsidP="000C2FBE">
      <w:pPr>
        <w:rPr>
          <w:b/>
          <w:spacing w:val="-3"/>
          <w:lang w:val="sq-AL"/>
        </w:rPr>
      </w:pPr>
    </w:p>
    <w:p w14:paraId="3A578EFC" w14:textId="5B8B37CE" w:rsidR="00093FB1" w:rsidRPr="00AA71FA" w:rsidRDefault="00093FB1" w:rsidP="00093FB1">
      <w:pPr>
        <w:jc w:val="center"/>
        <w:rPr>
          <w:b/>
          <w:spacing w:val="-3"/>
          <w:lang w:val="sq-AL"/>
        </w:rPr>
      </w:pPr>
      <w:r w:rsidRPr="00AA71FA">
        <w:rPr>
          <w:b/>
          <w:spacing w:val="-3"/>
          <w:lang w:val="sq-AL"/>
        </w:rPr>
        <w:t>PËR KËTO ARSYE</w:t>
      </w:r>
      <w:r w:rsidR="004C6582">
        <w:rPr>
          <w:b/>
          <w:spacing w:val="-3"/>
          <w:lang w:val="sq-AL"/>
        </w:rPr>
        <w:t>,</w:t>
      </w:r>
    </w:p>
    <w:p w14:paraId="4C153ACE" w14:textId="77777777" w:rsidR="00093FB1" w:rsidRPr="00AA71FA" w:rsidRDefault="00093FB1" w:rsidP="00093FB1">
      <w:pPr>
        <w:jc w:val="center"/>
        <w:rPr>
          <w:b/>
          <w:spacing w:val="-3"/>
          <w:lang w:val="sq-AL"/>
        </w:rPr>
      </w:pPr>
    </w:p>
    <w:p w14:paraId="657DC1D5" w14:textId="14B7EDAC" w:rsidR="00093FB1" w:rsidRPr="00AA71FA" w:rsidRDefault="00093FB1" w:rsidP="00093FB1">
      <w:pPr>
        <w:jc w:val="center"/>
        <w:rPr>
          <w:spacing w:val="-3"/>
          <w:lang w:val="sq-AL"/>
        </w:rPr>
      </w:pPr>
      <w:r w:rsidRPr="00AA71FA">
        <w:rPr>
          <w:spacing w:val="-3"/>
          <w:lang w:val="sq-AL"/>
        </w:rPr>
        <w:t>Kolegji Civil i Gjykatës së Lartë mbështetur në nenin 48</w:t>
      </w:r>
      <w:r w:rsidR="00952784" w:rsidRPr="00AA71FA">
        <w:rPr>
          <w:spacing w:val="-3"/>
          <w:lang w:val="sq-AL"/>
        </w:rPr>
        <w:t>5/1/c</w:t>
      </w:r>
      <w:r w:rsidRPr="00AA71FA">
        <w:rPr>
          <w:spacing w:val="-3"/>
          <w:lang w:val="sq-AL"/>
        </w:rPr>
        <w:t xml:space="preserve"> të Kodit të Procedurës Civile.</w:t>
      </w:r>
    </w:p>
    <w:p w14:paraId="2481EFC8" w14:textId="77777777" w:rsidR="00093FB1" w:rsidRPr="00AA71FA" w:rsidRDefault="00093FB1" w:rsidP="00093FB1">
      <w:pPr>
        <w:tabs>
          <w:tab w:val="left" w:pos="-720"/>
        </w:tabs>
        <w:suppressAutoHyphens/>
        <w:jc w:val="both"/>
        <w:rPr>
          <w:spacing w:val="-3"/>
          <w:lang w:val="sq-AL"/>
        </w:rPr>
      </w:pPr>
    </w:p>
    <w:p w14:paraId="27D8989C" w14:textId="06E8C703" w:rsidR="00093FB1" w:rsidRPr="00AA71FA" w:rsidRDefault="00093FB1" w:rsidP="00093FB1">
      <w:pPr>
        <w:suppressAutoHyphens/>
        <w:jc w:val="center"/>
        <w:rPr>
          <w:spacing w:val="-3"/>
          <w:lang w:val="sq-AL"/>
        </w:rPr>
      </w:pPr>
      <w:r w:rsidRPr="00AA71FA">
        <w:rPr>
          <w:b/>
          <w:spacing w:val="-3"/>
          <w:lang w:val="sq-AL"/>
        </w:rPr>
        <w:t>V E N D O S I</w:t>
      </w:r>
      <w:r w:rsidRPr="00AA71FA">
        <w:rPr>
          <w:spacing w:val="-3"/>
          <w:lang w:val="sq-AL"/>
        </w:rPr>
        <w:t xml:space="preserve"> </w:t>
      </w:r>
      <w:r w:rsidR="004C6582">
        <w:rPr>
          <w:spacing w:val="-3"/>
          <w:lang w:val="sq-AL"/>
        </w:rPr>
        <w:t>:</w:t>
      </w:r>
    </w:p>
    <w:p w14:paraId="3B63610E" w14:textId="77777777" w:rsidR="00093FB1" w:rsidRPr="00AA71FA" w:rsidRDefault="00093FB1" w:rsidP="00093FB1">
      <w:pPr>
        <w:suppressAutoHyphens/>
        <w:jc w:val="center"/>
        <w:rPr>
          <w:spacing w:val="-3"/>
          <w:lang w:val="sq-AL"/>
        </w:rPr>
      </w:pPr>
    </w:p>
    <w:p w14:paraId="23911A91" w14:textId="64458EFC" w:rsidR="00093FB1" w:rsidRPr="00AA71FA" w:rsidRDefault="004C6582" w:rsidP="00093FB1">
      <w:pPr>
        <w:suppressAutoHyphens/>
        <w:jc w:val="both"/>
        <w:rPr>
          <w:iCs/>
          <w:lang w:val="sq-AL"/>
        </w:rPr>
      </w:pPr>
      <w:r>
        <w:rPr>
          <w:spacing w:val="-3"/>
          <w:lang w:val="sq-AL"/>
        </w:rPr>
        <w:t xml:space="preserve">   </w:t>
      </w:r>
      <w:r w:rsidR="00093FB1" w:rsidRPr="00AA71FA">
        <w:rPr>
          <w:spacing w:val="-3"/>
          <w:lang w:val="sq-AL"/>
        </w:rPr>
        <w:t xml:space="preserve">Prishjen e </w:t>
      </w:r>
      <w:r w:rsidR="00093FB1" w:rsidRPr="00AA71FA">
        <w:rPr>
          <w:lang w:val="sq-AL"/>
        </w:rPr>
        <w:t xml:space="preserve">vendimit nr. </w:t>
      </w:r>
      <w:r w:rsidR="00AA785E" w:rsidRPr="00AA71FA">
        <w:rPr>
          <w:lang w:val="sq-AL"/>
        </w:rPr>
        <w:t>278, datë 09.02.2016</w:t>
      </w:r>
      <w:r w:rsidR="00093FB1" w:rsidRPr="00AA71FA">
        <w:rPr>
          <w:lang w:val="sq-AL"/>
        </w:rPr>
        <w:t xml:space="preserve"> të Gjykatës së Apelit Tiranë</w:t>
      </w:r>
      <w:r w:rsidR="00093FB1" w:rsidRPr="00AA71FA">
        <w:rPr>
          <w:iCs/>
          <w:lang w:val="sq-AL"/>
        </w:rPr>
        <w:t xml:space="preserve"> dhe dërgimin e çështjes për rigjykim në </w:t>
      </w:r>
      <w:r w:rsidR="00093FB1" w:rsidRPr="00AA71FA">
        <w:rPr>
          <w:bCs/>
          <w:lang w:val="sq-AL"/>
        </w:rPr>
        <w:t>Gjykatën e Apelit të Juridiksionit të Përgjithshëm me tjetër trup gjykues.</w:t>
      </w:r>
    </w:p>
    <w:p w14:paraId="10B4FA4E" w14:textId="77777777" w:rsidR="00093FB1" w:rsidRPr="00AA71FA" w:rsidRDefault="00093FB1" w:rsidP="00093FB1">
      <w:pPr>
        <w:suppressAutoHyphens/>
        <w:jc w:val="both"/>
        <w:rPr>
          <w:iCs/>
          <w:lang w:val="sq-AL"/>
        </w:rPr>
      </w:pPr>
    </w:p>
    <w:p w14:paraId="09F33CB5" w14:textId="695106D6" w:rsidR="00093FB1" w:rsidRPr="004C6582" w:rsidRDefault="00093FB1" w:rsidP="00093FB1">
      <w:pPr>
        <w:jc w:val="right"/>
        <w:rPr>
          <w:b/>
          <w:bCs/>
          <w:lang w:val="sq-AL"/>
        </w:rPr>
      </w:pPr>
      <w:r w:rsidRPr="004C6582">
        <w:rPr>
          <w:b/>
          <w:bCs/>
          <w:lang w:val="sq-AL"/>
        </w:rPr>
        <w:t xml:space="preserve">Tiranë, më </w:t>
      </w:r>
      <w:r w:rsidR="00952784" w:rsidRPr="004C6582">
        <w:rPr>
          <w:b/>
          <w:bCs/>
          <w:lang w:val="sq-AL"/>
        </w:rPr>
        <w:t>30.09</w:t>
      </w:r>
      <w:r w:rsidRPr="004C6582">
        <w:rPr>
          <w:b/>
          <w:bCs/>
          <w:lang w:val="sq-AL"/>
        </w:rPr>
        <w:t>.</w:t>
      </w:r>
      <w:r w:rsidR="006A2A86" w:rsidRPr="004C6582">
        <w:rPr>
          <w:b/>
          <w:bCs/>
          <w:lang w:val="sq-AL"/>
        </w:rPr>
        <w:t>2025</w:t>
      </w:r>
    </w:p>
    <w:p w14:paraId="536CB256" w14:textId="77777777" w:rsidR="00093FB1" w:rsidRPr="00AA71FA" w:rsidRDefault="00093FB1" w:rsidP="00093FB1">
      <w:pPr>
        <w:jc w:val="both"/>
        <w:rPr>
          <w:lang w:val="sq-AL"/>
        </w:rPr>
      </w:pPr>
    </w:p>
    <w:p w14:paraId="0C19B1A4" w14:textId="77777777" w:rsidR="00696B44" w:rsidRPr="00AA71FA" w:rsidRDefault="00696B44" w:rsidP="00093FB1">
      <w:pPr>
        <w:rPr>
          <w:lang w:val="sq-AL"/>
        </w:rPr>
      </w:pPr>
    </w:p>
    <w:sectPr w:rsidR="00696B44" w:rsidRPr="00AA71FA" w:rsidSect="00AF2C78">
      <w:footerReference w:type="default" r:id="rId8"/>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A5664" w14:textId="77777777" w:rsidR="00D9117B" w:rsidRDefault="00D9117B" w:rsidP="00242A0F">
      <w:r>
        <w:separator/>
      </w:r>
    </w:p>
  </w:endnote>
  <w:endnote w:type="continuationSeparator" w:id="0">
    <w:p w14:paraId="5DAF6815" w14:textId="77777777" w:rsidR="00D9117B" w:rsidRDefault="00D9117B" w:rsidP="00242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360506"/>
      <w:docPartObj>
        <w:docPartGallery w:val="Page Numbers (Bottom of Page)"/>
        <w:docPartUnique/>
      </w:docPartObj>
    </w:sdtPr>
    <w:sdtEndPr>
      <w:rPr>
        <w:noProof/>
      </w:rPr>
    </w:sdtEndPr>
    <w:sdtContent>
      <w:p w14:paraId="21E5E5C3" w14:textId="43EDDB01" w:rsidR="00EC78DE" w:rsidRDefault="00EC78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933AB" w14:textId="77777777" w:rsidR="00BB2954" w:rsidRDefault="00BB2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96DC5" w14:textId="77777777" w:rsidR="00D9117B" w:rsidRDefault="00D9117B" w:rsidP="00242A0F">
      <w:r>
        <w:separator/>
      </w:r>
    </w:p>
  </w:footnote>
  <w:footnote w:type="continuationSeparator" w:id="0">
    <w:p w14:paraId="33CCBD96" w14:textId="77777777" w:rsidR="00D9117B" w:rsidRDefault="00D9117B" w:rsidP="00242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86B"/>
    <w:multiLevelType w:val="hybridMultilevel"/>
    <w:tmpl w:val="5D74B826"/>
    <w:lvl w:ilvl="0" w:tplc="041C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 w15:restartNumberingAfterBreak="0">
    <w:nsid w:val="07DF2584"/>
    <w:multiLevelType w:val="hybridMultilevel"/>
    <w:tmpl w:val="25547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5A2722D"/>
    <w:multiLevelType w:val="hybridMultilevel"/>
    <w:tmpl w:val="13DAE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D736079"/>
    <w:multiLevelType w:val="hybridMultilevel"/>
    <w:tmpl w:val="93327468"/>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4" w15:restartNumberingAfterBreak="0">
    <w:nsid w:val="4AE4411C"/>
    <w:multiLevelType w:val="hybridMultilevel"/>
    <w:tmpl w:val="0988F69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5" w15:restartNumberingAfterBreak="0">
    <w:nsid w:val="571764CF"/>
    <w:multiLevelType w:val="hybridMultilevel"/>
    <w:tmpl w:val="848A198E"/>
    <w:lvl w:ilvl="0" w:tplc="041C0001">
      <w:numFmt w:val="decimal"/>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6" w15:restartNumberingAfterBreak="0">
    <w:nsid w:val="67CA738B"/>
    <w:multiLevelType w:val="hybridMultilevel"/>
    <w:tmpl w:val="03202F5E"/>
    <w:lvl w:ilvl="0" w:tplc="041C0001">
      <w:numFmt w:val="decimal"/>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7" w15:restartNumberingAfterBreak="0">
    <w:nsid w:val="72073492"/>
    <w:multiLevelType w:val="hybridMultilevel"/>
    <w:tmpl w:val="03202F5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7D3827E4"/>
    <w:multiLevelType w:val="hybridMultilevel"/>
    <w:tmpl w:val="019AAE2C"/>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16cid:durableId="202528585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21012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97270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7113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949217">
    <w:abstractNumId w:val="1"/>
  </w:num>
  <w:num w:numId="6" w16cid:durableId="1496144630">
    <w:abstractNumId w:val="1"/>
  </w:num>
  <w:num w:numId="7" w16cid:durableId="133171402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5744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6172193">
    <w:abstractNumId w:val="0"/>
  </w:num>
  <w:num w:numId="10" w16cid:durableId="87438820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0764601">
    <w:abstractNumId w:val="5"/>
  </w:num>
  <w:num w:numId="12" w16cid:durableId="354235004">
    <w:abstractNumId w:val="3"/>
  </w:num>
  <w:num w:numId="13" w16cid:durableId="1383627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ED"/>
    <w:rsid w:val="00035502"/>
    <w:rsid w:val="000544BD"/>
    <w:rsid w:val="00084D57"/>
    <w:rsid w:val="00093FB1"/>
    <w:rsid w:val="000A4AA5"/>
    <w:rsid w:val="000C2FBE"/>
    <w:rsid w:val="00103A2C"/>
    <w:rsid w:val="0012159C"/>
    <w:rsid w:val="00124EC9"/>
    <w:rsid w:val="001604CE"/>
    <w:rsid w:val="0016282D"/>
    <w:rsid w:val="001749EA"/>
    <w:rsid w:val="001B0CB9"/>
    <w:rsid w:val="001B410A"/>
    <w:rsid w:val="001B6B02"/>
    <w:rsid w:val="001F2DF9"/>
    <w:rsid w:val="00223D2C"/>
    <w:rsid w:val="002244A3"/>
    <w:rsid w:val="00242A0F"/>
    <w:rsid w:val="002514C4"/>
    <w:rsid w:val="002527F0"/>
    <w:rsid w:val="002748C8"/>
    <w:rsid w:val="00290C1D"/>
    <w:rsid w:val="00294770"/>
    <w:rsid w:val="00312E21"/>
    <w:rsid w:val="00332268"/>
    <w:rsid w:val="00346616"/>
    <w:rsid w:val="00387C56"/>
    <w:rsid w:val="003A33BC"/>
    <w:rsid w:val="003B029D"/>
    <w:rsid w:val="003E1849"/>
    <w:rsid w:val="003E67B0"/>
    <w:rsid w:val="003F1547"/>
    <w:rsid w:val="00416C8B"/>
    <w:rsid w:val="004302FC"/>
    <w:rsid w:val="004407F5"/>
    <w:rsid w:val="0045457B"/>
    <w:rsid w:val="00467B7B"/>
    <w:rsid w:val="00487F05"/>
    <w:rsid w:val="00497924"/>
    <w:rsid w:val="004A02B0"/>
    <w:rsid w:val="004B0DFE"/>
    <w:rsid w:val="004C53C7"/>
    <w:rsid w:val="004C6582"/>
    <w:rsid w:val="004E2DDC"/>
    <w:rsid w:val="004E35D6"/>
    <w:rsid w:val="004E63E4"/>
    <w:rsid w:val="004F2AA8"/>
    <w:rsid w:val="004F47A7"/>
    <w:rsid w:val="005203EC"/>
    <w:rsid w:val="00524D64"/>
    <w:rsid w:val="0053057E"/>
    <w:rsid w:val="00547DDB"/>
    <w:rsid w:val="005A05F4"/>
    <w:rsid w:val="005A5C04"/>
    <w:rsid w:val="005B24C5"/>
    <w:rsid w:val="005B3AB3"/>
    <w:rsid w:val="005B6FC7"/>
    <w:rsid w:val="005C0EA6"/>
    <w:rsid w:val="005E7E70"/>
    <w:rsid w:val="0061610F"/>
    <w:rsid w:val="006266DE"/>
    <w:rsid w:val="00686336"/>
    <w:rsid w:val="00696B44"/>
    <w:rsid w:val="00697FC1"/>
    <w:rsid w:val="006A0754"/>
    <w:rsid w:val="006A27AA"/>
    <w:rsid w:val="006A2A86"/>
    <w:rsid w:val="006A5619"/>
    <w:rsid w:val="006B162B"/>
    <w:rsid w:val="006C013C"/>
    <w:rsid w:val="006C581B"/>
    <w:rsid w:val="006C6F2E"/>
    <w:rsid w:val="006D5DF4"/>
    <w:rsid w:val="006D728E"/>
    <w:rsid w:val="006F578D"/>
    <w:rsid w:val="0070338B"/>
    <w:rsid w:val="007140C8"/>
    <w:rsid w:val="007317A8"/>
    <w:rsid w:val="00735E66"/>
    <w:rsid w:val="00736D42"/>
    <w:rsid w:val="00750419"/>
    <w:rsid w:val="00767F73"/>
    <w:rsid w:val="00772615"/>
    <w:rsid w:val="00780DAE"/>
    <w:rsid w:val="00781F7A"/>
    <w:rsid w:val="007917E3"/>
    <w:rsid w:val="00791FE9"/>
    <w:rsid w:val="007A3363"/>
    <w:rsid w:val="007B0A71"/>
    <w:rsid w:val="007B676A"/>
    <w:rsid w:val="007C55C7"/>
    <w:rsid w:val="007E7C54"/>
    <w:rsid w:val="00811191"/>
    <w:rsid w:val="008152A7"/>
    <w:rsid w:val="0082356E"/>
    <w:rsid w:val="00830313"/>
    <w:rsid w:val="00833FE2"/>
    <w:rsid w:val="00850B63"/>
    <w:rsid w:val="008514D7"/>
    <w:rsid w:val="008545EA"/>
    <w:rsid w:val="00863568"/>
    <w:rsid w:val="0088659E"/>
    <w:rsid w:val="0089158A"/>
    <w:rsid w:val="008966F1"/>
    <w:rsid w:val="008A1444"/>
    <w:rsid w:val="008A533D"/>
    <w:rsid w:val="008A71FE"/>
    <w:rsid w:val="00915E9A"/>
    <w:rsid w:val="00923163"/>
    <w:rsid w:val="00930107"/>
    <w:rsid w:val="0093554B"/>
    <w:rsid w:val="00942913"/>
    <w:rsid w:val="0094748A"/>
    <w:rsid w:val="00952784"/>
    <w:rsid w:val="00956B19"/>
    <w:rsid w:val="00975C22"/>
    <w:rsid w:val="009A3BA7"/>
    <w:rsid w:val="009B51B3"/>
    <w:rsid w:val="009D6276"/>
    <w:rsid w:val="00A45400"/>
    <w:rsid w:val="00A46FED"/>
    <w:rsid w:val="00A51475"/>
    <w:rsid w:val="00A73529"/>
    <w:rsid w:val="00A74030"/>
    <w:rsid w:val="00A75954"/>
    <w:rsid w:val="00A86D38"/>
    <w:rsid w:val="00AA71FA"/>
    <w:rsid w:val="00AA785E"/>
    <w:rsid w:val="00AB6351"/>
    <w:rsid w:val="00AC61E0"/>
    <w:rsid w:val="00AC7A1F"/>
    <w:rsid w:val="00AD3055"/>
    <w:rsid w:val="00AF2C78"/>
    <w:rsid w:val="00B02484"/>
    <w:rsid w:val="00B24FDF"/>
    <w:rsid w:val="00B3713E"/>
    <w:rsid w:val="00B466C7"/>
    <w:rsid w:val="00B4745D"/>
    <w:rsid w:val="00B908C6"/>
    <w:rsid w:val="00BA7C5C"/>
    <w:rsid w:val="00BB2954"/>
    <w:rsid w:val="00BC3763"/>
    <w:rsid w:val="00BC5E8D"/>
    <w:rsid w:val="00BC60CC"/>
    <w:rsid w:val="00BD1F97"/>
    <w:rsid w:val="00BD2954"/>
    <w:rsid w:val="00BE4840"/>
    <w:rsid w:val="00BF5ED8"/>
    <w:rsid w:val="00BF6EAD"/>
    <w:rsid w:val="00C231FD"/>
    <w:rsid w:val="00C474ED"/>
    <w:rsid w:val="00C607BB"/>
    <w:rsid w:val="00CA225E"/>
    <w:rsid w:val="00CA46BA"/>
    <w:rsid w:val="00CB3289"/>
    <w:rsid w:val="00CF183E"/>
    <w:rsid w:val="00CF64A8"/>
    <w:rsid w:val="00D40812"/>
    <w:rsid w:val="00D47A71"/>
    <w:rsid w:val="00D60658"/>
    <w:rsid w:val="00D65142"/>
    <w:rsid w:val="00D65331"/>
    <w:rsid w:val="00D7294D"/>
    <w:rsid w:val="00D76959"/>
    <w:rsid w:val="00D876CC"/>
    <w:rsid w:val="00D90000"/>
    <w:rsid w:val="00D9117B"/>
    <w:rsid w:val="00DB167C"/>
    <w:rsid w:val="00DC2523"/>
    <w:rsid w:val="00DD21EF"/>
    <w:rsid w:val="00DD5BC9"/>
    <w:rsid w:val="00DD7D5C"/>
    <w:rsid w:val="00DE182B"/>
    <w:rsid w:val="00E02132"/>
    <w:rsid w:val="00E028A3"/>
    <w:rsid w:val="00E115BD"/>
    <w:rsid w:val="00E26133"/>
    <w:rsid w:val="00E273EB"/>
    <w:rsid w:val="00E378B2"/>
    <w:rsid w:val="00E42AD6"/>
    <w:rsid w:val="00E55522"/>
    <w:rsid w:val="00E80394"/>
    <w:rsid w:val="00E8370B"/>
    <w:rsid w:val="00E922C8"/>
    <w:rsid w:val="00E932F5"/>
    <w:rsid w:val="00EA3F88"/>
    <w:rsid w:val="00EA447F"/>
    <w:rsid w:val="00EC646B"/>
    <w:rsid w:val="00EC78DE"/>
    <w:rsid w:val="00EE68AF"/>
    <w:rsid w:val="00F03C4A"/>
    <w:rsid w:val="00F36981"/>
    <w:rsid w:val="00F4090E"/>
    <w:rsid w:val="00F6311A"/>
    <w:rsid w:val="00F92530"/>
    <w:rsid w:val="00FA411D"/>
    <w:rsid w:val="00FD106B"/>
    <w:rsid w:val="00FE05A8"/>
    <w:rsid w:val="00FE75F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F896"/>
  <w15:docId w15:val="{33B572AB-B6AC-4E32-8612-4089E696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4ED"/>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qFormat/>
    <w:rsid w:val="0061610F"/>
    <w:pPr>
      <w:keepNext/>
      <w:spacing w:before="240" w:after="60"/>
      <w:outlineLvl w:val="0"/>
    </w:pPr>
    <w:rPr>
      <w:rFonts w:ascii="Cambria" w:hAnsi="Cambria"/>
      <w:b/>
      <w:bCs/>
      <w:kern w:val="32"/>
      <w:sz w:val="32"/>
      <w:szCs w:val="32"/>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C474ED"/>
    <w:pPr>
      <w:widowControl w:val="0"/>
      <w:autoSpaceDE w:val="0"/>
      <w:autoSpaceDN w:val="0"/>
      <w:adjustRightInd w:val="0"/>
      <w:ind w:left="720"/>
    </w:pPr>
    <w:rPr>
      <w:sz w:val="20"/>
      <w:szCs w:val="20"/>
    </w:rPr>
  </w:style>
  <w:style w:type="paragraph" w:styleId="Footer">
    <w:name w:val="footer"/>
    <w:basedOn w:val="Normal"/>
    <w:link w:val="FooterChar"/>
    <w:uiPriority w:val="99"/>
    <w:unhideWhenUsed/>
    <w:rsid w:val="00C474ED"/>
    <w:pPr>
      <w:tabs>
        <w:tab w:val="center" w:pos="4513"/>
        <w:tab w:val="right" w:pos="9026"/>
      </w:tabs>
    </w:pPr>
  </w:style>
  <w:style w:type="character" w:customStyle="1" w:styleId="FooterChar">
    <w:name w:val="Footer Char"/>
    <w:basedOn w:val="DefaultParagraphFont"/>
    <w:link w:val="Footer"/>
    <w:uiPriority w:val="99"/>
    <w:rsid w:val="00C474ED"/>
    <w:rPr>
      <w:rFonts w:ascii="Times New Roman" w:eastAsia="Times New Roman" w:hAnsi="Times New Roman" w:cs="Times New Roman"/>
      <w:sz w:val="24"/>
      <w:szCs w:val="24"/>
      <w:lang w:val="it-IT" w:eastAsia="it-IT"/>
    </w:rPr>
  </w:style>
  <w:style w:type="paragraph" w:styleId="NoSpacing">
    <w:name w:val="No Spacing"/>
    <w:link w:val="NoSpacingChar"/>
    <w:uiPriority w:val="1"/>
    <w:qFormat/>
    <w:rsid w:val="00C474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C474ED"/>
    <w:rPr>
      <w:rFonts w:ascii="Times New Roman" w:eastAsia="Times New Roman" w:hAnsi="Times New Roman" w:cs="Times New Roman"/>
      <w:sz w:val="24"/>
      <w:szCs w:val="24"/>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C474ED"/>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C474ED"/>
    <w:rPr>
      <w:rFonts w:ascii="Tahoma" w:hAnsi="Tahoma" w:cs="Tahoma"/>
      <w:sz w:val="16"/>
      <w:szCs w:val="16"/>
    </w:rPr>
  </w:style>
  <w:style w:type="character" w:customStyle="1" w:styleId="BalloonTextChar">
    <w:name w:val="Balloon Text Char"/>
    <w:basedOn w:val="DefaultParagraphFont"/>
    <w:link w:val="BalloonText"/>
    <w:uiPriority w:val="99"/>
    <w:semiHidden/>
    <w:rsid w:val="00C474ED"/>
    <w:rPr>
      <w:rFonts w:ascii="Tahoma" w:eastAsia="Times New Roman" w:hAnsi="Tahoma" w:cs="Tahoma"/>
      <w:sz w:val="16"/>
      <w:szCs w:val="16"/>
      <w:lang w:val="it-IT" w:eastAsia="it-IT"/>
    </w:rPr>
  </w:style>
  <w:style w:type="paragraph" w:customStyle="1" w:styleId="Style">
    <w:name w:val="Style"/>
    <w:basedOn w:val="Normal"/>
    <w:uiPriority w:val="99"/>
    <w:rsid w:val="00D47A71"/>
    <w:pPr>
      <w:widowControl w:val="0"/>
      <w:autoSpaceDE w:val="0"/>
      <w:autoSpaceDN w:val="0"/>
      <w:adjustRightInd w:val="0"/>
    </w:pPr>
    <w:rPr>
      <w:rFonts w:ascii="Arial" w:eastAsiaTheme="minorEastAsia" w:hAnsi="Arial" w:cs="Arial"/>
      <w:lang w:val="sq-AL" w:eastAsia="sq-AL"/>
    </w:rPr>
  </w:style>
  <w:style w:type="paragraph" w:styleId="BodyText2">
    <w:name w:val="Body Text 2"/>
    <w:basedOn w:val="Normal"/>
    <w:link w:val="BodyText2Char"/>
    <w:uiPriority w:val="99"/>
    <w:semiHidden/>
    <w:unhideWhenUsed/>
    <w:rsid w:val="00E378B2"/>
    <w:pPr>
      <w:spacing w:after="120" w:line="480" w:lineRule="auto"/>
    </w:pPr>
  </w:style>
  <w:style w:type="character" w:customStyle="1" w:styleId="BodyText2Char">
    <w:name w:val="Body Text 2 Char"/>
    <w:basedOn w:val="DefaultParagraphFont"/>
    <w:link w:val="BodyText2"/>
    <w:uiPriority w:val="99"/>
    <w:semiHidden/>
    <w:rsid w:val="00E378B2"/>
    <w:rPr>
      <w:rFonts w:ascii="Times New Roman" w:eastAsia="Times New Roman" w:hAnsi="Times New Roman" w:cs="Times New Roman"/>
      <w:sz w:val="24"/>
      <w:szCs w:val="24"/>
      <w:lang w:val="it-IT" w:eastAsia="it-IT"/>
    </w:rPr>
  </w:style>
  <w:style w:type="character" w:customStyle="1" w:styleId="Heading1Char">
    <w:name w:val="Heading 1 Char"/>
    <w:basedOn w:val="DefaultParagraphFont"/>
    <w:link w:val="Heading1"/>
    <w:rsid w:val="0061610F"/>
    <w:rPr>
      <w:rFonts w:ascii="Cambria" w:eastAsia="Times New Roman" w:hAnsi="Cambria" w:cs="Times New Roman"/>
      <w:b/>
      <w:bCs/>
      <w:kern w:val="32"/>
      <w:sz w:val="32"/>
      <w:szCs w:val="32"/>
      <w:lang w:bidi="en-US"/>
    </w:rPr>
  </w:style>
  <w:style w:type="paragraph" w:customStyle="1" w:styleId="Default">
    <w:name w:val="Default"/>
    <w:rsid w:val="006B16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
    <w:name w:val="CM8"/>
    <w:basedOn w:val="Default"/>
    <w:next w:val="Default"/>
    <w:rsid w:val="006B162B"/>
    <w:rPr>
      <w:color w:val="auto"/>
    </w:rPr>
  </w:style>
  <w:style w:type="paragraph" w:styleId="BodyText">
    <w:name w:val="Body Text"/>
    <w:basedOn w:val="Normal"/>
    <w:link w:val="BodyTextChar"/>
    <w:uiPriority w:val="99"/>
    <w:semiHidden/>
    <w:unhideWhenUsed/>
    <w:rsid w:val="008A533D"/>
    <w:pPr>
      <w:spacing w:after="120"/>
    </w:pPr>
  </w:style>
  <w:style w:type="character" w:customStyle="1" w:styleId="BodyTextChar">
    <w:name w:val="Body Text Char"/>
    <w:basedOn w:val="DefaultParagraphFont"/>
    <w:link w:val="BodyText"/>
    <w:uiPriority w:val="99"/>
    <w:semiHidden/>
    <w:rsid w:val="008A533D"/>
    <w:rPr>
      <w:rFonts w:ascii="Times New Roman" w:eastAsia="Times New Roman" w:hAnsi="Times New Roman" w:cs="Times New Roman"/>
      <w:sz w:val="24"/>
      <w:szCs w:val="24"/>
      <w:lang w:val="it-IT" w:eastAsia="it-IT"/>
    </w:rPr>
  </w:style>
  <w:style w:type="paragraph" w:styleId="FootnoteText">
    <w:name w:val="footnote text"/>
    <w:basedOn w:val="Normal"/>
    <w:link w:val="FootnoteTextChar"/>
    <w:uiPriority w:val="99"/>
    <w:semiHidden/>
    <w:unhideWhenUsed/>
    <w:rsid w:val="00242A0F"/>
    <w:rPr>
      <w:sz w:val="20"/>
      <w:szCs w:val="20"/>
    </w:rPr>
  </w:style>
  <w:style w:type="character" w:customStyle="1" w:styleId="FootnoteTextChar">
    <w:name w:val="Footnote Text Char"/>
    <w:basedOn w:val="DefaultParagraphFont"/>
    <w:link w:val="FootnoteText"/>
    <w:uiPriority w:val="99"/>
    <w:semiHidden/>
    <w:rsid w:val="00242A0F"/>
    <w:rPr>
      <w:rFonts w:ascii="Times New Roman" w:eastAsia="Times New Roman" w:hAnsi="Times New Roman" w:cs="Times New Roman"/>
      <w:sz w:val="20"/>
      <w:szCs w:val="20"/>
      <w:lang w:val="it-IT" w:eastAsia="it-IT"/>
    </w:rPr>
  </w:style>
  <w:style w:type="paragraph" w:styleId="EndnoteText">
    <w:name w:val="endnote text"/>
    <w:basedOn w:val="Normal"/>
    <w:link w:val="EndnoteTextChar"/>
    <w:uiPriority w:val="99"/>
    <w:semiHidden/>
    <w:unhideWhenUsed/>
    <w:rsid w:val="00242A0F"/>
    <w:rPr>
      <w:sz w:val="20"/>
      <w:szCs w:val="20"/>
    </w:rPr>
  </w:style>
  <w:style w:type="character" w:customStyle="1" w:styleId="EndnoteTextChar">
    <w:name w:val="Endnote Text Char"/>
    <w:basedOn w:val="DefaultParagraphFont"/>
    <w:link w:val="EndnoteText"/>
    <w:uiPriority w:val="99"/>
    <w:semiHidden/>
    <w:rsid w:val="00242A0F"/>
    <w:rPr>
      <w:rFonts w:ascii="Times New Roman" w:eastAsia="Times New Roman" w:hAnsi="Times New Roman" w:cs="Times New Roman"/>
      <w:sz w:val="20"/>
      <w:szCs w:val="20"/>
      <w:lang w:val="it-IT" w:eastAsia="it-IT"/>
    </w:rPr>
  </w:style>
  <w:style w:type="character" w:styleId="FootnoteReference">
    <w:name w:val="footnote reference"/>
    <w:basedOn w:val="DefaultParagraphFont"/>
    <w:uiPriority w:val="99"/>
    <w:semiHidden/>
    <w:unhideWhenUsed/>
    <w:rsid w:val="00242A0F"/>
    <w:rPr>
      <w:vertAlign w:val="superscript"/>
    </w:rPr>
  </w:style>
  <w:style w:type="character" w:styleId="EndnoteReference">
    <w:name w:val="endnote reference"/>
    <w:basedOn w:val="DefaultParagraphFont"/>
    <w:uiPriority w:val="99"/>
    <w:semiHidden/>
    <w:unhideWhenUsed/>
    <w:rsid w:val="00242A0F"/>
    <w:rPr>
      <w:vertAlign w:val="superscript"/>
    </w:rPr>
  </w:style>
  <w:style w:type="paragraph" w:styleId="NormalWeb">
    <w:name w:val="Normal (Web)"/>
    <w:basedOn w:val="Normal"/>
    <w:uiPriority w:val="99"/>
    <w:unhideWhenUsed/>
    <w:rsid w:val="00294770"/>
    <w:pPr>
      <w:spacing w:before="100" w:beforeAutospacing="1" w:after="100" w:afterAutospacing="1"/>
    </w:pPr>
    <w:rPr>
      <w:lang w:val="sq-AL" w:eastAsia="sq-AL"/>
    </w:rPr>
  </w:style>
  <w:style w:type="character" w:styleId="Strong">
    <w:name w:val="Strong"/>
    <w:basedOn w:val="DefaultParagraphFont"/>
    <w:uiPriority w:val="22"/>
    <w:qFormat/>
    <w:rsid w:val="00294770"/>
    <w:rPr>
      <w:b/>
      <w:bCs/>
    </w:rPr>
  </w:style>
  <w:style w:type="character" w:styleId="Emphasis">
    <w:name w:val="Emphasis"/>
    <w:basedOn w:val="DefaultParagraphFont"/>
    <w:uiPriority w:val="20"/>
    <w:qFormat/>
    <w:rsid w:val="00952784"/>
    <w:rPr>
      <w:i/>
      <w:iCs/>
    </w:rPr>
  </w:style>
  <w:style w:type="paragraph" w:styleId="Header">
    <w:name w:val="header"/>
    <w:basedOn w:val="Normal"/>
    <w:link w:val="HeaderChar"/>
    <w:uiPriority w:val="99"/>
    <w:unhideWhenUsed/>
    <w:rsid w:val="00EC78DE"/>
    <w:pPr>
      <w:tabs>
        <w:tab w:val="center" w:pos="4680"/>
        <w:tab w:val="right" w:pos="9360"/>
      </w:tabs>
    </w:pPr>
  </w:style>
  <w:style w:type="character" w:customStyle="1" w:styleId="HeaderChar">
    <w:name w:val="Header Char"/>
    <w:basedOn w:val="DefaultParagraphFont"/>
    <w:link w:val="Header"/>
    <w:uiPriority w:val="99"/>
    <w:rsid w:val="00EC78DE"/>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413">
      <w:bodyDiv w:val="1"/>
      <w:marLeft w:val="0"/>
      <w:marRight w:val="0"/>
      <w:marTop w:val="0"/>
      <w:marBottom w:val="0"/>
      <w:divBdr>
        <w:top w:val="none" w:sz="0" w:space="0" w:color="auto"/>
        <w:left w:val="none" w:sz="0" w:space="0" w:color="auto"/>
        <w:bottom w:val="none" w:sz="0" w:space="0" w:color="auto"/>
        <w:right w:val="none" w:sz="0" w:space="0" w:color="auto"/>
      </w:divBdr>
    </w:div>
    <w:div w:id="20205439">
      <w:bodyDiv w:val="1"/>
      <w:marLeft w:val="0"/>
      <w:marRight w:val="0"/>
      <w:marTop w:val="0"/>
      <w:marBottom w:val="0"/>
      <w:divBdr>
        <w:top w:val="none" w:sz="0" w:space="0" w:color="auto"/>
        <w:left w:val="none" w:sz="0" w:space="0" w:color="auto"/>
        <w:bottom w:val="none" w:sz="0" w:space="0" w:color="auto"/>
        <w:right w:val="none" w:sz="0" w:space="0" w:color="auto"/>
      </w:divBdr>
    </w:div>
    <w:div w:id="28916592">
      <w:bodyDiv w:val="1"/>
      <w:marLeft w:val="0"/>
      <w:marRight w:val="0"/>
      <w:marTop w:val="0"/>
      <w:marBottom w:val="0"/>
      <w:divBdr>
        <w:top w:val="none" w:sz="0" w:space="0" w:color="auto"/>
        <w:left w:val="none" w:sz="0" w:space="0" w:color="auto"/>
        <w:bottom w:val="none" w:sz="0" w:space="0" w:color="auto"/>
        <w:right w:val="none" w:sz="0" w:space="0" w:color="auto"/>
      </w:divBdr>
    </w:div>
    <w:div w:id="33430694">
      <w:bodyDiv w:val="1"/>
      <w:marLeft w:val="0"/>
      <w:marRight w:val="0"/>
      <w:marTop w:val="0"/>
      <w:marBottom w:val="0"/>
      <w:divBdr>
        <w:top w:val="none" w:sz="0" w:space="0" w:color="auto"/>
        <w:left w:val="none" w:sz="0" w:space="0" w:color="auto"/>
        <w:bottom w:val="none" w:sz="0" w:space="0" w:color="auto"/>
        <w:right w:val="none" w:sz="0" w:space="0" w:color="auto"/>
      </w:divBdr>
    </w:div>
    <w:div w:id="46492813">
      <w:bodyDiv w:val="1"/>
      <w:marLeft w:val="0"/>
      <w:marRight w:val="0"/>
      <w:marTop w:val="0"/>
      <w:marBottom w:val="0"/>
      <w:divBdr>
        <w:top w:val="none" w:sz="0" w:space="0" w:color="auto"/>
        <w:left w:val="none" w:sz="0" w:space="0" w:color="auto"/>
        <w:bottom w:val="none" w:sz="0" w:space="0" w:color="auto"/>
        <w:right w:val="none" w:sz="0" w:space="0" w:color="auto"/>
      </w:divBdr>
    </w:div>
    <w:div w:id="55977455">
      <w:bodyDiv w:val="1"/>
      <w:marLeft w:val="0"/>
      <w:marRight w:val="0"/>
      <w:marTop w:val="0"/>
      <w:marBottom w:val="0"/>
      <w:divBdr>
        <w:top w:val="none" w:sz="0" w:space="0" w:color="auto"/>
        <w:left w:val="none" w:sz="0" w:space="0" w:color="auto"/>
        <w:bottom w:val="none" w:sz="0" w:space="0" w:color="auto"/>
        <w:right w:val="none" w:sz="0" w:space="0" w:color="auto"/>
      </w:divBdr>
    </w:div>
    <w:div w:id="76555462">
      <w:bodyDiv w:val="1"/>
      <w:marLeft w:val="0"/>
      <w:marRight w:val="0"/>
      <w:marTop w:val="0"/>
      <w:marBottom w:val="0"/>
      <w:divBdr>
        <w:top w:val="none" w:sz="0" w:space="0" w:color="auto"/>
        <w:left w:val="none" w:sz="0" w:space="0" w:color="auto"/>
        <w:bottom w:val="none" w:sz="0" w:space="0" w:color="auto"/>
        <w:right w:val="none" w:sz="0" w:space="0" w:color="auto"/>
      </w:divBdr>
    </w:div>
    <w:div w:id="78257953">
      <w:bodyDiv w:val="1"/>
      <w:marLeft w:val="0"/>
      <w:marRight w:val="0"/>
      <w:marTop w:val="0"/>
      <w:marBottom w:val="0"/>
      <w:divBdr>
        <w:top w:val="none" w:sz="0" w:space="0" w:color="auto"/>
        <w:left w:val="none" w:sz="0" w:space="0" w:color="auto"/>
        <w:bottom w:val="none" w:sz="0" w:space="0" w:color="auto"/>
        <w:right w:val="none" w:sz="0" w:space="0" w:color="auto"/>
      </w:divBdr>
    </w:div>
    <w:div w:id="79452761">
      <w:bodyDiv w:val="1"/>
      <w:marLeft w:val="0"/>
      <w:marRight w:val="0"/>
      <w:marTop w:val="0"/>
      <w:marBottom w:val="0"/>
      <w:divBdr>
        <w:top w:val="none" w:sz="0" w:space="0" w:color="auto"/>
        <w:left w:val="none" w:sz="0" w:space="0" w:color="auto"/>
        <w:bottom w:val="none" w:sz="0" w:space="0" w:color="auto"/>
        <w:right w:val="none" w:sz="0" w:space="0" w:color="auto"/>
      </w:divBdr>
    </w:div>
    <w:div w:id="80219828">
      <w:bodyDiv w:val="1"/>
      <w:marLeft w:val="0"/>
      <w:marRight w:val="0"/>
      <w:marTop w:val="0"/>
      <w:marBottom w:val="0"/>
      <w:divBdr>
        <w:top w:val="none" w:sz="0" w:space="0" w:color="auto"/>
        <w:left w:val="none" w:sz="0" w:space="0" w:color="auto"/>
        <w:bottom w:val="none" w:sz="0" w:space="0" w:color="auto"/>
        <w:right w:val="none" w:sz="0" w:space="0" w:color="auto"/>
      </w:divBdr>
    </w:div>
    <w:div w:id="82842369">
      <w:bodyDiv w:val="1"/>
      <w:marLeft w:val="0"/>
      <w:marRight w:val="0"/>
      <w:marTop w:val="0"/>
      <w:marBottom w:val="0"/>
      <w:divBdr>
        <w:top w:val="none" w:sz="0" w:space="0" w:color="auto"/>
        <w:left w:val="none" w:sz="0" w:space="0" w:color="auto"/>
        <w:bottom w:val="none" w:sz="0" w:space="0" w:color="auto"/>
        <w:right w:val="none" w:sz="0" w:space="0" w:color="auto"/>
      </w:divBdr>
    </w:div>
    <w:div w:id="107480660">
      <w:bodyDiv w:val="1"/>
      <w:marLeft w:val="0"/>
      <w:marRight w:val="0"/>
      <w:marTop w:val="0"/>
      <w:marBottom w:val="0"/>
      <w:divBdr>
        <w:top w:val="none" w:sz="0" w:space="0" w:color="auto"/>
        <w:left w:val="none" w:sz="0" w:space="0" w:color="auto"/>
        <w:bottom w:val="none" w:sz="0" w:space="0" w:color="auto"/>
        <w:right w:val="none" w:sz="0" w:space="0" w:color="auto"/>
      </w:divBdr>
    </w:div>
    <w:div w:id="122191179">
      <w:bodyDiv w:val="1"/>
      <w:marLeft w:val="0"/>
      <w:marRight w:val="0"/>
      <w:marTop w:val="0"/>
      <w:marBottom w:val="0"/>
      <w:divBdr>
        <w:top w:val="none" w:sz="0" w:space="0" w:color="auto"/>
        <w:left w:val="none" w:sz="0" w:space="0" w:color="auto"/>
        <w:bottom w:val="none" w:sz="0" w:space="0" w:color="auto"/>
        <w:right w:val="none" w:sz="0" w:space="0" w:color="auto"/>
      </w:divBdr>
    </w:div>
    <w:div w:id="143158788">
      <w:bodyDiv w:val="1"/>
      <w:marLeft w:val="0"/>
      <w:marRight w:val="0"/>
      <w:marTop w:val="0"/>
      <w:marBottom w:val="0"/>
      <w:divBdr>
        <w:top w:val="none" w:sz="0" w:space="0" w:color="auto"/>
        <w:left w:val="none" w:sz="0" w:space="0" w:color="auto"/>
        <w:bottom w:val="none" w:sz="0" w:space="0" w:color="auto"/>
        <w:right w:val="none" w:sz="0" w:space="0" w:color="auto"/>
      </w:divBdr>
    </w:div>
    <w:div w:id="149759493">
      <w:bodyDiv w:val="1"/>
      <w:marLeft w:val="0"/>
      <w:marRight w:val="0"/>
      <w:marTop w:val="0"/>
      <w:marBottom w:val="0"/>
      <w:divBdr>
        <w:top w:val="none" w:sz="0" w:space="0" w:color="auto"/>
        <w:left w:val="none" w:sz="0" w:space="0" w:color="auto"/>
        <w:bottom w:val="none" w:sz="0" w:space="0" w:color="auto"/>
        <w:right w:val="none" w:sz="0" w:space="0" w:color="auto"/>
      </w:divBdr>
    </w:div>
    <w:div w:id="159545372">
      <w:bodyDiv w:val="1"/>
      <w:marLeft w:val="0"/>
      <w:marRight w:val="0"/>
      <w:marTop w:val="0"/>
      <w:marBottom w:val="0"/>
      <w:divBdr>
        <w:top w:val="none" w:sz="0" w:space="0" w:color="auto"/>
        <w:left w:val="none" w:sz="0" w:space="0" w:color="auto"/>
        <w:bottom w:val="none" w:sz="0" w:space="0" w:color="auto"/>
        <w:right w:val="none" w:sz="0" w:space="0" w:color="auto"/>
      </w:divBdr>
    </w:div>
    <w:div w:id="163669015">
      <w:bodyDiv w:val="1"/>
      <w:marLeft w:val="0"/>
      <w:marRight w:val="0"/>
      <w:marTop w:val="0"/>
      <w:marBottom w:val="0"/>
      <w:divBdr>
        <w:top w:val="none" w:sz="0" w:space="0" w:color="auto"/>
        <w:left w:val="none" w:sz="0" w:space="0" w:color="auto"/>
        <w:bottom w:val="none" w:sz="0" w:space="0" w:color="auto"/>
        <w:right w:val="none" w:sz="0" w:space="0" w:color="auto"/>
      </w:divBdr>
    </w:div>
    <w:div w:id="163781897">
      <w:bodyDiv w:val="1"/>
      <w:marLeft w:val="0"/>
      <w:marRight w:val="0"/>
      <w:marTop w:val="0"/>
      <w:marBottom w:val="0"/>
      <w:divBdr>
        <w:top w:val="none" w:sz="0" w:space="0" w:color="auto"/>
        <w:left w:val="none" w:sz="0" w:space="0" w:color="auto"/>
        <w:bottom w:val="none" w:sz="0" w:space="0" w:color="auto"/>
        <w:right w:val="none" w:sz="0" w:space="0" w:color="auto"/>
      </w:divBdr>
    </w:div>
    <w:div w:id="203715324">
      <w:bodyDiv w:val="1"/>
      <w:marLeft w:val="0"/>
      <w:marRight w:val="0"/>
      <w:marTop w:val="0"/>
      <w:marBottom w:val="0"/>
      <w:divBdr>
        <w:top w:val="none" w:sz="0" w:space="0" w:color="auto"/>
        <w:left w:val="none" w:sz="0" w:space="0" w:color="auto"/>
        <w:bottom w:val="none" w:sz="0" w:space="0" w:color="auto"/>
        <w:right w:val="none" w:sz="0" w:space="0" w:color="auto"/>
      </w:divBdr>
    </w:div>
    <w:div w:id="224685494">
      <w:bodyDiv w:val="1"/>
      <w:marLeft w:val="0"/>
      <w:marRight w:val="0"/>
      <w:marTop w:val="0"/>
      <w:marBottom w:val="0"/>
      <w:divBdr>
        <w:top w:val="none" w:sz="0" w:space="0" w:color="auto"/>
        <w:left w:val="none" w:sz="0" w:space="0" w:color="auto"/>
        <w:bottom w:val="none" w:sz="0" w:space="0" w:color="auto"/>
        <w:right w:val="none" w:sz="0" w:space="0" w:color="auto"/>
      </w:divBdr>
    </w:div>
    <w:div w:id="230777280">
      <w:bodyDiv w:val="1"/>
      <w:marLeft w:val="0"/>
      <w:marRight w:val="0"/>
      <w:marTop w:val="0"/>
      <w:marBottom w:val="0"/>
      <w:divBdr>
        <w:top w:val="none" w:sz="0" w:space="0" w:color="auto"/>
        <w:left w:val="none" w:sz="0" w:space="0" w:color="auto"/>
        <w:bottom w:val="none" w:sz="0" w:space="0" w:color="auto"/>
        <w:right w:val="none" w:sz="0" w:space="0" w:color="auto"/>
      </w:divBdr>
    </w:div>
    <w:div w:id="267928009">
      <w:bodyDiv w:val="1"/>
      <w:marLeft w:val="0"/>
      <w:marRight w:val="0"/>
      <w:marTop w:val="0"/>
      <w:marBottom w:val="0"/>
      <w:divBdr>
        <w:top w:val="none" w:sz="0" w:space="0" w:color="auto"/>
        <w:left w:val="none" w:sz="0" w:space="0" w:color="auto"/>
        <w:bottom w:val="none" w:sz="0" w:space="0" w:color="auto"/>
        <w:right w:val="none" w:sz="0" w:space="0" w:color="auto"/>
      </w:divBdr>
    </w:div>
    <w:div w:id="280037708">
      <w:bodyDiv w:val="1"/>
      <w:marLeft w:val="0"/>
      <w:marRight w:val="0"/>
      <w:marTop w:val="0"/>
      <w:marBottom w:val="0"/>
      <w:divBdr>
        <w:top w:val="none" w:sz="0" w:space="0" w:color="auto"/>
        <w:left w:val="none" w:sz="0" w:space="0" w:color="auto"/>
        <w:bottom w:val="none" w:sz="0" w:space="0" w:color="auto"/>
        <w:right w:val="none" w:sz="0" w:space="0" w:color="auto"/>
      </w:divBdr>
    </w:div>
    <w:div w:id="297952793">
      <w:bodyDiv w:val="1"/>
      <w:marLeft w:val="0"/>
      <w:marRight w:val="0"/>
      <w:marTop w:val="0"/>
      <w:marBottom w:val="0"/>
      <w:divBdr>
        <w:top w:val="none" w:sz="0" w:space="0" w:color="auto"/>
        <w:left w:val="none" w:sz="0" w:space="0" w:color="auto"/>
        <w:bottom w:val="none" w:sz="0" w:space="0" w:color="auto"/>
        <w:right w:val="none" w:sz="0" w:space="0" w:color="auto"/>
      </w:divBdr>
    </w:div>
    <w:div w:id="317851983">
      <w:bodyDiv w:val="1"/>
      <w:marLeft w:val="0"/>
      <w:marRight w:val="0"/>
      <w:marTop w:val="0"/>
      <w:marBottom w:val="0"/>
      <w:divBdr>
        <w:top w:val="none" w:sz="0" w:space="0" w:color="auto"/>
        <w:left w:val="none" w:sz="0" w:space="0" w:color="auto"/>
        <w:bottom w:val="none" w:sz="0" w:space="0" w:color="auto"/>
        <w:right w:val="none" w:sz="0" w:space="0" w:color="auto"/>
      </w:divBdr>
    </w:div>
    <w:div w:id="431167167">
      <w:bodyDiv w:val="1"/>
      <w:marLeft w:val="0"/>
      <w:marRight w:val="0"/>
      <w:marTop w:val="0"/>
      <w:marBottom w:val="0"/>
      <w:divBdr>
        <w:top w:val="none" w:sz="0" w:space="0" w:color="auto"/>
        <w:left w:val="none" w:sz="0" w:space="0" w:color="auto"/>
        <w:bottom w:val="none" w:sz="0" w:space="0" w:color="auto"/>
        <w:right w:val="none" w:sz="0" w:space="0" w:color="auto"/>
      </w:divBdr>
    </w:div>
    <w:div w:id="461314574">
      <w:bodyDiv w:val="1"/>
      <w:marLeft w:val="0"/>
      <w:marRight w:val="0"/>
      <w:marTop w:val="0"/>
      <w:marBottom w:val="0"/>
      <w:divBdr>
        <w:top w:val="none" w:sz="0" w:space="0" w:color="auto"/>
        <w:left w:val="none" w:sz="0" w:space="0" w:color="auto"/>
        <w:bottom w:val="none" w:sz="0" w:space="0" w:color="auto"/>
        <w:right w:val="none" w:sz="0" w:space="0" w:color="auto"/>
      </w:divBdr>
    </w:div>
    <w:div w:id="491725203">
      <w:bodyDiv w:val="1"/>
      <w:marLeft w:val="0"/>
      <w:marRight w:val="0"/>
      <w:marTop w:val="0"/>
      <w:marBottom w:val="0"/>
      <w:divBdr>
        <w:top w:val="none" w:sz="0" w:space="0" w:color="auto"/>
        <w:left w:val="none" w:sz="0" w:space="0" w:color="auto"/>
        <w:bottom w:val="none" w:sz="0" w:space="0" w:color="auto"/>
        <w:right w:val="none" w:sz="0" w:space="0" w:color="auto"/>
      </w:divBdr>
    </w:div>
    <w:div w:id="506138417">
      <w:bodyDiv w:val="1"/>
      <w:marLeft w:val="0"/>
      <w:marRight w:val="0"/>
      <w:marTop w:val="0"/>
      <w:marBottom w:val="0"/>
      <w:divBdr>
        <w:top w:val="none" w:sz="0" w:space="0" w:color="auto"/>
        <w:left w:val="none" w:sz="0" w:space="0" w:color="auto"/>
        <w:bottom w:val="none" w:sz="0" w:space="0" w:color="auto"/>
        <w:right w:val="none" w:sz="0" w:space="0" w:color="auto"/>
      </w:divBdr>
    </w:div>
    <w:div w:id="527375933">
      <w:bodyDiv w:val="1"/>
      <w:marLeft w:val="0"/>
      <w:marRight w:val="0"/>
      <w:marTop w:val="0"/>
      <w:marBottom w:val="0"/>
      <w:divBdr>
        <w:top w:val="none" w:sz="0" w:space="0" w:color="auto"/>
        <w:left w:val="none" w:sz="0" w:space="0" w:color="auto"/>
        <w:bottom w:val="none" w:sz="0" w:space="0" w:color="auto"/>
        <w:right w:val="none" w:sz="0" w:space="0" w:color="auto"/>
      </w:divBdr>
    </w:div>
    <w:div w:id="545265848">
      <w:bodyDiv w:val="1"/>
      <w:marLeft w:val="0"/>
      <w:marRight w:val="0"/>
      <w:marTop w:val="0"/>
      <w:marBottom w:val="0"/>
      <w:divBdr>
        <w:top w:val="none" w:sz="0" w:space="0" w:color="auto"/>
        <w:left w:val="none" w:sz="0" w:space="0" w:color="auto"/>
        <w:bottom w:val="none" w:sz="0" w:space="0" w:color="auto"/>
        <w:right w:val="none" w:sz="0" w:space="0" w:color="auto"/>
      </w:divBdr>
    </w:div>
    <w:div w:id="584150830">
      <w:bodyDiv w:val="1"/>
      <w:marLeft w:val="0"/>
      <w:marRight w:val="0"/>
      <w:marTop w:val="0"/>
      <w:marBottom w:val="0"/>
      <w:divBdr>
        <w:top w:val="none" w:sz="0" w:space="0" w:color="auto"/>
        <w:left w:val="none" w:sz="0" w:space="0" w:color="auto"/>
        <w:bottom w:val="none" w:sz="0" w:space="0" w:color="auto"/>
        <w:right w:val="none" w:sz="0" w:space="0" w:color="auto"/>
      </w:divBdr>
    </w:div>
    <w:div w:id="642663032">
      <w:bodyDiv w:val="1"/>
      <w:marLeft w:val="0"/>
      <w:marRight w:val="0"/>
      <w:marTop w:val="0"/>
      <w:marBottom w:val="0"/>
      <w:divBdr>
        <w:top w:val="none" w:sz="0" w:space="0" w:color="auto"/>
        <w:left w:val="none" w:sz="0" w:space="0" w:color="auto"/>
        <w:bottom w:val="none" w:sz="0" w:space="0" w:color="auto"/>
        <w:right w:val="none" w:sz="0" w:space="0" w:color="auto"/>
      </w:divBdr>
    </w:div>
    <w:div w:id="668675640">
      <w:bodyDiv w:val="1"/>
      <w:marLeft w:val="0"/>
      <w:marRight w:val="0"/>
      <w:marTop w:val="0"/>
      <w:marBottom w:val="0"/>
      <w:divBdr>
        <w:top w:val="none" w:sz="0" w:space="0" w:color="auto"/>
        <w:left w:val="none" w:sz="0" w:space="0" w:color="auto"/>
        <w:bottom w:val="none" w:sz="0" w:space="0" w:color="auto"/>
        <w:right w:val="none" w:sz="0" w:space="0" w:color="auto"/>
      </w:divBdr>
    </w:div>
    <w:div w:id="686374524">
      <w:bodyDiv w:val="1"/>
      <w:marLeft w:val="0"/>
      <w:marRight w:val="0"/>
      <w:marTop w:val="0"/>
      <w:marBottom w:val="0"/>
      <w:divBdr>
        <w:top w:val="none" w:sz="0" w:space="0" w:color="auto"/>
        <w:left w:val="none" w:sz="0" w:space="0" w:color="auto"/>
        <w:bottom w:val="none" w:sz="0" w:space="0" w:color="auto"/>
        <w:right w:val="none" w:sz="0" w:space="0" w:color="auto"/>
      </w:divBdr>
    </w:div>
    <w:div w:id="738017294">
      <w:bodyDiv w:val="1"/>
      <w:marLeft w:val="0"/>
      <w:marRight w:val="0"/>
      <w:marTop w:val="0"/>
      <w:marBottom w:val="0"/>
      <w:divBdr>
        <w:top w:val="none" w:sz="0" w:space="0" w:color="auto"/>
        <w:left w:val="none" w:sz="0" w:space="0" w:color="auto"/>
        <w:bottom w:val="none" w:sz="0" w:space="0" w:color="auto"/>
        <w:right w:val="none" w:sz="0" w:space="0" w:color="auto"/>
      </w:divBdr>
    </w:div>
    <w:div w:id="738794898">
      <w:bodyDiv w:val="1"/>
      <w:marLeft w:val="0"/>
      <w:marRight w:val="0"/>
      <w:marTop w:val="0"/>
      <w:marBottom w:val="0"/>
      <w:divBdr>
        <w:top w:val="none" w:sz="0" w:space="0" w:color="auto"/>
        <w:left w:val="none" w:sz="0" w:space="0" w:color="auto"/>
        <w:bottom w:val="none" w:sz="0" w:space="0" w:color="auto"/>
        <w:right w:val="none" w:sz="0" w:space="0" w:color="auto"/>
      </w:divBdr>
    </w:div>
    <w:div w:id="749154755">
      <w:bodyDiv w:val="1"/>
      <w:marLeft w:val="0"/>
      <w:marRight w:val="0"/>
      <w:marTop w:val="0"/>
      <w:marBottom w:val="0"/>
      <w:divBdr>
        <w:top w:val="none" w:sz="0" w:space="0" w:color="auto"/>
        <w:left w:val="none" w:sz="0" w:space="0" w:color="auto"/>
        <w:bottom w:val="none" w:sz="0" w:space="0" w:color="auto"/>
        <w:right w:val="none" w:sz="0" w:space="0" w:color="auto"/>
      </w:divBdr>
    </w:div>
    <w:div w:id="757989537">
      <w:bodyDiv w:val="1"/>
      <w:marLeft w:val="0"/>
      <w:marRight w:val="0"/>
      <w:marTop w:val="0"/>
      <w:marBottom w:val="0"/>
      <w:divBdr>
        <w:top w:val="none" w:sz="0" w:space="0" w:color="auto"/>
        <w:left w:val="none" w:sz="0" w:space="0" w:color="auto"/>
        <w:bottom w:val="none" w:sz="0" w:space="0" w:color="auto"/>
        <w:right w:val="none" w:sz="0" w:space="0" w:color="auto"/>
      </w:divBdr>
    </w:div>
    <w:div w:id="787356846">
      <w:bodyDiv w:val="1"/>
      <w:marLeft w:val="0"/>
      <w:marRight w:val="0"/>
      <w:marTop w:val="0"/>
      <w:marBottom w:val="0"/>
      <w:divBdr>
        <w:top w:val="none" w:sz="0" w:space="0" w:color="auto"/>
        <w:left w:val="none" w:sz="0" w:space="0" w:color="auto"/>
        <w:bottom w:val="none" w:sz="0" w:space="0" w:color="auto"/>
        <w:right w:val="none" w:sz="0" w:space="0" w:color="auto"/>
      </w:divBdr>
    </w:div>
    <w:div w:id="790396036">
      <w:bodyDiv w:val="1"/>
      <w:marLeft w:val="0"/>
      <w:marRight w:val="0"/>
      <w:marTop w:val="0"/>
      <w:marBottom w:val="0"/>
      <w:divBdr>
        <w:top w:val="none" w:sz="0" w:space="0" w:color="auto"/>
        <w:left w:val="none" w:sz="0" w:space="0" w:color="auto"/>
        <w:bottom w:val="none" w:sz="0" w:space="0" w:color="auto"/>
        <w:right w:val="none" w:sz="0" w:space="0" w:color="auto"/>
      </w:divBdr>
    </w:div>
    <w:div w:id="792673400">
      <w:bodyDiv w:val="1"/>
      <w:marLeft w:val="0"/>
      <w:marRight w:val="0"/>
      <w:marTop w:val="0"/>
      <w:marBottom w:val="0"/>
      <w:divBdr>
        <w:top w:val="none" w:sz="0" w:space="0" w:color="auto"/>
        <w:left w:val="none" w:sz="0" w:space="0" w:color="auto"/>
        <w:bottom w:val="none" w:sz="0" w:space="0" w:color="auto"/>
        <w:right w:val="none" w:sz="0" w:space="0" w:color="auto"/>
      </w:divBdr>
    </w:div>
    <w:div w:id="792947186">
      <w:bodyDiv w:val="1"/>
      <w:marLeft w:val="0"/>
      <w:marRight w:val="0"/>
      <w:marTop w:val="0"/>
      <w:marBottom w:val="0"/>
      <w:divBdr>
        <w:top w:val="none" w:sz="0" w:space="0" w:color="auto"/>
        <w:left w:val="none" w:sz="0" w:space="0" w:color="auto"/>
        <w:bottom w:val="none" w:sz="0" w:space="0" w:color="auto"/>
        <w:right w:val="none" w:sz="0" w:space="0" w:color="auto"/>
      </w:divBdr>
    </w:div>
    <w:div w:id="819034772">
      <w:bodyDiv w:val="1"/>
      <w:marLeft w:val="0"/>
      <w:marRight w:val="0"/>
      <w:marTop w:val="0"/>
      <w:marBottom w:val="0"/>
      <w:divBdr>
        <w:top w:val="none" w:sz="0" w:space="0" w:color="auto"/>
        <w:left w:val="none" w:sz="0" w:space="0" w:color="auto"/>
        <w:bottom w:val="none" w:sz="0" w:space="0" w:color="auto"/>
        <w:right w:val="none" w:sz="0" w:space="0" w:color="auto"/>
      </w:divBdr>
    </w:div>
    <w:div w:id="859587214">
      <w:bodyDiv w:val="1"/>
      <w:marLeft w:val="0"/>
      <w:marRight w:val="0"/>
      <w:marTop w:val="0"/>
      <w:marBottom w:val="0"/>
      <w:divBdr>
        <w:top w:val="none" w:sz="0" w:space="0" w:color="auto"/>
        <w:left w:val="none" w:sz="0" w:space="0" w:color="auto"/>
        <w:bottom w:val="none" w:sz="0" w:space="0" w:color="auto"/>
        <w:right w:val="none" w:sz="0" w:space="0" w:color="auto"/>
      </w:divBdr>
    </w:div>
    <w:div w:id="873346920">
      <w:bodyDiv w:val="1"/>
      <w:marLeft w:val="0"/>
      <w:marRight w:val="0"/>
      <w:marTop w:val="0"/>
      <w:marBottom w:val="0"/>
      <w:divBdr>
        <w:top w:val="none" w:sz="0" w:space="0" w:color="auto"/>
        <w:left w:val="none" w:sz="0" w:space="0" w:color="auto"/>
        <w:bottom w:val="none" w:sz="0" w:space="0" w:color="auto"/>
        <w:right w:val="none" w:sz="0" w:space="0" w:color="auto"/>
      </w:divBdr>
    </w:div>
    <w:div w:id="908271966">
      <w:bodyDiv w:val="1"/>
      <w:marLeft w:val="0"/>
      <w:marRight w:val="0"/>
      <w:marTop w:val="0"/>
      <w:marBottom w:val="0"/>
      <w:divBdr>
        <w:top w:val="none" w:sz="0" w:space="0" w:color="auto"/>
        <w:left w:val="none" w:sz="0" w:space="0" w:color="auto"/>
        <w:bottom w:val="none" w:sz="0" w:space="0" w:color="auto"/>
        <w:right w:val="none" w:sz="0" w:space="0" w:color="auto"/>
      </w:divBdr>
    </w:div>
    <w:div w:id="925574779">
      <w:bodyDiv w:val="1"/>
      <w:marLeft w:val="0"/>
      <w:marRight w:val="0"/>
      <w:marTop w:val="0"/>
      <w:marBottom w:val="0"/>
      <w:divBdr>
        <w:top w:val="none" w:sz="0" w:space="0" w:color="auto"/>
        <w:left w:val="none" w:sz="0" w:space="0" w:color="auto"/>
        <w:bottom w:val="none" w:sz="0" w:space="0" w:color="auto"/>
        <w:right w:val="none" w:sz="0" w:space="0" w:color="auto"/>
      </w:divBdr>
    </w:div>
    <w:div w:id="933632728">
      <w:bodyDiv w:val="1"/>
      <w:marLeft w:val="0"/>
      <w:marRight w:val="0"/>
      <w:marTop w:val="0"/>
      <w:marBottom w:val="0"/>
      <w:divBdr>
        <w:top w:val="none" w:sz="0" w:space="0" w:color="auto"/>
        <w:left w:val="none" w:sz="0" w:space="0" w:color="auto"/>
        <w:bottom w:val="none" w:sz="0" w:space="0" w:color="auto"/>
        <w:right w:val="none" w:sz="0" w:space="0" w:color="auto"/>
      </w:divBdr>
    </w:div>
    <w:div w:id="938491201">
      <w:bodyDiv w:val="1"/>
      <w:marLeft w:val="0"/>
      <w:marRight w:val="0"/>
      <w:marTop w:val="0"/>
      <w:marBottom w:val="0"/>
      <w:divBdr>
        <w:top w:val="none" w:sz="0" w:space="0" w:color="auto"/>
        <w:left w:val="none" w:sz="0" w:space="0" w:color="auto"/>
        <w:bottom w:val="none" w:sz="0" w:space="0" w:color="auto"/>
        <w:right w:val="none" w:sz="0" w:space="0" w:color="auto"/>
      </w:divBdr>
    </w:div>
    <w:div w:id="944535581">
      <w:bodyDiv w:val="1"/>
      <w:marLeft w:val="0"/>
      <w:marRight w:val="0"/>
      <w:marTop w:val="0"/>
      <w:marBottom w:val="0"/>
      <w:divBdr>
        <w:top w:val="none" w:sz="0" w:space="0" w:color="auto"/>
        <w:left w:val="none" w:sz="0" w:space="0" w:color="auto"/>
        <w:bottom w:val="none" w:sz="0" w:space="0" w:color="auto"/>
        <w:right w:val="none" w:sz="0" w:space="0" w:color="auto"/>
      </w:divBdr>
    </w:div>
    <w:div w:id="972835475">
      <w:bodyDiv w:val="1"/>
      <w:marLeft w:val="0"/>
      <w:marRight w:val="0"/>
      <w:marTop w:val="0"/>
      <w:marBottom w:val="0"/>
      <w:divBdr>
        <w:top w:val="none" w:sz="0" w:space="0" w:color="auto"/>
        <w:left w:val="none" w:sz="0" w:space="0" w:color="auto"/>
        <w:bottom w:val="none" w:sz="0" w:space="0" w:color="auto"/>
        <w:right w:val="none" w:sz="0" w:space="0" w:color="auto"/>
      </w:divBdr>
    </w:div>
    <w:div w:id="1051732879">
      <w:bodyDiv w:val="1"/>
      <w:marLeft w:val="0"/>
      <w:marRight w:val="0"/>
      <w:marTop w:val="0"/>
      <w:marBottom w:val="0"/>
      <w:divBdr>
        <w:top w:val="none" w:sz="0" w:space="0" w:color="auto"/>
        <w:left w:val="none" w:sz="0" w:space="0" w:color="auto"/>
        <w:bottom w:val="none" w:sz="0" w:space="0" w:color="auto"/>
        <w:right w:val="none" w:sz="0" w:space="0" w:color="auto"/>
      </w:divBdr>
    </w:div>
    <w:div w:id="1078477754">
      <w:bodyDiv w:val="1"/>
      <w:marLeft w:val="0"/>
      <w:marRight w:val="0"/>
      <w:marTop w:val="0"/>
      <w:marBottom w:val="0"/>
      <w:divBdr>
        <w:top w:val="none" w:sz="0" w:space="0" w:color="auto"/>
        <w:left w:val="none" w:sz="0" w:space="0" w:color="auto"/>
        <w:bottom w:val="none" w:sz="0" w:space="0" w:color="auto"/>
        <w:right w:val="none" w:sz="0" w:space="0" w:color="auto"/>
      </w:divBdr>
    </w:div>
    <w:div w:id="1103647043">
      <w:bodyDiv w:val="1"/>
      <w:marLeft w:val="0"/>
      <w:marRight w:val="0"/>
      <w:marTop w:val="0"/>
      <w:marBottom w:val="0"/>
      <w:divBdr>
        <w:top w:val="none" w:sz="0" w:space="0" w:color="auto"/>
        <w:left w:val="none" w:sz="0" w:space="0" w:color="auto"/>
        <w:bottom w:val="none" w:sz="0" w:space="0" w:color="auto"/>
        <w:right w:val="none" w:sz="0" w:space="0" w:color="auto"/>
      </w:divBdr>
    </w:div>
    <w:div w:id="1108626401">
      <w:bodyDiv w:val="1"/>
      <w:marLeft w:val="0"/>
      <w:marRight w:val="0"/>
      <w:marTop w:val="0"/>
      <w:marBottom w:val="0"/>
      <w:divBdr>
        <w:top w:val="none" w:sz="0" w:space="0" w:color="auto"/>
        <w:left w:val="none" w:sz="0" w:space="0" w:color="auto"/>
        <w:bottom w:val="none" w:sz="0" w:space="0" w:color="auto"/>
        <w:right w:val="none" w:sz="0" w:space="0" w:color="auto"/>
      </w:divBdr>
    </w:div>
    <w:div w:id="1115247974">
      <w:bodyDiv w:val="1"/>
      <w:marLeft w:val="0"/>
      <w:marRight w:val="0"/>
      <w:marTop w:val="0"/>
      <w:marBottom w:val="0"/>
      <w:divBdr>
        <w:top w:val="none" w:sz="0" w:space="0" w:color="auto"/>
        <w:left w:val="none" w:sz="0" w:space="0" w:color="auto"/>
        <w:bottom w:val="none" w:sz="0" w:space="0" w:color="auto"/>
        <w:right w:val="none" w:sz="0" w:space="0" w:color="auto"/>
      </w:divBdr>
    </w:div>
    <w:div w:id="1120025985">
      <w:bodyDiv w:val="1"/>
      <w:marLeft w:val="0"/>
      <w:marRight w:val="0"/>
      <w:marTop w:val="0"/>
      <w:marBottom w:val="0"/>
      <w:divBdr>
        <w:top w:val="none" w:sz="0" w:space="0" w:color="auto"/>
        <w:left w:val="none" w:sz="0" w:space="0" w:color="auto"/>
        <w:bottom w:val="none" w:sz="0" w:space="0" w:color="auto"/>
        <w:right w:val="none" w:sz="0" w:space="0" w:color="auto"/>
      </w:divBdr>
    </w:div>
    <w:div w:id="1121455331">
      <w:bodyDiv w:val="1"/>
      <w:marLeft w:val="0"/>
      <w:marRight w:val="0"/>
      <w:marTop w:val="0"/>
      <w:marBottom w:val="0"/>
      <w:divBdr>
        <w:top w:val="none" w:sz="0" w:space="0" w:color="auto"/>
        <w:left w:val="none" w:sz="0" w:space="0" w:color="auto"/>
        <w:bottom w:val="none" w:sz="0" w:space="0" w:color="auto"/>
        <w:right w:val="none" w:sz="0" w:space="0" w:color="auto"/>
      </w:divBdr>
    </w:div>
    <w:div w:id="1132285455">
      <w:bodyDiv w:val="1"/>
      <w:marLeft w:val="0"/>
      <w:marRight w:val="0"/>
      <w:marTop w:val="0"/>
      <w:marBottom w:val="0"/>
      <w:divBdr>
        <w:top w:val="none" w:sz="0" w:space="0" w:color="auto"/>
        <w:left w:val="none" w:sz="0" w:space="0" w:color="auto"/>
        <w:bottom w:val="none" w:sz="0" w:space="0" w:color="auto"/>
        <w:right w:val="none" w:sz="0" w:space="0" w:color="auto"/>
      </w:divBdr>
    </w:div>
    <w:div w:id="1182821185">
      <w:bodyDiv w:val="1"/>
      <w:marLeft w:val="0"/>
      <w:marRight w:val="0"/>
      <w:marTop w:val="0"/>
      <w:marBottom w:val="0"/>
      <w:divBdr>
        <w:top w:val="none" w:sz="0" w:space="0" w:color="auto"/>
        <w:left w:val="none" w:sz="0" w:space="0" w:color="auto"/>
        <w:bottom w:val="none" w:sz="0" w:space="0" w:color="auto"/>
        <w:right w:val="none" w:sz="0" w:space="0" w:color="auto"/>
      </w:divBdr>
    </w:div>
    <w:div w:id="1210924059">
      <w:bodyDiv w:val="1"/>
      <w:marLeft w:val="0"/>
      <w:marRight w:val="0"/>
      <w:marTop w:val="0"/>
      <w:marBottom w:val="0"/>
      <w:divBdr>
        <w:top w:val="none" w:sz="0" w:space="0" w:color="auto"/>
        <w:left w:val="none" w:sz="0" w:space="0" w:color="auto"/>
        <w:bottom w:val="none" w:sz="0" w:space="0" w:color="auto"/>
        <w:right w:val="none" w:sz="0" w:space="0" w:color="auto"/>
      </w:divBdr>
    </w:div>
    <w:div w:id="1271814370">
      <w:bodyDiv w:val="1"/>
      <w:marLeft w:val="0"/>
      <w:marRight w:val="0"/>
      <w:marTop w:val="0"/>
      <w:marBottom w:val="0"/>
      <w:divBdr>
        <w:top w:val="none" w:sz="0" w:space="0" w:color="auto"/>
        <w:left w:val="none" w:sz="0" w:space="0" w:color="auto"/>
        <w:bottom w:val="none" w:sz="0" w:space="0" w:color="auto"/>
        <w:right w:val="none" w:sz="0" w:space="0" w:color="auto"/>
      </w:divBdr>
    </w:div>
    <w:div w:id="1273126048">
      <w:bodyDiv w:val="1"/>
      <w:marLeft w:val="0"/>
      <w:marRight w:val="0"/>
      <w:marTop w:val="0"/>
      <w:marBottom w:val="0"/>
      <w:divBdr>
        <w:top w:val="none" w:sz="0" w:space="0" w:color="auto"/>
        <w:left w:val="none" w:sz="0" w:space="0" w:color="auto"/>
        <w:bottom w:val="none" w:sz="0" w:space="0" w:color="auto"/>
        <w:right w:val="none" w:sz="0" w:space="0" w:color="auto"/>
      </w:divBdr>
    </w:div>
    <w:div w:id="1274631957">
      <w:bodyDiv w:val="1"/>
      <w:marLeft w:val="0"/>
      <w:marRight w:val="0"/>
      <w:marTop w:val="0"/>
      <w:marBottom w:val="0"/>
      <w:divBdr>
        <w:top w:val="none" w:sz="0" w:space="0" w:color="auto"/>
        <w:left w:val="none" w:sz="0" w:space="0" w:color="auto"/>
        <w:bottom w:val="none" w:sz="0" w:space="0" w:color="auto"/>
        <w:right w:val="none" w:sz="0" w:space="0" w:color="auto"/>
      </w:divBdr>
    </w:div>
    <w:div w:id="1279023462">
      <w:bodyDiv w:val="1"/>
      <w:marLeft w:val="0"/>
      <w:marRight w:val="0"/>
      <w:marTop w:val="0"/>
      <w:marBottom w:val="0"/>
      <w:divBdr>
        <w:top w:val="none" w:sz="0" w:space="0" w:color="auto"/>
        <w:left w:val="none" w:sz="0" w:space="0" w:color="auto"/>
        <w:bottom w:val="none" w:sz="0" w:space="0" w:color="auto"/>
        <w:right w:val="none" w:sz="0" w:space="0" w:color="auto"/>
      </w:divBdr>
    </w:div>
    <w:div w:id="1279340198">
      <w:bodyDiv w:val="1"/>
      <w:marLeft w:val="0"/>
      <w:marRight w:val="0"/>
      <w:marTop w:val="0"/>
      <w:marBottom w:val="0"/>
      <w:divBdr>
        <w:top w:val="none" w:sz="0" w:space="0" w:color="auto"/>
        <w:left w:val="none" w:sz="0" w:space="0" w:color="auto"/>
        <w:bottom w:val="none" w:sz="0" w:space="0" w:color="auto"/>
        <w:right w:val="none" w:sz="0" w:space="0" w:color="auto"/>
      </w:divBdr>
    </w:div>
    <w:div w:id="1298297792">
      <w:bodyDiv w:val="1"/>
      <w:marLeft w:val="0"/>
      <w:marRight w:val="0"/>
      <w:marTop w:val="0"/>
      <w:marBottom w:val="0"/>
      <w:divBdr>
        <w:top w:val="none" w:sz="0" w:space="0" w:color="auto"/>
        <w:left w:val="none" w:sz="0" w:space="0" w:color="auto"/>
        <w:bottom w:val="none" w:sz="0" w:space="0" w:color="auto"/>
        <w:right w:val="none" w:sz="0" w:space="0" w:color="auto"/>
      </w:divBdr>
    </w:div>
    <w:div w:id="1366372222">
      <w:bodyDiv w:val="1"/>
      <w:marLeft w:val="0"/>
      <w:marRight w:val="0"/>
      <w:marTop w:val="0"/>
      <w:marBottom w:val="0"/>
      <w:divBdr>
        <w:top w:val="none" w:sz="0" w:space="0" w:color="auto"/>
        <w:left w:val="none" w:sz="0" w:space="0" w:color="auto"/>
        <w:bottom w:val="none" w:sz="0" w:space="0" w:color="auto"/>
        <w:right w:val="none" w:sz="0" w:space="0" w:color="auto"/>
      </w:divBdr>
    </w:div>
    <w:div w:id="1387025009">
      <w:bodyDiv w:val="1"/>
      <w:marLeft w:val="0"/>
      <w:marRight w:val="0"/>
      <w:marTop w:val="0"/>
      <w:marBottom w:val="0"/>
      <w:divBdr>
        <w:top w:val="none" w:sz="0" w:space="0" w:color="auto"/>
        <w:left w:val="none" w:sz="0" w:space="0" w:color="auto"/>
        <w:bottom w:val="none" w:sz="0" w:space="0" w:color="auto"/>
        <w:right w:val="none" w:sz="0" w:space="0" w:color="auto"/>
      </w:divBdr>
    </w:div>
    <w:div w:id="1407921541">
      <w:bodyDiv w:val="1"/>
      <w:marLeft w:val="0"/>
      <w:marRight w:val="0"/>
      <w:marTop w:val="0"/>
      <w:marBottom w:val="0"/>
      <w:divBdr>
        <w:top w:val="none" w:sz="0" w:space="0" w:color="auto"/>
        <w:left w:val="none" w:sz="0" w:space="0" w:color="auto"/>
        <w:bottom w:val="none" w:sz="0" w:space="0" w:color="auto"/>
        <w:right w:val="none" w:sz="0" w:space="0" w:color="auto"/>
      </w:divBdr>
    </w:div>
    <w:div w:id="1413626361">
      <w:bodyDiv w:val="1"/>
      <w:marLeft w:val="0"/>
      <w:marRight w:val="0"/>
      <w:marTop w:val="0"/>
      <w:marBottom w:val="0"/>
      <w:divBdr>
        <w:top w:val="none" w:sz="0" w:space="0" w:color="auto"/>
        <w:left w:val="none" w:sz="0" w:space="0" w:color="auto"/>
        <w:bottom w:val="none" w:sz="0" w:space="0" w:color="auto"/>
        <w:right w:val="none" w:sz="0" w:space="0" w:color="auto"/>
      </w:divBdr>
    </w:div>
    <w:div w:id="1518763303">
      <w:bodyDiv w:val="1"/>
      <w:marLeft w:val="0"/>
      <w:marRight w:val="0"/>
      <w:marTop w:val="0"/>
      <w:marBottom w:val="0"/>
      <w:divBdr>
        <w:top w:val="none" w:sz="0" w:space="0" w:color="auto"/>
        <w:left w:val="none" w:sz="0" w:space="0" w:color="auto"/>
        <w:bottom w:val="none" w:sz="0" w:space="0" w:color="auto"/>
        <w:right w:val="none" w:sz="0" w:space="0" w:color="auto"/>
      </w:divBdr>
    </w:div>
    <w:div w:id="1539662743">
      <w:bodyDiv w:val="1"/>
      <w:marLeft w:val="0"/>
      <w:marRight w:val="0"/>
      <w:marTop w:val="0"/>
      <w:marBottom w:val="0"/>
      <w:divBdr>
        <w:top w:val="none" w:sz="0" w:space="0" w:color="auto"/>
        <w:left w:val="none" w:sz="0" w:space="0" w:color="auto"/>
        <w:bottom w:val="none" w:sz="0" w:space="0" w:color="auto"/>
        <w:right w:val="none" w:sz="0" w:space="0" w:color="auto"/>
      </w:divBdr>
    </w:div>
    <w:div w:id="1557279987">
      <w:bodyDiv w:val="1"/>
      <w:marLeft w:val="0"/>
      <w:marRight w:val="0"/>
      <w:marTop w:val="0"/>
      <w:marBottom w:val="0"/>
      <w:divBdr>
        <w:top w:val="none" w:sz="0" w:space="0" w:color="auto"/>
        <w:left w:val="none" w:sz="0" w:space="0" w:color="auto"/>
        <w:bottom w:val="none" w:sz="0" w:space="0" w:color="auto"/>
        <w:right w:val="none" w:sz="0" w:space="0" w:color="auto"/>
      </w:divBdr>
    </w:div>
    <w:div w:id="1609924579">
      <w:bodyDiv w:val="1"/>
      <w:marLeft w:val="0"/>
      <w:marRight w:val="0"/>
      <w:marTop w:val="0"/>
      <w:marBottom w:val="0"/>
      <w:divBdr>
        <w:top w:val="none" w:sz="0" w:space="0" w:color="auto"/>
        <w:left w:val="none" w:sz="0" w:space="0" w:color="auto"/>
        <w:bottom w:val="none" w:sz="0" w:space="0" w:color="auto"/>
        <w:right w:val="none" w:sz="0" w:space="0" w:color="auto"/>
      </w:divBdr>
    </w:div>
    <w:div w:id="1640375710">
      <w:bodyDiv w:val="1"/>
      <w:marLeft w:val="0"/>
      <w:marRight w:val="0"/>
      <w:marTop w:val="0"/>
      <w:marBottom w:val="0"/>
      <w:divBdr>
        <w:top w:val="none" w:sz="0" w:space="0" w:color="auto"/>
        <w:left w:val="none" w:sz="0" w:space="0" w:color="auto"/>
        <w:bottom w:val="none" w:sz="0" w:space="0" w:color="auto"/>
        <w:right w:val="none" w:sz="0" w:space="0" w:color="auto"/>
      </w:divBdr>
    </w:div>
    <w:div w:id="1695810846">
      <w:bodyDiv w:val="1"/>
      <w:marLeft w:val="0"/>
      <w:marRight w:val="0"/>
      <w:marTop w:val="0"/>
      <w:marBottom w:val="0"/>
      <w:divBdr>
        <w:top w:val="none" w:sz="0" w:space="0" w:color="auto"/>
        <w:left w:val="none" w:sz="0" w:space="0" w:color="auto"/>
        <w:bottom w:val="none" w:sz="0" w:space="0" w:color="auto"/>
        <w:right w:val="none" w:sz="0" w:space="0" w:color="auto"/>
      </w:divBdr>
    </w:div>
    <w:div w:id="1695812410">
      <w:bodyDiv w:val="1"/>
      <w:marLeft w:val="0"/>
      <w:marRight w:val="0"/>
      <w:marTop w:val="0"/>
      <w:marBottom w:val="0"/>
      <w:divBdr>
        <w:top w:val="none" w:sz="0" w:space="0" w:color="auto"/>
        <w:left w:val="none" w:sz="0" w:space="0" w:color="auto"/>
        <w:bottom w:val="none" w:sz="0" w:space="0" w:color="auto"/>
        <w:right w:val="none" w:sz="0" w:space="0" w:color="auto"/>
      </w:divBdr>
    </w:div>
    <w:div w:id="1712068678">
      <w:bodyDiv w:val="1"/>
      <w:marLeft w:val="0"/>
      <w:marRight w:val="0"/>
      <w:marTop w:val="0"/>
      <w:marBottom w:val="0"/>
      <w:divBdr>
        <w:top w:val="none" w:sz="0" w:space="0" w:color="auto"/>
        <w:left w:val="none" w:sz="0" w:space="0" w:color="auto"/>
        <w:bottom w:val="none" w:sz="0" w:space="0" w:color="auto"/>
        <w:right w:val="none" w:sz="0" w:space="0" w:color="auto"/>
      </w:divBdr>
    </w:div>
    <w:div w:id="1721780404">
      <w:bodyDiv w:val="1"/>
      <w:marLeft w:val="0"/>
      <w:marRight w:val="0"/>
      <w:marTop w:val="0"/>
      <w:marBottom w:val="0"/>
      <w:divBdr>
        <w:top w:val="none" w:sz="0" w:space="0" w:color="auto"/>
        <w:left w:val="none" w:sz="0" w:space="0" w:color="auto"/>
        <w:bottom w:val="none" w:sz="0" w:space="0" w:color="auto"/>
        <w:right w:val="none" w:sz="0" w:space="0" w:color="auto"/>
      </w:divBdr>
    </w:div>
    <w:div w:id="1728918600">
      <w:bodyDiv w:val="1"/>
      <w:marLeft w:val="0"/>
      <w:marRight w:val="0"/>
      <w:marTop w:val="0"/>
      <w:marBottom w:val="0"/>
      <w:divBdr>
        <w:top w:val="none" w:sz="0" w:space="0" w:color="auto"/>
        <w:left w:val="none" w:sz="0" w:space="0" w:color="auto"/>
        <w:bottom w:val="none" w:sz="0" w:space="0" w:color="auto"/>
        <w:right w:val="none" w:sz="0" w:space="0" w:color="auto"/>
      </w:divBdr>
    </w:div>
    <w:div w:id="1729452948">
      <w:bodyDiv w:val="1"/>
      <w:marLeft w:val="0"/>
      <w:marRight w:val="0"/>
      <w:marTop w:val="0"/>
      <w:marBottom w:val="0"/>
      <w:divBdr>
        <w:top w:val="none" w:sz="0" w:space="0" w:color="auto"/>
        <w:left w:val="none" w:sz="0" w:space="0" w:color="auto"/>
        <w:bottom w:val="none" w:sz="0" w:space="0" w:color="auto"/>
        <w:right w:val="none" w:sz="0" w:space="0" w:color="auto"/>
      </w:divBdr>
    </w:div>
    <w:div w:id="1739087910">
      <w:bodyDiv w:val="1"/>
      <w:marLeft w:val="0"/>
      <w:marRight w:val="0"/>
      <w:marTop w:val="0"/>
      <w:marBottom w:val="0"/>
      <w:divBdr>
        <w:top w:val="none" w:sz="0" w:space="0" w:color="auto"/>
        <w:left w:val="none" w:sz="0" w:space="0" w:color="auto"/>
        <w:bottom w:val="none" w:sz="0" w:space="0" w:color="auto"/>
        <w:right w:val="none" w:sz="0" w:space="0" w:color="auto"/>
      </w:divBdr>
    </w:div>
    <w:div w:id="1742676930">
      <w:bodyDiv w:val="1"/>
      <w:marLeft w:val="0"/>
      <w:marRight w:val="0"/>
      <w:marTop w:val="0"/>
      <w:marBottom w:val="0"/>
      <w:divBdr>
        <w:top w:val="none" w:sz="0" w:space="0" w:color="auto"/>
        <w:left w:val="none" w:sz="0" w:space="0" w:color="auto"/>
        <w:bottom w:val="none" w:sz="0" w:space="0" w:color="auto"/>
        <w:right w:val="none" w:sz="0" w:space="0" w:color="auto"/>
      </w:divBdr>
    </w:div>
    <w:div w:id="1753114791">
      <w:bodyDiv w:val="1"/>
      <w:marLeft w:val="0"/>
      <w:marRight w:val="0"/>
      <w:marTop w:val="0"/>
      <w:marBottom w:val="0"/>
      <w:divBdr>
        <w:top w:val="none" w:sz="0" w:space="0" w:color="auto"/>
        <w:left w:val="none" w:sz="0" w:space="0" w:color="auto"/>
        <w:bottom w:val="none" w:sz="0" w:space="0" w:color="auto"/>
        <w:right w:val="none" w:sz="0" w:space="0" w:color="auto"/>
      </w:divBdr>
    </w:div>
    <w:div w:id="1764456065">
      <w:bodyDiv w:val="1"/>
      <w:marLeft w:val="0"/>
      <w:marRight w:val="0"/>
      <w:marTop w:val="0"/>
      <w:marBottom w:val="0"/>
      <w:divBdr>
        <w:top w:val="none" w:sz="0" w:space="0" w:color="auto"/>
        <w:left w:val="none" w:sz="0" w:space="0" w:color="auto"/>
        <w:bottom w:val="none" w:sz="0" w:space="0" w:color="auto"/>
        <w:right w:val="none" w:sz="0" w:space="0" w:color="auto"/>
      </w:divBdr>
    </w:div>
    <w:div w:id="1801798303">
      <w:bodyDiv w:val="1"/>
      <w:marLeft w:val="0"/>
      <w:marRight w:val="0"/>
      <w:marTop w:val="0"/>
      <w:marBottom w:val="0"/>
      <w:divBdr>
        <w:top w:val="none" w:sz="0" w:space="0" w:color="auto"/>
        <w:left w:val="none" w:sz="0" w:space="0" w:color="auto"/>
        <w:bottom w:val="none" w:sz="0" w:space="0" w:color="auto"/>
        <w:right w:val="none" w:sz="0" w:space="0" w:color="auto"/>
      </w:divBdr>
    </w:div>
    <w:div w:id="1820150210">
      <w:bodyDiv w:val="1"/>
      <w:marLeft w:val="0"/>
      <w:marRight w:val="0"/>
      <w:marTop w:val="0"/>
      <w:marBottom w:val="0"/>
      <w:divBdr>
        <w:top w:val="none" w:sz="0" w:space="0" w:color="auto"/>
        <w:left w:val="none" w:sz="0" w:space="0" w:color="auto"/>
        <w:bottom w:val="none" w:sz="0" w:space="0" w:color="auto"/>
        <w:right w:val="none" w:sz="0" w:space="0" w:color="auto"/>
      </w:divBdr>
    </w:div>
    <w:div w:id="1842425127">
      <w:bodyDiv w:val="1"/>
      <w:marLeft w:val="0"/>
      <w:marRight w:val="0"/>
      <w:marTop w:val="0"/>
      <w:marBottom w:val="0"/>
      <w:divBdr>
        <w:top w:val="none" w:sz="0" w:space="0" w:color="auto"/>
        <w:left w:val="none" w:sz="0" w:space="0" w:color="auto"/>
        <w:bottom w:val="none" w:sz="0" w:space="0" w:color="auto"/>
        <w:right w:val="none" w:sz="0" w:space="0" w:color="auto"/>
      </w:divBdr>
    </w:div>
    <w:div w:id="1853840324">
      <w:bodyDiv w:val="1"/>
      <w:marLeft w:val="0"/>
      <w:marRight w:val="0"/>
      <w:marTop w:val="0"/>
      <w:marBottom w:val="0"/>
      <w:divBdr>
        <w:top w:val="none" w:sz="0" w:space="0" w:color="auto"/>
        <w:left w:val="none" w:sz="0" w:space="0" w:color="auto"/>
        <w:bottom w:val="none" w:sz="0" w:space="0" w:color="auto"/>
        <w:right w:val="none" w:sz="0" w:space="0" w:color="auto"/>
      </w:divBdr>
    </w:div>
    <w:div w:id="1894458581">
      <w:bodyDiv w:val="1"/>
      <w:marLeft w:val="0"/>
      <w:marRight w:val="0"/>
      <w:marTop w:val="0"/>
      <w:marBottom w:val="0"/>
      <w:divBdr>
        <w:top w:val="none" w:sz="0" w:space="0" w:color="auto"/>
        <w:left w:val="none" w:sz="0" w:space="0" w:color="auto"/>
        <w:bottom w:val="none" w:sz="0" w:space="0" w:color="auto"/>
        <w:right w:val="none" w:sz="0" w:space="0" w:color="auto"/>
      </w:divBdr>
    </w:div>
    <w:div w:id="1902128749">
      <w:bodyDiv w:val="1"/>
      <w:marLeft w:val="0"/>
      <w:marRight w:val="0"/>
      <w:marTop w:val="0"/>
      <w:marBottom w:val="0"/>
      <w:divBdr>
        <w:top w:val="none" w:sz="0" w:space="0" w:color="auto"/>
        <w:left w:val="none" w:sz="0" w:space="0" w:color="auto"/>
        <w:bottom w:val="none" w:sz="0" w:space="0" w:color="auto"/>
        <w:right w:val="none" w:sz="0" w:space="0" w:color="auto"/>
      </w:divBdr>
    </w:div>
    <w:div w:id="1913659287">
      <w:bodyDiv w:val="1"/>
      <w:marLeft w:val="0"/>
      <w:marRight w:val="0"/>
      <w:marTop w:val="0"/>
      <w:marBottom w:val="0"/>
      <w:divBdr>
        <w:top w:val="none" w:sz="0" w:space="0" w:color="auto"/>
        <w:left w:val="none" w:sz="0" w:space="0" w:color="auto"/>
        <w:bottom w:val="none" w:sz="0" w:space="0" w:color="auto"/>
        <w:right w:val="none" w:sz="0" w:space="0" w:color="auto"/>
      </w:divBdr>
    </w:div>
    <w:div w:id="1939636125">
      <w:bodyDiv w:val="1"/>
      <w:marLeft w:val="0"/>
      <w:marRight w:val="0"/>
      <w:marTop w:val="0"/>
      <w:marBottom w:val="0"/>
      <w:divBdr>
        <w:top w:val="none" w:sz="0" w:space="0" w:color="auto"/>
        <w:left w:val="none" w:sz="0" w:space="0" w:color="auto"/>
        <w:bottom w:val="none" w:sz="0" w:space="0" w:color="auto"/>
        <w:right w:val="none" w:sz="0" w:space="0" w:color="auto"/>
      </w:divBdr>
    </w:div>
    <w:div w:id="1953440871">
      <w:bodyDiv w:val="1"/>
      <w:marLeft w:val="0"/>
      <w:marRight w:val="0"/>
      <w:marTop w:val="0"/>
      <w:marBottom w:val="0"/>
      <w:divBdr>
        <w:top w:val="none" w:sz="0" w:space="0" w:color="auto"/>
        <w:left w:val="none" w:sz="0" w:space="0" w:color="auto"/>
        <w:bottom w:val="none" w:sz="0" w:space="0" w:color="auto"/>
        <w:right w:val="none" w:sz="0" w:space="0" w:color="auto"/>
      </w:divBdr>
    </w:div>
    <w:div w:id="1997150533">
      <w:bodyDiv w:val="1"/>
      <w:marLeft w:val="0"/>
      <w:marRight w:val="0"/>
      <w:marTop w:val="0"/>
      <w:marBottom w:val="0"/>
      <w:divBdr>
        <w:top w:val="none" w:sz="0" w:space="0" w:color="auto"/>
        <w:left w:val="none" w:sz="0" w:space="0" w:color="auto"/>
        <w:bottom w:val="none" w:sz="0" w:space="0" w:color="auto"/>
        <w:right w:val="none" w:sz="0" w:space="0" w:color="auto"/>
      </w:divBdr>
    </w:div>
    <w:div w:id="2025471886">
      <w:bodyDiv w:val="1"/>
      <w:marLeft w:val="0"/>
      <w:marRight w:val="0"/>
      <w:marTop w:val="0"/>
      <w:marBottom w:val="0"/>
      <w:divBdr>
        <w:top w:val="none" w:sz="0" w:space="0" w:color="auto"/>
        <w:left w:val="none" w:sz="0" w:space="0" w:color="auto"/>
        <w:bottom w:val="none" w:sz="0" w:space="0" w:color="auto"/>
        <w:right w:val="none" w:sz="0" w:space="0" w:color="auto"/>
      </w:divBdr>
    </w:div>
    <w:div w:id="2026788252">
      <w:bodyDiv w:val="1"/>
      <w:marLeft w:val="0"/>
      <w:marRight w:val="0"/>
      <w:marTop w:val="0"/>
      <w:marBottom w:val="0"/>
      <w:divBdr>
        <w:top w:val="none" w:sz="0" w:space="0" w:color="auto"/>
        <w:left w:val="none" w:sz="0" w:space="0" w:color="auto"/>
        <w:bottom w:val="none" w:sz="0" w:space="0" w:color="auto"/>
        <w:right w:val="none" w:sz="0" w:space="0" w:color="auto"/>
      </w:divBdr>
    </w:div>
    <w:div w:id="2030060790">
      <w:bodyDiv w:val="1"/>
      <w:marLeft w:val="0"/>
      <w:marRight w:val="0"/>
      <w:marTop w:val="0"/>
      <w:marBottom w:val="0"/>
      <w:divBdr>
        <w:top w:val="none" w:sz="0" w:space="0" w:color="auto"/>
        <w:left w:val="none" w:sz="0" w:space="0" w:color="auto"/>
        <w:bottom w:val="none" w:sz="0" w:space="0" w:color="auto"/>
        <w:right w:val="none" w:sz="0" w:space="0" w:color="auto"/>
      </w:divBdr>
    </w:div>
    <w:div w:id="2049258824">
      <w:bodyDiv w:val="1"/>
      <w:marLeft w:val="0"/>
      <w:marRight w:val="0"/>
      <w:marTop w:val="0"/>
      <w:marBottom w:val="0"/>
      <w:divBdr>
        <w:top w:val="none" w:sz="0" w:space="0" w:color="auto"/>
        <w:left w:val="none" w:sz="0" w:space="0" w:color="auto"/>
        <w:bottom w:val="none" w:sz="0" w:space="0" w:color="auto"/>
        <w:right w:val="none" w:sz="0" w:space="0" w:color="auto"/>
      </w:divBdr>
    </w:div>
    <w:div w:id="2050492550">
      <w:bodyDiv w:val="1"/>
      <w:marLeft w:val="0"/>
      <w:marRight w:val="0"/>
      <w:marTop w:val="0"/>
      <w:marBottom w:val="0"/>
      <w:divBdr>
        <w:top w:val="none" w:sz="0" w:space="0" w:color="auto"/>
        <w:left w:val="none" w:sz="0" w:space="0" w:color="auto"/>
        <w:bottom w:val="none" w:sz="0" w:space="0" w:color="auto"/>
        <w:right w:val="none" w:sz="0" w:space="0" w:color="auto"/>
      </w:divBdr>
    </w:div>
    <w:div w:id="205188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12</Pages>
  <Words>6331</Words>
  <Characters>36090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Anxhela Prifti</cp:lastModifiedBy>
  <cp:revision>49</cp:revision>
  <cp:lastPrinted>2025-11-26T08:41:00Z</cp:lastPrinted>
  <dcterms:created xsi:type="dcterms:W3CDTF">2025-10-01T13:56:00Z</dcterms:created>
  <dcterms:modified xsi:type="dcterms:W3CDTF">2025-11-26T09:30:00Z</dcterms:modified>
</cp:coreProperties>
</file>