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9B79C" w14:textId="77777777" w:rsidR="00B61E46" w:rsidRPr="003A3461" w:rsidRDefault="00B61E46" w:rsidP="00B61E46">
      <w:pPr>
        <w:jc w:val="center"/>
        <w:rPr>
          <w:rFonts w:ascii="Times New Roman" w:hAnsi="Times New Roman" w:cs="Times New Roman"/>
          <w:sz w:val="24"/>
          <w:szCs w:val="24"/>
          <w:lang w:val="sq-AL"/>
        </w:rPr>
      </w:pPr>
      <w:r w:rsidRPr="003A3461">
        <w:rPr>
          <w:rFonts w:ascii="Times New Roman" w:hAnsi="Times New Roman" w:cs="Times New Roman"/>
          <w:noProof/>
          <w:sz w:val="24"/>
          <w:szCs w:val="24"/>
          <w:lang w:val="sq-AL"/>
        </w:rPr>
        <w:object w:dxaOrig="6674" w:dyaOrig="10036" w14:anchorId="1EC32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7" o:title=""/>
          </v:shape>
          <o:OLEObject Type="Embed" ProgID="MSPhotoEd.3" ShapeID="_x0000_i1025" DrawAspect="Content" ObjectID="_1793699409" r:id="rId8"/>
        </w:object>
      </w:r>
    </w:p>
    <w:p w14:paraId="3BC5AA46" w14:textId="77777777" w:rsidR="00B61E46" w:rsidRPr="003A3461" w:rsidRDefault="00B61E46" w:rsidP="00223A32">
      <w:pPr>
        <w:pStyle w:val="Heading1"/>
        <w:spacing w:before="0" w:line="240" w:lineRule="auto"/>
        <w:jc w:val="center"/>
        <w:rPr>
          <w:rFonts w:ascii="Times New Roman" w:hAnsi="Times New Roman"/>
          <w:b/>
          <w:bCs/>
          <w:color w:val="auto"/>
          <w:sz w:val="24"/>
          <w:szCs w:val="24"/>
          <w:lang w:val="sq-AL"/>
        </w:rPr>
      </w:pPr>
      <w:r w:rsidRPr="003A3461">
        <w:rPr>
          <w:rFonts w:ascii="Times New Roman" w:hAnsi="Times New Roman"/>
          <w:b/>
          <w:bCs/>
          <w:color w:val="auto"/>
          <w:sz w:val="24"/>
          <w:szCs w:val="24"/>
          <w:lang w:val="sq-AL"/>
        </w:rPr>
        <w:t>REPUBLIKA E SHQIPËRISË</w:t>
      </w:r>
    </w:p>
    <w:p w14:paraId="292207AA" w14:textId="77777777" w:rsidR="00B61E46" w:rsidRPr="003A3461" w:rsidRDefault="00B61E46" w:rsidP="00223A32">
      <w:pPr>
        <w:pStyle w:val="Heading1"/>
        <w:spacing w:before="0" w:line="240" w:lineRule="auto"/>
        <w:jc w:val="center"/>
        <w:rPr>
          <w:rFonts w:ascii="Times New Roman" w:hAnsi="Times New Roman"/>
          <w:b/>
          <w:bCs/>
          <w:color w:val="auto"/>
          <w:sz w:val="24"/>
          <w:szCs w:val="24"/>
          <w:lang w:val="sq-AL"/>
        </w:rPr>
      </w:pPr>
      <w:r w:rsidRPr="003A3461">
        <w:rPr>
          <w:rFonts w:ascii="Times New Roman" w:hAnsi="Times New Roman"/>
          <w:b/>
          <w:color w:val="auto"/>
          <w:sz w:val="24"/>
          <w:szCs w:val="24"/>
          <w:lang w:val="sq-AL"/>
        </w:rPr>
        <w:t>GJYKATA E LARTË</w:t>
      </w:r>
    </w:p>
    <w:p w14:paraId="198CBC22" w14:textId="77777777" w:rsidR="00B61E46" w:rsidRPr="003A3461" w:rsidRDefault="00B61E46" w:rsidP="00213449">
      <w:pPr>
        <w:spacing w:after="0" w:line="240" w:lineRule="auto"/>
        <w:jc w:val="center"/>
        <w:rPr>
          <w:rFonts w:ascii="Times New Roman" w:hAnsi="Times New Roman" w:cs="Times New Roman"/>
          <w:b/>
          <w:bCs/>
          <w:sz w:val="24"/>
          <w:szCs w:val="24"/>
          <w:lang w:val="sq-AL"/>
        </w:rPr>
      </w:pPr>
      <w:r w:rsidRPr="003A3461">
        <w:rPr>
          <w:rFonts w:ascii="Times New Roman" w:hAnsi="Times New Roman" w:cs="Times New Roman"/>
          <w:b/>
          <w:bCs/>
          <w:sz w:val="24"/>
          <w:szCs w:val="24"/>
          <w:lang w:val="sq-AL"/>
        </w:rPr>
        <w:t>KOLEGJI ADMINISTRATIV</w:t>
      </w:r>
    </w:p>
    <w:p w14:paraId="471A20BE" w14:textId="77777777" w:rsidR="00223A32" w:rsidRPr="003A3461" w:rsidRDefault="00223A32" w:rsidP="00213449">
      <w:pPr>
        <w:spacing w:after="0" w:line="240" w:lineRule="auto"/>
        <w:jc w:val="center"/>
        <w:rPr>
          <w:rFonts w:ascii="Times New Roman" w:hAnsi="Times New Roman" w:cs="Times New Roman"/>
          <w:b/>
          <w:bCs/>
          <w:sz w:val="24"/>
          <w:szCs w:val="24"/>
          <w:lang w:val="sq-AL"/>
        </w:rPr>
      </w:pPr>
    </w:p>
    <w:p w14:paraId="5067024C" w14:textId="77777777" w:rsidR="00B61E46" w:rsidRPr="003A3461" w:rsidRDefault="00B61E46" w:rsidP="00213449">
      <w:pPr>
        <w:spacing w:after="0" w:line="240" w:lineRule="auto"/>
        <w:jc w:val="both"/>
        <w:rPr>
          <w:rFonts w:ascii="Times New Roman" w:hAnsi="Times New Roman" w:cs="Times New Roman"/>
          <w:b/>
          <w:bCs/>
          <w:sz w:val="24"/>
          <w:szCs w:val="24"/>
          <w:lang w:val="sq-AL"/>
        </w:rPr>
      </w:pPr>
      <w:r w:rsidRPr="003A3461">
        <w:rPr>
          <w:rFonts w:ascii="Times New Roman" w:hAnsi="Times New Roman" w:cs="Times New Roman"/>
          <w:b/>
          <w:bCs/>
          <w:sz w:val="24"/>
          <w:szCs w:val="24"/>
          <w:lang w:val="sq-AL"/>
        </w:rPr>
        <w:t xml:space="preserve">Nr. </w:t>
      </w:r>
      <w:bookmarkStart w:id="0" w:name="_Hlk182812536"/>
      <w:r w:rsidR="00F02D29" w:rsidRPr="003A3461">
        <w:rPr>
          <w:rFonts w:ascii="Times New Roman" w:hAnsi="Times New Roman" w:cs="Times New Roman"/>
          <w:b/>
          <w:bCs/>
          <w:sz w:val="24"/>
          <w:szCs w:val="24"/>
          <w:lang w:val="sq-AL"/>
        </w:rPr>
        <w:t>31003</w:t>
      </w:r>
      <w:r w:rsidRPr="003A3461">
        <w:rPr>
          <w:rFonts w:ascii="Times New Roman" w:hAnsi="Times New Roman" w:cs="Times New Roman"/>
          <w:b/>
          <w:bCs/>
          <w:sz w:val="24"/>
          <w:szCs w:val="24"/>
          <w:lang w:val="sq-AL"/>
        </w:rPr>
        <w:t>-0</w:t>
      </w:r>
      <w:r w:rsidR="002F4099" w:rsidRPr="003A3461">
        <w:rPr>
          <w:rFonts w:ascii="Times New Roman" w:hAnsi="Times New Roman" w:cs="Times New Roman"/>
          <w:b/>
          <w:bCs/>
          <w:sz w:val="24"/>
          <w:szCs w:val="24"/>
          <w:lang w:val="sq-AL"/>
        </w:rPr>
        <w:t>2397</w:t>
      </w:r>
      <w:r w:rsidR="00B53A63" w:rsidRPr="003A3461">
        <w:rPr>
          <w:rFonts w:ascii="Times New Roman" w:hAnsi="Times New Roman" w:cs="Times New Roman"/>
          <w:b/>
          <w:bCs/>
          <w:sz w:val="24"/>
          <w:szCs w:val="24"/>
          <w:lang w:val="sq-AL"/>
        </w:rPr>
        <w:t>-</w:t>
      </w:r>
      <w:r w:rsidRPr="003A3461">
        <w:rPr>
          <w:rFonts w:ascii="Times New Roman" w:hAnsi="Times New Roman" w:cs="Times New Roman"/>
          <w:b/>
          <w:bCs/>
          <w:sz w:val="24"/>
          <w:szCs w:val="24"/>
          <w:lang w:val="sq-AL"/>
        </w:rPr>
        <w:t>00-20</w:t>
      </w:r>
      <w:r w:rsidR="00B00AEE" w:rsidRPr="003A3461">
        <w:rPr>
          <w:rFonts w:ascii="Times New Roman" w:hAnsi="Times New Roman" w:cs="Times New Roman"/>
          <w:b/>
          <w:bCs/>
          <w:sz w:val="24"/>
          <w:szCs w:val="24"/>
          <w:lang w:val="sq-AL"/>
        </w:rPr>
        <w:t>17</w:t>
      </w:r>
      <w:r w:rsidR="00777425" w:rsidRPr="003A3461">
        <w:rPr>
          <w:rFonts w:ascii="Times New Roman" w:hAnsi="Times New Roman" w:cs="Times New Roman"/>
          <w:b/>
          <w:bCs/>
          <w:sz w:val="24"/>
          <w:szCs w:val="24"/>
          <w:lang w:val="sq-AL"/>
        </w:rPr>
        <w:t xml:space="preserve"> </w:t>
      </w:r>
      <w:bookmarkEnd w:id="0"/>
      <w:r w:rsidRPr="003A3461">
        <w:rPr>
          <w:rFonts w:ascii="Times New Roman" w:hAnsi="Times New Roman" w:cs="Times New Roman"/>
          <w:b/>
          <w:bCs/>
          <w:sz w:val="24"/>
          <w:szCs w:val="24"/>
          <w:lang w:val="sq-AL"/>
        </w:rPr>
        <w:t xml:space="preserve">i Regj. Themeltar </w:t>
      </w:r>
    </w:p>
    <w:p w14:paraId="1ACFFF52" w14:textId="6DACFD4B" w:rsidR="00B61E46" w:rsidRPr="003A3461" w:rsidRDefault="00B61E46" w:rsidP="00213449">
      <w:pPr>
        <w:pStyle w:val="Title"/>
        <w:jc w:val="left"/>
        <w:rPr>
          <w:rFonts w:eastAsia="Calibri"/>
          <w:b/>
          <w:bCs/>
          <w:sz w:val="24"/>
          <w:szCs w:val="24"/>
          <w:lang w:val="sq-AL"/>
        </w:rPr>
      </w:pPr>
      <w:r w:rsidRPr="003A3461">
        <w:rPr>
          <w:rFonts w:eastAsia="Calibri"/>
          <w:b/>
          <w:bCs/>
          <w:sz w:val="24"/>
          <w:szCs w:val="24"/>
          <w:lang w:val="sq-AL"/>
        </w:rPr>
        <w:t xml:space="preserve">Nr. </w:t>
      </w:r>
      <w:r w:rsidR="00773308" w:rsidRPr="00773308">
        <w:rPr>
          <w:rFonts w:eastAsia="Calibri"/>
          <w:b/>
          <w:bCs/>
          <w:sz w:val="24"/>
          <w:szCs w:val="24"/>
          <w:lang w:val="sq-AL"/>
        </w:rPr>
        <w:t>00-2024-4428</w:t>
      </w:r>
      <w:r w:rsidR="00773308">
        <w:rPr>
          <w:rFonts w:eastAsia="Calibri"/>
          <w:b/>
          <w:bCs/>
          <w:sz w:val="24"/>
          <w:szCs w:val="24"/>
          <w:lang w:val="sq-AL"/>
        </w:rPr>
        <w:t xml:space="preserve">              </w:t>
      </w:r>
      <w:r w:rsidRPr="003A3461">
        <w:rPr>
          <w:rFonts w:eastAsia="Calibri"/>
          <w:b/>
          <w:bCs/>
          <w:sz w:val="24"/>
          <w:szCs w:val="24"/>
          <w:lang w:val="sq-AL"/>
        </w:rPr>
        <w:t>i Vendimi</w:t>
      </w:r>
      <w:r w:rsidR="00773308">
        <w:rPr>
          <w:rFonts w:eastAsia="Calibri"/>
          <w:b/>
          <w:bCs/>
          <w:sz w:val="24"/>
          <w:szCs w:val="24"/>
          <w:lang w:val="sq-AL"/>
        </w:rPr>
        <w:t>t (468)</w:t>
      </w:r>
    </w:p>
    <w:p w14:paraId="38829ADF" w14:textId="77777777" w:rsidR="00B61E46" w:rsidRPr="003A3461" w:rsidRDefault="00B61E46" w:rsidP="00213449">
      <w:pPr>
        <w:spacing w:after="0" w:line="240" w:lineRule="auto"/>
        <w:jc w:val="both"/>
        <w:rPr>
          <w:rFonts w:ascii="Times New Roman" w:hAnsi="Times New Roman" w:cs="Times New Roman"/>
          <w:b/>
          <w:sz w:val="24"/>
          <w:szCs w:val="24"/>
          <w:lang w:val="sq-AL"/>
        </w:rPr>
      </w:pPr>
    </w:p>
    <w:p w14:paraId="057C2BB1" w14:textId="77777777" w:rsidR="00B61E46" w:rsidRPr="003A3461" w:rsidRDefault="00B61E46" w:rsidP="00213449">
      <w:pPr>
        <w:spacing w:after="0" w:line="240" w:lineRule="auto"/>
        <w:jc w:val="center"/>
        <w:rPr>
          <w:rFonts w:ascii="Times New Roman" w:hAnsi="Times New Roman" w:cs="Times New Roman"/>
          <w:b/>
          <w:sz w:val="24"/>
          <w:szCs w:val="24"/>
          <w:lang w:val="sq-AL"/>
        </w:rPr>
      </w:pPr>
      <w:r w:rsidRPr="003A3461">
        <w:rPr>
          <w:rFonts w:ascii="Times New Roman" w:hAnsi="Times New Roman" w:cs="Times New Roman"/>
          <w:b/>
          <w:sz w:val="24"/>
          <w:szCs w:val="24"/>
          <w:lang w:val="sq-AL"/>
        </w:rPr>
        <w:t>V E N D I M</w:t>
      </w:r>
    </w:p>
    <w:p w14:paraId="07A4CE24" w14:textId="77777777" w:rsidR="00B61E46" w:rsidRPr="003A3461" w:rsidRDefault="00B61E46" w:rsidP="00213449">
      <w:pPr>
        <w:keepNext/>
        <w:spacing w:after="0" w:line="240" w:lineRule="auto"/>
        <w:jc w:val="center"/>
        <w:outlineLvl w:val="4"/>
        <w:rPr>
          <w:rFonts w:ascii="Times New Roman" w:hAnsi="Times New Roman" w:cs="Times New Roman"/>
          <w:b/>
          <w:i/>
          <w:sz w:val="24"/>
          <w:szCs w:val="24"/>
          <w:lang w:val="sq-AL"/>
        </w:rPr>
      </w:pPr>
      <w:r w:rsidRPr="003A3461">
        <w:rPr>
          <w:rFonts w:ascii="Times New Roman" w:hAnsi="Times New Roman" w:cs="Times New Roman"/>
          <w:b/>
          <w:sz w:val="24"/>
          <w:szCs w:val="24"/>
          <w:lang w:val="sq-AL"/>
        </w:rPr>
        <w:t>NË EMËR TË REPUBLIKËS</w:t>
      </w:r>
    </w:p>
    <w:p w14:paraId="5884EE54" w14:textId="77777777" w:rsidR="00B61E46" w:rsidRPr="003A3461" w:rsidRDefault="00B61E46" w:rsidP="0075627B">
      <w:pPr>
        <w:spacing w:after="0" w:line="240" w:lineRule="auto"/>
        <w:jc w:val="center"/>
        <w:rPr>
          <w:rFonts w:ascii="Times New Roman" w:hAnsi="Times New Roman" w:cs="Times New Roman"/>
          <w:b/>
          <w:sz w:val="24"/>
          <w:szCs w:val="24"/>
          <w:lang w:val="sq-AL"/>
        </w:rPr>
      </w:pPr>
    </w:p>
    <w:p w14:paraId="7EB7EFA4" w14:textId="77777777" w:rsidR="00B61E46" w:rsidRPr="003A3461" w:rsidRDefault="00B61E46" w:rsidP="002879A0">
      <w:pPr>
        <w:spacing w:after="0" w:line="240" w:lineRule="auto"/>
        <w:ind w:firstLine="360"/>
        <w:jc w:val="both"/>
        <w:rPr>
          <w:rFonts w:ascii="Times New Roman" w:hAnsi="Times New Roman" w:cs="Times New Roman"/>
          <w:sz w:val="24"/>
          <w:szCs w:val="24"/>
          <w:lang w:val="sq-AL"/>
        </w:rPr>
      </w:pPr>
      <w:r w:rsidRPr="003A3461">
        <w:rPr>
          <w:rFonts w:ascii="Times New Roman" w:hAnsi="Times New Roman" w:cs="Times New Roman"/>
          <w:sz w:val="24"/>
          <w:szCs w:val="24"/>
          <w:lang w:val="sq-AL"/>
        </w:rPr>
        <w:t>Kolegji Administrativ i Gjykatës së Lartë, me trup gjykues të përbërë nga</w:t>
      </w:r>
      <w:r w:rsidR="0030255B" w:rsidRPr="003A3461">
        <w:rPr>
          <w:rFonts w:ascii="Times New Roman" w:hAnsi="Times New Roman" w:cs="Times New Roman"/>
          <w:sz w:val="24"/>
          <w:szCs w:val="24"/>
          <w:lang w:val="sq-AL"/>
        </w:rPr>
        <w:t xml:space="preserve"> gjyqtar</w:t>
      </w:r>
      <w:r w:rsidR="00606979" w:rsidRPr="003A3461">
        <w:rPr>
          <w:rFonts w:ascii="Times New Roman" w:hAnsi="Times New Roman" w:cs="Times New Roman"/>
          <w:sz w:val="24"/>
          <w:szCs w:val="24"/>
          <w:lang w:val="sq-AL"/>
        </w:rPr>
        <w:t>ë</w:t>
      </w:r>
      <w:r w:rsidR="0030255B" w:rsidRPr="003A3461">
        <w:rPr>
          <w:rFonts w:ascii="Times New Roman" w:hAnsi="Times New Roman" w:cs="Times New Roman"/>
          <w:sz w:val="24"/>
          <w:szCs w:val="24"/>
          <w:lang w:val="sq-AL"/>
        </w:rPr>
        <w:t>t</w:t>
      </w:r>
      <w:r w:rsidRPr="003A3461">
        <w:rPr>
          <w:rFonts w:ascii="Times New Roman" w:hAnsi="Times New Roman" w:cs="Times New Roman"/>
          <w:sz w:val="24"/>
          <w:szCs w:val="24"/>
          <w:lang w:val="sq-AL"/>
        </w:rPr>
        <w:t>:</w:t>
      </w:r>
    </w:p>
    <w:p w14:paraId="717172B1" w14:textId="77777777" w:rsidR="00B61E46" w:rsidRPr="003A3461" w:rsidRDefault="00B61E46" w:rsidP="0075627B">
      <w:pPr>
        <w:spacing w:after="0" w:line="240" w:lineRule="auto"/>
        <w:rPr>
          <w:rFonts w:ascii="Times New Roman" w:hAnsi="Times New Roman" w:cs="Times New Roman"/>
          <w:sz w:val="24"/>
          <w:szCs w:val="24"/>
          <w:lang w:val="sq-AL"/>
        </w:rPr>
      </w:pPr>
    </w:p>
    <w:p w14:paraId="2849E3EB" w14:textId="77777777" w:rsidR="00942989" w:rsidRPr="003A3461" w:rsidRDefault="0011116A" w:rsidP="002879A0">
      <w:pPr>
        <w:spacing w:after="0" w:line="240" w:lineRule="auto"/>
        <w:ind w:left="2160" w:firstLine="720"/>
        <w:rPr>
          <w:rFonts w:ascii="Times New Roman" w:hAnsi="Times New Roman" w:cs="Times New Roman"/>
          <w:b/>
          <w:sz w:val="24"/>
          <w:szCs w:val="24"/>
          <w:lang w:val="sq-AL"/>
        </w:rPr>
      </w:pPr>
      <w:r w:rsidRPr="003A3461">
        <w:rPr>
          <w:rFonts w:ascii="Times New Roman" w:hAnsi="Times New Roman" w:cs="Times New Roman"/>
          <w:b/>
          <w:sz w:val="24"/>
          <w:szCs w:val="24"/>
          <w:lang w:val="sq-AL"/>
        </w:rPr>
        <w:t>Asim VOKSHI</w:t>
      </w:r>
      <w:r w:rsidR="00D46036" w:rsidRPr="003A3461">
        <w:rPr>
          <w:rFonts w:ascii="Times New Roman" w:hAnsi="Times New Roman" w:cs="Times New Roman"/>
          <w:b/>
          <w:sz w:val="24"/>
          <w:szCs w:val="24"/>
          <w:lang w:val="sq-AL"/>
        </w:rPr>
        <w:t xml:space="preserve"> </w:t>
      </w:r>
      <w:r w:rsidR="00942989" w:rsidRPr="003A3461">
        <w:rPr>
          <w:rFonts w:ascii="Times New Roman" w:hAnsi="Times New Roman" w:cs="Times New Roman"/>
          <w:b/>
          <w:sz w:val="24"/>
          <w:szCs w:val="24"/>
          <w:lang w:val="sq-AL"/>
        </w:rPr>
        <w:tab/>
      </w:r>
      <w:r w:rsidR="006F535D" w:rsidRPr="003A3461">
        <w:rPr>
          <w:rFonts w:ascii="Times New Roman" w:hAnsi="Times New Roman" w:cs="Times New Roman"/>
          <w:b/>
          <w:sz w:val="24"/>
          <w:szCs w:val="24"/>
          <w:lang w:val="sq-AL"/>
        </w:rPr>
        <w:t xml:space="preserve">- </w:t>
      </w:r>
      <w:r w:rsidR="00942989" w:rsidRPr="003A3461">
        <w:rPr>
          <w:rFonts w:ascii="Times New Roman" w:hAnsi="Times New Roman" w:cs="Times New Roman"/>
          <w:b/>
          <w:sz w:val="24"/>
          <w:szCs w:val="24"/>
          <w:lang w:val="sq-AL"/>
        </w:rPr>
        <w:t>Kryesues</w:t>
      </w:r>
    </w:p>
    <w:p w14:paraId="35B96C56" w14:textId="77777777" w:rsidR="00942989" w:rsidRPr="003A3461" w:rsidRDefault="00702968" w:rsidP="0075627B">
      <w:pPr>
        <w:spacing w:after="0" w:line="240" w:lineRule="auto"/>
        <w:rPr>
          <w:rFonts w:ascii="Times New Roman" w:hAnsi="Times New Roman" w:cs="Times New Roman"/>
          <w:b/>
          <w:sz w:val="24"/>
          <w:szCs w:val="24"/>
          <w:lang w:val="sq-AL"/>
        </w:rPr>
      </w:pPr>
      <w:r w:rsidRPr="003A3461">
        <w:rPr>
          <w:rFonts w:ascii="Times New Roman" w:hAnsi="Times New Roman" w:cs="Times New Roman"/>
          <w:b/>
          <w:sz w:val="24"/>
          <w:szCs w:val="24"/>
          <w:lang w:val="sq-AL"/>
        </w:rPr>
        <w:tab/>
      </w:r>
      <w:r w:rsidRPr="003A3461">
        <w:rPr>
          <w:rFonts w:ascii="Times New Roman" w:hAnsi="Times New Roman" w:cs="Times New Roman"/>
          <w:b/>
          <w:sz w:val="24"/>
          <w:szCs w:val="24"/>
          <w:lang w:val="sq-AL"/>
        </w:rPr>
        <w:tab/>
      </w:r>
      <w:r w:rsidRPr="003A3461">
        <w:rPr>
          <w:rFonts w:ascii="Times New Roman" w:hAnsi="Times New Roman" w:cs="Times New Roman"/>
          <w:b/>
          <w:sz w:val="24"/>
          <w:szCs w:val="24"/>
          <w:lang w:val="sq-AL"/>
        </w:rPr>
        <w:tab/>
      </w:r>
      <w:r w:rsidR="00B205E3" w:rsidRPr="003A3461">
        <w:rPr>
          <w:rFonts w:ascii="Times New Roman" w:hAnsi="Times New Roman" w:cs="Times New Roman"/>
          <w:b/>
          <w:sz w:val="24"/>
          <w:szCs w:val="24"/>
          <w:lang w:val="sq-AL"/>
        </w:rPr>
        <w:tab/>
      </w:r>
      <w:r w:rsidR="0011116A" w:rsidRPr="003A3461">
        <w:rPr>
          <w:rFonts w:ascii="Times New Roman" w:hAnsi="Times New Roman" w:cs="Times New Roman"/>
          <w:b/>
          <w:sz w:val="24"/>
          <w:szCs w:val="24"/>
          <w:lang w:val="sq-AL"/>
        </w:rPr>
        <w:t>Arbena AHMETI</w:t>
      </w:r>
      <w:r w:rsidR="006F535D" w:rsidRPr="003A3461">
        <w:rPr>
          <w:rFonts w:ascii="Times New Roman" w:hAnsi="Times New Roman" w:cs="Times New Roman"/>
          <w:b/>
          <w:sz w:val="24"/>
          <w:szCs w:val="24"/>
          <w:lang w:val="sq-AL"/>
        </w:rPr>
        <w:tab/>
      </w:r>
      <w:r w:rsidR="00942989" w:rsidRPr="003A3461">
        <w:rPr>
          <w:rFonts w:ascii="Times New Roman" w:hAnsi="Times New Roman" w:cs="Times New Roman"/>
          <w:b/>
          <w:sz w:val="24"/>
          <w:szCs w:val="24"/>
          <w:lang w:val="sq-AL"/>
        </w:rPr>
        <w:t>-</w:t>
      </w:r>
      <w:r w:rsidR="00CB1150" w:rsidRPr="003A3461">
        <w:rPr>
          <w:rFonts w:ascii="Times New Roman" w:hAnsi="Times New Roman" w:cs="Times New Roman"/>
          <w:b/>
          <w:sz w:val="24"/>
          <w:szCs w:val="24"/>
          <w:lang w:val="sq-AL"/>
        </w:rPr>
        <w:t xml:space="preserve"> </w:t>
      </w:r>
      <w:r w:rsidR="00942989" w:rsidRPr="003A3461">
        <w:rPr>
          <w:rFonts w:ascii="Times New Roman" w:hAnsi="Times New Roman" w:cs="Times New Roman"/>
          <w:b/>
          <w:sz w:val="24"/>
          <w:szCs w:val="24"/>
          <w:lang w:val="sq-AL"/>
        </w:rPr>
        <w:t>Anëtar</w:t>
      </w:r>
      <w:r w:rsidR="0011116A" w:rsidRPr="003A3461">
        <w:rPr>
          <w:rFonts w:ascii="Times New Roman" w:hAnsi="Times New Roman" w:cs="Times New Roman"/>
          <w:b/>
          <w:sz w:val="24"/>
          <w:szCs w:val="24"/>
          <w:lang w:val="sq-AL"/>
        </w:rPr>
        <w:t>e</w:t>
      </w:r>
    </w:p>
    <w:p w14:paraId="257E0166" w14:textId="77777777" w:rsidR="00942989" w:rsidRPr="003A3461" w:rsidRDefault="002F4099" w:rsidP="002879A0">
      <w:pPr>
        <w:spacing w:after="0" w:line="240" w:lineRule="auto"/>
        <w:ind w:left="2160" w:firstLine="720"/>
        <w:jc w:val="both"/>
        <w:rPr>
          <w:rFonts w:ascii="Times New Roman" w:hAnsi="Times New Roman" w:cs="Times New Roman"/>
          <w:b/>
          <w:sz w:val="24"/>
          <w:szCs w:val="24"/>
          <w:lang w:val="sq-AL"/>
        </w:rPr>
      </w:pPr>
      <w:r w:rsidRPr="003A3461">
        <w:rPr>
          <w:rFonts w:ascii="Times New Roman" w:hAnsi="Times New Roman" w:cs="Times New Roman"/>
          <w:b/>
          <w:sz w:val="24"/>
          <w:szCs w:val="24"/>
          <w:lang w:val="sq-AL"/>
        </w:rPr>
        <w:t>Gentian MEDJA</w:t>
      </w:r>
      <w:r w:rsidR="0075627B" w:rsidRPr="003A3461">
        <w:rPr>
          <w:rFonts w:ascii="Times New Roman" w:hAnsi="Times New Roman" w:cs="Times New Roman"/>
          <w:b/>
          <w:sz w:val="24"/>
          <w:szCs w:val="24"/>
          <w:lang w:val="sq-AL"/>
        </w:rPr>
        <w:tab/>
      </w:r>
      <w:r w:rsidR="00942989" w:rsidRPr="003A3461">
        <w:rPr>
          <w:rFonts w:ascii="Times New Roman" w:hAnsi="Times New Roman" w:cs="Times New Roman"/>
          <w:b/>
          <w:sz w:val="24"/>
          <w:szCs w:val="24"/>
          <w:lang w:val="sq-AL"/>
        </w:rPr>
        <w:t>-</w:t>
      </w:r>
      <w:r w:rsidR="00CB1150" w:rsidRPr="003A3461">
        <w:rPr>
          <w:rFonts w:ascii="Times New Roman" w:hAnsi="Times New Roman" w:cs="Times New Roman"/>
          <w:b/>
          <w:sz w:val="24"/>
          <w:szCs w:val="24"/>
          <w:lang w:val="sq-AL"/>
        </w:rPr>
        <w:t xml:space="preserve"> </w:t>
      </w:r>
      <w:r w:rsidR="00942989" w:rsidRPr="003A3461">
        <w:rPr>
          <w:rFonts w:ascii="Times New Roman" w:hAnsi="Times New Roman" w:cs="Times New Roman"/>
          <w:b/>
          <w:sz w:val="24"/>
          <w:szCs w:val="24"/>
          <w:lang w:val="sq-AL"/>
        </w:rPr>
        <w:t>Anëtar</w:t>
      </w:r>
    </w:p>
    <w:p w14:paraId="6E087DF1" w14:textId="77777777" w:rsidR="00B61E46" w:rsidRPr="003A3461" w:rsidRDefault="00B61E46" w:rsidP="0075627B">
      <w:pPr>
        <w:spacing w:after="0" w:line="240" w:lineRule="auto"/>
        <w:jc w:val="both"/>
        <w:rPr>
          <w:rFonts w:ascii="Times New Roman" w:hAnsi="Times New Roman" w:cs="Times New Roman"/>
          <w:sz w:val="24"/>
          <w:szCs w:val="24"/>
          <w:lang w:val="sq-AL"/>
        </w:rPr>
      </w:pPr>
    </w:p>
    <w:p w14:paraId="56D4893A" w14:textId="55FEC107" w:rsidR="007E435E" w:rsidRPr="003A3461" w:rsidRDefault="00EF58A8" w:rsidP="0075627B">
      <w:pPr>
        <w:spacing w:after="0" w:line="240" w:lineRule="auto"/>
        <w:ind w:firstLine="360"/>
        <w:jc w:val="both"/>
        <w:rPr>
          <w:rFonts w:ascii="Times New Roman" w:hAnsi="Times New Roman" w:cs="Times New Roman"/>
          <w:sz w:val="24"/>
          <w:szCs w:val="24"/>
          <w:lang w:val="sq-AL"/>
        </w:rPr>
      </w:pPr>
      <w:bookmarkStart w:id="1" w:name="_Hlk90977843"/>
      <w:r>
        <w:rPr>
          <w:rFonts w:ascii="Times New Roman" w:hAnsi="Times New Roman" w:cs="Times New Roman"/>
          <w:sz w:val="24"/>
          <w:szCs w:val="24"/>
          <w:lang w:val="sq-AL"/>
        </w:rPr>
        <w:t>s</w:t>
      </w:r>
      <w:r w:rsidR="00DB644A" w:rsidRPr="003A3461">
        <w:rPr>
          <w:rFonts w:ascii="Times New Roman" w:hAnsi="Times New Roman" w:cs="Times New Roman"/>
          <w:sz w:val="24"/>
          <w:szCs w:val="24"/>
          <w:lang w:val="sq-AL"/>
        </w:rPr>
        <w:t>ot</w:t>
      </w:r>
      <w:r>
        <w:rPr>
          <w:rFonts w:ascii="Times New Roman" w:hAnsi="Times New Roman" w:cs="Times New Roman"/>
          <w:sz w:val="24"/>
          <w:szCs w:val="24"/>
          <w:lang w:val="sq-AL"/>
        </w:rPr>
        <w:t>,</w:t>
      </w:r>
      <w:r w:rsidR="00DB644A" w:rsidRPr="003A3461">
        <w:rPr>
          <w:rFonts w:ascii="Times New Roman" w:hAnsi="Times New Roman" w:cs="Times New Roman"/>
          <w:sz w:val="24"/>
          <w:szCs w:val="24"/>
          <w:lang w:val="sq-AL"/>
        </w:rPr>
        <w:t xml:space="preserve"> </w:t>
      </w:r>
      <w:r w:rsidR="00B61E46" w:rsidRPr="003A3461">
        <w:rPr>
          <w:rFonts w:ascii="Times New Roman" w:hAnsi="Times New Roman" w:cs="Times New Roman"/>
          <w:sz w:val="24"/>
          <w:szCs w:val="24"/>
          <w:lang w:val="sq-AL"/>
        </w:rPr>
        <w:t xml:space="preserve">më datën </w:t>
      </w:r>
      <w:r w:rsidR="002F4099" w:rsidRPr="003A3461">
        <w:rPr>
          <w:rFonts w:ascii="Times New Roman" w:hAnsi="Times New Roman" w:cs="Times New Roman"/>
          <w:sz w:val="24"/>
          <w:szCs w:val="24"/>
          <w:lang w:val="sq-AL"/>
        </w:rPr>
        <w:t>07.11</w:t>
      </w:r>
      <w:r w:rsidR="0083272C" w:rsidRPr="003A3461">
        <w:rPr>
          <w:rFonts w:ascii="Times New Roman" w:hAnsi="Times New Roman" w:cs="Times New Roman"/>
          <w:sz w:val="24"/>
          <w:szCs w:val="24"/>
          <w:lang w:val="sq-AL"/>
        </w:rPr>
        <w:t>.2024</w:t>
      </w:r>
      <w:r>
        <w:rPr>
          <w:rFonts w:ascii="Times New Roman" w:hAnsi="Times New Roman" w:cs="Times New Roman"/>
          <w:sz w:val="24"/>
          <w:szCs w:val="24"/>
          <w:lang w:val="sq-AL"/>
        </w:rPr>
        <w:t>,</w:t>
      </w:r>
      <w:r w:rsidR="00B61E46" w:rsidRPr="003A3461">
        <w:rPr>
          <w:rFonts w:ascii="Times New Roman" w:hAnsi="Times New Roman" w:cs="Times New Roman"/>
          <w:bCs/>
          <w:sz w:val="24"/>
          <w:szCs w:val="24"/>
          <w:lang w:val="sq-AL"/>
        </w:rPr>
        <w:t xml:space="preserve"> </w:t>
      </w:r>
      <w:r w:rsidR="00B61E46" w:rsidRPr="003A3461">
        <w:rPr>
          <w:rFonts w:ascii="Times New Roman" w:hAnsi="Times New Roman" w:cs="Times New Roman"/>
          <w:sz w:val="24"/>
          <w:szCs w:val="24"/>
          <w:lang w:val="sq-AL"/>
        </w:rPr>
        <w:t xml:space="preserve">mori në shqyrtim në dhomë këshillimi, çështjen administrative me </w:t>
      </w:r>
      <w:r w:rsidR="00B61E46" w:rsidRPr="003A3461">
        <w:rPr>
          <w:rFonts w:ascii="Times New Roman" w:hAnsi="Times New Roman" w:cs="Times New Roman"/>
          <w:bCs/>
          <w:sz w:val="24"/>
          <w:szCs w:val="24"/>
          <w:lang w:val="sq-AL"/>
        </w:rPr>
        <w:t xml:space="preserve">nr. </w:t>
      </w:r>
      <w:r w:rsidR="002F4099" w:rsidRPr="003A3461">
        <w:rPr>
          <w:rFonts w:ascii="Times New Roman" w:hAnsi="Times New Roman" w:cs="Times New Roman"/>
          <w:bCs/>
          <w:sz w:val="24"/>
          <w:szCs w:val="24"/>
          <w:lang w:val="sq-AL"/>
        </w:rPr>
        <w:t>31003-02397-00-2017</w:t>
      </w:r>
      <w:r w:rsidR="002F4099" w:rsidRPr="003A3461">
        <w:rPr>
          <w:rFonts w:ascii="Times New Roman" w:hAnsi="Times New Roman" w:cs="Times New Roman"/>
          <w:b/>
          <w:bCs/>
          <w:sz w:val="24"/>
          <w:szCs w:val="24"/>
          <w:lang w:val="sq-AL"/>
        </w:rPr>
        <w:t xml:space="preserve"> </w:t>
      </w:r>
      <w:r w:rsidR="00B61E46" w:rsidRPr="003A3461">
        <w:rPr>
          <w:rFonts w:ascii="Times New Roman" w:hAnsi="Times New Roman" w:cs="Times New Roman"/>
          <w:sz w:val="24"/>
          <w:szCs w:val="24"/>
          <w:lang w:val="sq-AL"/>
        </w:rPr>
        <w:t>akti</w:t>
      </w:r>
      <w:r>
        <w:rPr>
          <w:rFonts w:ascii="Times New Roman" w:hAnsi="Times New Roman" w:cs="Times New Roman"/>
          <w:sz w:val="24"/>
          <w:szCs w:val="24"/>
          <w:lang w:val="sq-AL"/>
        </w:rPr>
        <w:t>,</w:t>
      </w:r>
      <w:r w:rsidR="00B61E46" w:rsidRPr="003A3461">
        <w:rPr>
          <w:rFonts w:ascii="Times New Roman" w:hAnsi="Times New Roman" w:cs="Times New Roman"/>
          <w:sz w:val="24"/>
          <w:szCs w:val="24"/>
          <w:lang w:val="sq-AL"/>
        </w:rPr>
        <w:t xml:space="preserve"> që i përket:</w:t>
      </w:r>
      <w:bookmarkEnd w:id="1"/>
    </w:p>
    <w:p w14:paraId="32A14785" w14:textId="77777777" w:rsidR="002F4099" w:rsidRPr="003A3461" w:rsidRDefault="002F4099" w:rsidP="0075627B">
      <w:pPr>
        <w:spacing w:after="0" w:line="240" w:lineRule="auto"/>
        <w:ind w:firstLine="360"/>
        <w:jc w:val="both"/>
        <w:rPr>
          <w:rFonts w:ascii="Times New Roman" w:hAnsi="Times New Roman" w:cs="Times New Roman"/>
          <w:sz w:val="24"/>
          <w:szCs w:val="24"/>
          <w:lang w:val="sq-AL"/>
        </w:rPr>
      </w:pPr>
    </w:p>
    <w:p w14:paraId="70417DCC" w14:textId="77777777" w:rsidR="002F4099" w:rsidRPr="003A3461" w:rsidRDefault="002F4099" w:rsidP="002F4099">
      <w:pPr>
        <w:spacing w:after="0" w:line="240" w:lineRule="auto"/>
        <w:ind w:left="3600" w:hanging="3600"/>
        <w:jc w:val="both"/>
        <w:rPr>
          <w:rFonts w:ascii="Times New Roman" w:eastAsia="Times New Roman" w:hAnsi="Times New Roman" w:cs="Times New Roman"/>
          <w:sz w:val="24"/>
          <w:szCs w:val="24"/>
          <w:lang w:val="sq-AL"/>
        </w:rPr>
      </w:pPr>
      <w:bookmarkStart w:id="2" w:name="_Hlk182812562"/>
      <w:r w:rsidRPr="003A3461">
        <w:rPr>
          <w:rFonts w:ascii="Times New Roman" w:eastAsia="Times New Roman" w:hAnsi="Times New Roman" w:cs="Times New Roman"/>
          <w:b/>
          <w:sz w:val="24"/>
          <w:szCs w:val="24"/>
          <w:lang w:val="sq-AL"/>
        </w:rPr>
        <w:t>KËRKUES:</w:t>
      </w:r>
      <w:r w:rsidRPr="003A3461">
        <w:rPr>
          <w:rFonts w:ascii="Times New Roman" w:eastAsia="Times New Roman" w:hAnsi="Times New Roman" w:cs="Times New Roman"/>
          <w:sz w:val="24"/>
          <w:szCs w:val="24"/>
          <w:lang w:val="sq-AL"/>
        </w:rPr>
        <w:tab/>
        <w:t>Bashkimi i Operatorëve Ekonomike (BOE) “C</w:t>
      </w:r>
      <w:r w:rsidR="003756FC" w:rsidRPr="003A3461">
        <w:rPr>
          <w:rFonts w:ascii="Times New Roman" w:eastAsia="Times New Roman" w:hAnsi="Times New Roman" w:cs="Times New Roman"/>
          <w:sz w:val="24"/>
          <w:szCs w:val="24"/>
          <w:lang w:val="sq-AL"/>
        </w:rPr>
        <w:t>urri” SHPK dhe “Geci</w:t>
      </w:r>
      <w:r w:rsidRPr="003A3461">
        <w:rPr>
          <w:rFonts w:ascii="Times New Roman" w:eastAsia="Times New Roman" w:hAnsi="Times New Roman" w:cs="Times New Roman"/>
          <w:sz w:val="24"/>
          <w:szCs w:val="24"/>
          <w:lang w:val="sq-AL"/>
        </w:rPr>
        <w:t xml:space="preserve">” SHPK </w:t>
      </w:r>
    </w:p>
    <w:p w14:paraId="1B83FC10" w14:textId="77777777" w:rsidR="002F4099" w:rsidRPr="003A3461" w:rsidRDefault="002F4099" w:rsidP="002F4099">
      <w:pPr>
        <w:spacing w:after="0" w:line="240" w:lineRule="auto"/>
        <w:jc w:val="both"/>
        <w:rPr>
          <w:rFonts w:ascii="Times New Roman" w:hAnsi="Times New Roman" w:cs="Times New Roman"/>
          <w:sz w:val="24"/>
          <w:szCs w:val="24"/>
          <w:lang w:val="sq-AL"/>
        </w:rPr>
      </w:pPr>
    </w:p>
    <w:p w14:paraId="3169BC84" w14:textId="77777777" w:rsidR="002F4099" w:rsidRPr="003A3461" w:rsidRDefault="002F4099" w:rsidP="002F4099">
      <w:pPr>
        <w:spacing w:after="0" w:line="240" w:lineRule="auto"/>
        <w:jc w:val="both"/>
        <w:rPr>
          <w:rFonts w:ascii="Times New Roman" w:eastAsia="Times New Roman" w:hAnsi="Times New Roman" w:cs="Times New Roman"/>
          <w:sz w:val="24"/>
          <w:szCs w:val="24"/>
          <w:lang w:val="sq-AL"/>
        </w:rPr>
      </w:pPr>
      <w:r w:rsidRPr="003A3461">
        <w:rPr>
          <w:rFonts w:ascii="Times New Roman" w:eastAsia="Times New Roman" w:hAnsi="Times New Roman" w:cs="Times New Roman"/>
          <w:b/>
          <w:sz w:val="24"/>
          <w:szCs w:val="24"/>
          <w:lang w:val="sq-AL"/>
        </w:rPr>
        <w:t>PERSONA TË TRETË:</w:t>
      </w:r>
      <w:r w:rsidRPr="003A3461">
        <w:rPr>
          <w:rFonts w:ascii="Times New Roman" w:eastAsia="Times New Roman" w:hAnsi="Times New Roman" w:cs="Times New Roman"/>
          <w:sz w:val="24"/>
          <w:szCs w:val="24"/>
          <w:lang w:val="sq-AL"/>
        </w:rPr>
        <w:tab/>
      </w:r>
      <w:r w:rsidRPr="003A3461">
        <w:rPr>
          <w:rFonts w:ascii="Times New Roman" w:eastAsia="Times New Roman" w:hAnsi="Times New Roman" w:cs="Times New Roman"/>
          <w:sz w:val="24"/>
          <w:szCs w:val="24"/>
          <w:lang w:val="sq-AL"/>
        </w:rPr>
        <w:tab/>
        <w:t>Komisioni i Prokurimit Publik</w:t>
      </w:r>
    </w:p>
    <w:p w14:paraId="4071F177" w14:textId="77777777" w:rsidR="002F4099" w:rsidRPr="003A3461" w:rsidRDefault="002F4099" w:rsidP="002F4099">
      <w:pPr>
        <w:spacing w:after="0" w:line="240" w:lineRule="auto"/>
        <w:ind w:left="2880" w:firstLine="720"/>
        <w:jc w:val="both"/>
        <w:rPr>
          <w:rFonts w:ascii="Times New Roman" w:eastAsia="Times New Roman" w:hAnsi="Times New Roman" w:cs="Times New Roman"/>
          <w:sz w:val="24"/>
          <w:szCs w:val="24"/>
          <w:lang w:val="sq-AL"/>
        </w:rPr>
      </w:pPr>
      <w:r w:rsidRPr="003A3461">
        <w:rPr>
          <w:rFonts w:ascii="Times New Roman" w:eastAsia="Times New Roman" w:hAnsi="Times New Roman" w:cs="Times New Roman"/>
          <w:sz w:val="24"/>
          <w:szCs w:val="24"/>
          <w:lang w:val="sq-AL"/>
        </w:rPr>
        <w:t>Fondi Shqiptar i Zhvillimit</w:t>
      </w:r>
    </w:p>
    <w:p w14:paraId="6E493014" w14:textId="77777777" w:rsidR="002F4099" w:rsidRPr="003A3461" w:rsidRDefault="002F4099" w:rsidP="002F4099">
      <w:pPr>
        <w:spacing w:after="0" w:line="240" w:lineRule="auto"/>
        <w:ind w:left="3600"/>
        <w:jc w:val="both"/>
        <w:rPr>
          <w:rFonts w:ascii="Times New Roman" w:eastAsia="Times New Roman" w:hAnsi="Times New Roman" w:cs="Times New Roman"/>
          <w:sz w:val="24"/>
          <w:szCs w:val="24"/>
          <w:lang w:val="sq-AL"/>
        </w:rPr>
      </w:pPr>
      <w:r w:rsidRPr="003A3461">
        <w:rPr>
          <w:rFonts w:ascii="Times New Roman" w:eastAsia="Times New Roman" w:hAnsi="Times New Roman" w:cs="Times New Roman"/>
          <w:sz w:val="24"/>
          <w:szCs w:val="24"/>
          <w:lang w:val="sq-AL"/>
        </w:rPr>
        <w:t>Bashkimi i Operatoreve Ekonomikë, Shoqëria “PE- VLA-KU”, Shoqëria “Gjikuria”, Shoqëria “Garden Line”.</w:t>
      </w:r>
    </w:p>
    <w:p w14:paraId="08C664E8" w14:textId="77777777" w:rsidR="002F4099" w:rsidRPr="003A3461" w:rsidRDefault="002F4099" w:rsidP="002F4099">
      <w:pPr>
        <w:spacing w:after="0" w:line="240" w:lineRule="auto"/>
        <w:jc w:val="both"/>
        <w:rPr>
          <w:rFonts w:ascii="Times New Roman" w:hAnsi="Times New Roman" w:cs="Times New Roman"/>
          <w:sz w:val="24"/>
          <w:szCs w:val="24"/>
          <w:lang w:val="sq-AL"/>
        </w:rPr>
      </w:pPr>
      <w:r w:rsidRPr="003A3461">
        <w:rPr>
          <w:rFonts w:ascii="Times New Roman" w:hAnsi="Times New Roman" w:cs="Times New Roman"/>
          <w:sz w:val="24"/>
          <w:szCs w:val="24"/>
          <w:lang w:val="sq-AL"/>
        </w:rPr>
        <w:tab/>
      </w:r>
    </w:p>
    <w:p w14:paraId="3E19D2A7" w14:textId="77777777" w:rsidR="002F4099" w:rsidRPr="003A3461" w:rsidRDefault="002F4099" w:rsidP="002F4099">
      <w:pPr>
        <w:spacing w:after="0" w:line="240" w:lineRule="auto"/>
        <w:ind w:left="3600" w:hanging="3600"/>
        <w:jc w:val="both"/>
        <w:rPr>
          <w:rFonts w:ascii="Times New Roman" w:eastAsia="Times New Roman" w:hAnsi="Times New Roman" w:cs="Times New Roman"/>
          <w:sz w:val="24"/>
          <w:szCs w:val="24"/>
          <w:lang w:val="sq-AL"/>
        </w:rPr>
      </w:pPr>
      <w:r w:rsidRPr="003A3461">
        <w:rPr>
          <w:rFonts w:ascii="Times New Roman" w:eastAsia="Times New Roman" w:hAnsi="Times New Roman" w:cs="Times New Roman"/>
          <w:b/>
          <w:sz w:val="24"/>
          <w:szCs w:val="24"/>
          <w:lang w:val="sq-AL"/>
        </w:rPr>
        <w:t>OBJEKTI:</w:t>
      </w:r>
      <w:r w:rsidRPr="003A3461">
        <w:rPr>
          <w:rFonts w:ascii="Times New Roman" w:eastAsia="Times New Roman" w:hAnsi="Times New Roman" w:cs="Times New Roman"/>
          <w:b/>
          <w:sz w:val="24"/>
          <w:szCs w:val="24"/>
          <w:lang w:val="sq-AL"/>
        </w:rPr>
        <w:tab/>
      </w:r>
      <w:r w:rsidRPr="003A3461">
        <w:rPr>
          <w:rFonts w:ascii="Times New Roman" w:eastAsia="Times New Roman" w:hAnsi="Times New Roman" w:cs="Times New Roman"/>
          <w:sz w:val="24"/>
          <w:szCs w:val="24"/>
          <w:lang w:val="sq-AL"/>
        </w:rPr>
        <w:t>Rivendosje në afat të ankimit të Vendimit nr. 5220 datë 08.11.2016 të Gjykatës Administrative të Shkallës së Parë Tiranë.</w:t>
      </w:r>
    </w:p>
    <w:p w14:paraId="7FB3173F" w14:textId="77777777" w:rsidR="002F4099" w:rsidRPr="003A3461" w:rsidRDefault="002F4099" w:rsidP="002F4099">
      <w:pPr>
        <w:spacing w:after="0" w:line="240" w:lineRule="auto"/>
        <w:jc w:val="both"/>
        <w:rPr>
          <w:rFonts w:ascii="Times New Roman" w:hAnsi="Times New Roman" w:cs="Times New Roman"/>
          <w:sz w:val="24"/>
          <w:szCs w:val="24"/>
          <w:lang w:val="sq-AL"/>
        </w:rPr>
      </w:pPr>
      <w:r w:rsidRPr="003A3461">
        <w:rPr>
          <w:rFonts w:ascii="Times New Roman" w:hAnsi="Times New Roman" w:cs="Times New Roman"/>
          <w:sz w:val="24"/>
          <w:szCs w:val="24"/>
          <w:lang w:val="sq-AL"/>
        </w:rPr>
        <w:tab/>
      </w:r>
      <w:r w:rsidRPr="003A3461">
        <w:rPr>
          <w:rFonts w:ascii="Times New Roman" w:hAnsi="Times New Roman" w:cs="Times New Roman"/>
          <w:sz w:val="24"/>
          <w:szCs w:val="24"/>
          <w:lang w:val="sq-AL"/>
        </w:rPr>
        <w:tab/>
      </w:r>
    </w:p>
    <w:p w14:paraId="148FD023" w14:textId="77777777" w:rsidR="002F4099" w:rsidRPr="003A3461" w:rsidRDefault="002F4099" w:rsidP="002F4099">
      <w:pPr>
        <w:spacing w:after="0" w:line="240" w:lineRule="auto"/>
        <w:ind w:left="3600" w:hanging="3600"/>
        <w:jc w:val="both"/>
        <w:rPr>
          <w:rFonts w:ascii="Times New Roman" w:eastAsia="Times New Roman" w:hAnsi="Times New Roman" w:cs="Times New Roman"/>
          <w:sz w:val="24"/>
          <w:szCs w:val="24"/>
          <w:lang w:val="sq-AL"/>
        </w:rPr>
      </w:pPr>
      <w:r w:rsidRPr="003A3461">
        <w:rPr>
          <w:rFonts w:ascii="Times New Roman" w:eastAsia="Times New Roman" w:hAnsi="Times New Roman" w:cs="Times New Roman"/>
          <w:b/>
          <w:sz w:val="24"/>
          <w:szCs w:val="24"/>
          <w:lang w:val="sq-AL"/>
        </w:rPr>
        <w:t>BAZA LIGJORE:</w:t>
      </w:r>
      <w:r w:rsidRPr="003A3461">
        <w:rPr>
          <w:rFonts w:ascii="Times New Roman" w:eastAsia="Times New Roman" w:hAnsi="Times New Roman" w:cs="Times New Roman"/>
          <w:b/>
          <w:sz w:val="24"/>
          <w:szCs w:val="24"/>
          <w:lang w:val="sq-AL"/>
        </w:rPr>
        <w:tab/>
      </w:r>
      <w:r w:rsidRPr="003A3461">
        <w:rPr>
          <w:rFonts w:ascii="Times New Roman" w:eastAsia="Times New Roman" w:hAnsi="Times New Roman" w:cs="Times New Roman"/>
          <w:sz w:val="24"/>
          <w:szCs w:val="24"/>
          <w:lang w:val="sq-AL"/>
        </w:rPr>
        <w:t xml:space="preserve">Ligjit Nr. 49/2012 “Për Organizimin dhe Funksionimin e Gjykatave Administrative dhe Gjykimin e Mosmarrëveshjeve Administrative”, Nenet 151, 152 të Kodi i Procedurës Administrative. </w:t>
      </w:r>
    </w:p>
    <w:p w14:paraId="6C30991E" w14:textId="77777777" w:rsidR="00F02E92" w:rsidRDefault="00F02E92">
      <w:pPr>
        <w:spacing w:after="0" w:line="240" w:lineRule="auto"/>
        <w:jc w:val="center"/>
        <w:rPr>
          <w:rFonts w:ascii="Times New Roman" w:eastAsia="Times New Roman" w:hAnsi="Times New Roman" w:cs="Times New Roman"/>
          <w:sz w:val="24"/>
          <w:szCs w:val="24"/>
          <w:lang w:val="sq-AL"/>
        </w:rPr>
      </w:pPr>
    </w:p>
    <w:bookmarkEnd w:id="2"/>
    <w:p w14:paraId="1F6EFBE7" w14:textId="77777777" w:rsidR="00F02E92" w:rsidRDefault="004E19E0">
      <w:pPr>
        <w:spacing w:after="0" w:line="240" w:lineRule="auto"/>
        <w:jc w:val="center"/>
        <w:rPr>
          <w:rFonts w:ascii="Times New Roman" w:eastAsia="Times New Roman" w:hAnsi="Times New Roman" w:cs="Times New Roman"/>
          <w:b/>
          <w:sz w:val="24"/>
          <w:szCs w:val="24"/>
          <w:lang w:val="sq-AL"/>
        </w:rPr>
      </w:pPr>
      <w:r w:rsidRPr="004E19E0">
        <w:rPr>
          <w:rFonts w:ascii="Times New Roman" w:eastAsia="Times New Roman" w:hAnsi="Times New Roman" w:cs="Times New Roman"/>
          <w:b/>
          <w:sz w:val="24"/>
          <w:szCs w:val="24"/>
          <w:lang w:val="sq-AL"/>
        </w:rPr>
        <w:t>KOLEGJI ADMINISTRATIV I GJYKATËS SË LARTË</w:t>
      </w:r>
    </w:p>
    <w:p w14:paraId="7FC284E3" w14:textId="77777777" w:rsidR="00F02E92" w:rsidRDefault="00F02E92">
      <w:pPr>
        <w:spacing w:after="0" w:line="240" w:lineRule="auto"/>
        <w:jc w:val="center"/>
        <w:rPr>
          <w:rFonts w:ascii="Times New Roman" w:eastAsia="Times New Roman" w:hAnsi="Times New Roman" w:cs="Times New Roman"/>
          <w:b/>
          <w:sz w:val="24"/>
          <w:szCs w:val="24"/>
          <w:lang w:val="sq-AL"/>
        </w:rPr>
      </w:pPr>
    </w:p>
    <w:p w14:paraId="6470EC9A" w14:textId="77777777" w:rsidR="00F02E92" w:rsidRDefault="004E19E0">
      <w:pPr>
        <w:tabs>
          <w:tab w:val="left" w:pos="450"/>
        </w:tabs>
        <w:spacing w:after="0" w:line="240" w:lineRule="auto"/>
        <w:ind w:firstLine="360"/>
        <w:jc w:val="both"/>
        <w:rPr>
          <w:rFonts w:ascii="Times New Roman" w:hAnsi="Times New Roman"/>
          <w:sz w:val="24"/>
          <w:szCs w:val="24"/>
          <w:lang w:val="sq-AL"/>
        </w:rPr>
      </w:pPr>
      <w:r>
        <w:rPr>
          <w:rFonts w:ascii="Times New Roman" w:hAnsi="Times New Roman"/>
          <w:sz w:val="24"/>
          <w:szCs w:val="24"/>
          <w:lang w:val="sq-AL"/>
        </w:rPr>
        <w:t>pasi dëgjoi relatimin e paraqitur nga gjyqtari Asim Vokshi dhe diskutoi në dhomë këshillimi çështjen në tërësi,</w:t>
      </w:r>
    </w:p>
    <w:p w14:paraId="5B31BEC3" w14:textId="63F9AF79" w:rsidR="00F02E92" w:rsidRDefault="00F02E92">
      <w:pPr>
        <w:tabs>
          <w:tab w:val="left" w:pos="450"/>
        </w:tabs>
        <w:spacing w:after="0" w:line="240" w:lineRule="auto"/>
        <w:ind w:firstLine="360"/>
        <w:jc w:val="both"/>
        <w:rPr>
          <w:rFonts w:ascii="Times New Roman" w:eastAsia="Times New Roman" w:hAnsi="Times New Roman" w:cs="Times New Roman"/>
          <w:sz w:val="24"/>
          <w:szCs w:val="24"/>
          <w:lang w:val="sq-AL"/>
        </w:rPr>
      </w:pPr>
    </w:p>
    <w:p w14:paraId="7CCDA4BF" w14:textId="783633E3" w:rsidR="00EF58A8" w:rsidRDefault="00EF58A8">
      <w:pPr>
        <w:tabs>
          <w:tab w:val="left" w:pos="450"/>
        </w:tabs>
        <w:spacing w:after="0" w:line="240" w:lineRule="auto"/>
        <w:ind w:firstLine="360"/>
        <w:jc w:val="both"/>
        <w:rPr>
          <w:rFonts w:ascii="Times New Roman" w:eastAsia="Times New Roman" w:hAnsi="Times New Roman" w:cs="Times New Roman"/>
          <w:sz w:val="24"/>
          <w:szCs w:val="24"/>
          <w:lang w:val="sq-AL"/>
        </w:rPr>
      </w:pPr>
    </w:p>
    <w:p w14:paraId="52717916" w14:textId="663F10F0" w:rsidR="00EF58A8" w:rsidRDefault="00EF58A8">
      <w:pPr>
        <w:tabs>
          <w:tab w:val="left" w:pos="450"/>
        </w:tabs>
        <w:spacing w:after="0" w:line="240" w:lineRule="auto"/>
        <w:ind w:firstLine="360"/>
        <w:jc w:val="both"/>
        <w:rPr>
          <w:rFonts w:ascii="Times New Roman" w:eastAsia="Times New Roman" w:hAnsi="Times New Roman" w:cs="Times New Roman"/>
          <w:sz w:val="24"/>
          <w:szCs w:val="24"/>
          <w:lang w:val="sq-AL"/>
        </w:rPr>
      </w:pPr>
    </w:p>
    <w:p w14:paraId="1C79C020" w14:textId="05CC458C" w:rsidR="00EF58A8" w:rsidRDefault="00EF58A8">
      <w:pPr>
        <w:tabs>
          <w:tab w:val="left" w:pos="450"/>
        </w:tabs>
        <w:spacing w:after="0" w:line="240" w:lineRule="auto"/>
        <w:ind w:firstLine="360"/>
        <w:jc w:val="both"/>
        <w:rPr>
          <w:rFonts w:ascii="Times New Roman" w:eastAsia="Times New Roman" w:hAnsi="Times New Roman" w:cs="Times New Roman"/>
          <w:sz w:val="24"/>
          <w:szCs w:val="24"/>
          <w:lang w:val="sq-AL"/>
        </w:rPr>
      </w:pPr>
    </w:p>
    <w:p w14:paraId="0894CF00" w14:textId="4FD5DCE2" w:rsidR="00EF58A8" w:rsidRDefault="00EF58A8">
      <w:pPr>
        <w:tabs>
          <w:tab w:val="left" w:pos="450"/>
        </w:tabs>
        <w:spacing w:after="0" w:line="240" w:lineRule="auto"/>
        <w:ind w:firstLine="360"/>
        <w:jc w:val="both"/>
        <w:rPr>
          <w:rFonts w:ascii="Times New Roman" w:eastAsia="Times New Roman" w:hAnsi="Times New Roman" w:cs="Times New Roman"/>
          <w:sz w:val="24"/>
          <w:szCs w:val="24"/>
          <w:lang w:val="sq-AL"/>
        </w:rPr>
      </w:pPr>
    </w:p>
    <w:p w14:paraId="5A87B88B" w14:textId="77777777" w:rsidR="00EF58A8" w:rsidRDefault="00EF58A8">
      <w:pPr>
        <w:tabs>
          <w:tab w:val="left" w:pos="450"/>
        </w:tabs>
        <w:spacing w:after="0" w:line="240" w:lineRule="auto"/>
        <w:ind w:firstLine="360"/>
        <w:jc w:val="both"/>
        <w:rPr>
          <w:rFonts w:ascii="Times New Roman" w:eastAsia="Times New Roman" w:hAnsi="Times New Roman" w:cs="Times New Roman"/>
          <w:sz w:val="24"/>
          <w:szCs w:val="24"/>
          <w:lang w:val="sq-AL"/>
        </w:rPr>
      </w:pPr>
    </w:p>
    <w:p w14:paraId="1E70317C" w14:textId="4053A54F" w:rsidR="00F02E92" w:rsidRDefault="004E19E0">
      <w:pPr>
        <w:tabs>
          <w:tab w:val="left" w:pos="450"/>
        </w:tabs>
        <w:spacing w:after="0" w:line="240" w:lineRule="auto"/>
        <w:jc w:val="center"/>
        <w:rPr>
          <w:rFonts w:ascii="Times New Roman" w:eastAsia="Times New Roman" w:hAnsi="Times New Roman" w:cs="Times New Roman"/>
          <w:b/>
          <w:spacing w:val="20"/>
          <w:sz w:val="24"/>
          <w:szCs w:val="24"/>
          <w:lang w:val="sq-AL"/>
        </w:rPr>
      </w:pPr>
      <w:r w:rsidRPr="004E19E0">
        <w:rPr>
          <w:rFonts w:ascii="Times New Roman" w:eastAsia="Times New Roman" w:hAnsi="Times New Roman" w:cs="Times New Roman"/>
          <w:b/>
          <w:spacing w:val="20"/>
          <w:sz w:val="24"/>
          <w:szCs w:val="24"/>
          <w:lang w:val="sq-AL"/>
        </w:rPr>
        <w:lastRenderedPageBreak/>
        <w:t>VËREN</w:t>
      </w:r>
    </w:p>
    <w:p w14:paraId="51271213" w14:textId="77777777" w:rsidR="00F02E92" w:rsidRDefault="00F02E92">
      <w:pPr>
        <w:tabs>
          <w:tab w:val="left" w:pos="450"/>
        </w:tabs>
        <w:spacing w:after="0" w:line="240" w:lineRule="auto"/>
        <w:jc w:val="center"/>
        <w:rPr>
          <w:rFonts w:ascii="Times New Roman" w:eastAsia="Times New Roman" w:hAnsi="Times New Roman" w:cs="Times New Roman"/>
          <w:b/>
          <w:spacing w:val="20"/>
          <w:sz w:val="24"/>
          <w:szCs w:val="24"/>
          <w:lang w:val="sq-AL"/>
        </w:rPr>
      </w:pPr>
    </w:p>
    <w:p w14:paraId="62ED4D4C" w14:textId="77777777" w:rsidR="002F4099" w:rsidRPr="003A3461" w:rsidRDefault="004E19E0" w:rsidP="002F4099">
      <w:pPr>
        <w:numPr>
          <w:ilvl w:val="0"/>
          <w:numId w:val="2"/>
        </w:numPr>
        <w:tabs>
          <w:tab w:val="left" w:pos="720"/>
        </w:tabs>
        <w:spacing w:after="0" w:line="240" w:lineRule="auto"/>
        <w:ind w:left="0" w:firstLine="360"/>
        <w:contextualSpacing/>
        <w:jc w:val="both"/>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Rrethanat e çështjes</w:t>
      </w:r>
    </w:p>
    <w:p w14:paraId="44BB5A1D" w14:textId="77777777" w:rsidR="002F4099" w:rsidRPr="003A3461" w:rsidRDefault="002F4099" w:rsidP="002F4099">
      <w:pPr>
        <w:spacing w:after="0" w:line="240" w:lineRule="auto"/>
        <w:jc w:val="both"/>
        <w:rPr>
          <w:rFonts w:ascii="Times New Roman" w:eastAsia="Times New Roman" w:hAnsi="Times New Roman" w:cs="Times New Roman"/>
          <w:b/>
          <w:bCs/>
          <w:sz w:val="24"/>
          <w:szCs w:val="24"/>
          <w:lang w:val="sq-AL"/>
        </w:rPr>
      </w:pPr>
    </w:p>
    <w:p w14:paraId="627CEDE3" w14:textId="77777777" w:rsidR="002F4099" w:rsidRPr="003A3461" w:rsidRDefault="004E19E0" w:rsidP="002F4099">
      <w:pPr>
        <w:numPr>
          <w:ilvl w:val="1"/>
          <w:numId w:val="2"/>
        </w:numPr>
        <w:tabs>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 xml:space="preserve">Nga gjykatat e faktit është pranuar si e provuar se, kërkuesit, “Curri” SHPK dhe “Geci” SHPK, janë operatorë ekonomikë me seli në Tiranë, të regjistruar rregullisht në QKR dhe në administratën tatimore, të cilët janë bashkuar me qëllim pjesëmarrjen në një procedurë prokurimi të shpallur nga personi i tretë FSHZH me seli në Tiranë me objekt prokurimi </w:t>
      </w:r>
      <w:r>
        <w:rPr>
          <w:rFonts w:ascii="Times New Roman" w:eastAsia="Times New Roman" w:hAnsi="Times New Roman" w:cs="Times New Roman"/>
          <w:bCs/>
          <w:i/>
          <w:sz w:val="24"/>
          <w:szCs w:val="24"/>
          <w:lang w:val="sq-AL"/>
        </w:rPr>
        <w:t>“Rehabilitimi i bregut të Liqenit të Ohrit dhe gjelbërimi përgjatë rrugës së segmentit Lin - Pogradec”</w:t>
      </w:r>
      <w:r>
        <w:rPr>
          <w:rFonts w:ascii="Times New Roman" w:eastAsia="Times New Roman" w:hAnsi="Times New Roman" w:cs="Times New Roman"/>
          <w:bCs/>
          <w:sz w:val="24"/>
          <w:szCs w:val="24"/>
          <w:lang w:val="sq-AL"/>
        </w:rPr>
        <w:t>, me fond limit 164.998.901 lekë (pa TVSH). Nga rrethanat e faktit të pranuara nga gjykatat rezulton se, Bashkimi Operatorëve Ekonomikë (BOE) “Geci” SHPK dhe “Curri” SHPK kanë marrë pjesë në këtë procedurë prokurimi si bashkim operatorëve, në bazë të kontratës së bashkëpunimit të përkohshëm e bashkimit të operatorëve ekonomike nr. 492 Rep., nr. 69 Kol., datë 16.09.2015. Rezulton e provuar në gjykim së në datë 17.09.2015 është zhvilluar procedura e prokurimit objekt gjykimi.</w:t>
      </w:r>
    </w:p>
    <w:p w14:paraId="6DBF181F" w14:textId="77777777" w:rsidR="002F4099" w:rsidRPr="003A3461" w:rsidRDefault="004E19E0" w:rsidP="002F4099">
      <w:pPr>
        <w:numPr>
          <w:ilvl w:val="1"/>
          <w:numId w:val="2"/>
        </w:numPr>
        <w:tabs>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Në datën 07.10.2015, nëpërmjet njoftimit elektronik të sistemit të Prokurimit Publik të APP, kërkuesit janë njohur me vendimin e KVO për kualifikimin e ofertave, ku kërkuesit ishin s’kualifikuar me arsyetimin së shoqëria “Curri” SHPK nuk plotëson pikën 2.1 të kërkesave të veçanta për kualifikim, pasi mungon vërtetimi për shlyerjen e detyrimeve ndaj OSHEE për muajin Korrik 2015. Nga ana e kërkuesit si BO me datë 12 10.2015 është bërë ankim drejtuar AK, Fondi Shqiptar i Zhvillimit (FSHZH), ku ky i fundit me shkresën nr. 1911/1 prot. datë 16.10.2015 ka vendosur të pranojë ankesën. Me datë 06.11.2015 është bërë rikualifikimi i ofertave nga ku rezulton së kërkuesi është kualifikuar dhe është renditur i pari në klasifikim.</w:t>
      </w:r>
    </w:p>
    <w:p w14:paraId="570D445D" w14:textId="77777777" w:rsidR="002F4099" w:rsidRPr="003A3461" w:rsidRDefault="004E19E0" w:rsidP="002F4099">
      <w:pPr>
        <w:numPr>
          <w:ilvl w:val="1"/>
          <w:numId w:val="2"/>
        </w:numPr>
        <w:tabs>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Në datën 09.11.2015, personat e tretë në këtë gjykim, BOE “Pe-Vla-Ku” SHPK., “Garden Line” SHPK dhe “Gjikuria” SHPK, kanë paraqitur ankesë pranë autoritetit kontraktor, duke kundërshtuar kualifikimin e bashkimit të operatorëve ekonomikë “Curri” SHPK dhe “Geci” SHPK. Me shkresën nr. 2055/2 prot., datë 16.11.2015, autoriteti kontraktor i ka kthyer përgjigje ankimuesit duke e refuzuar ankesën. Në vijim në përmbushje të rekursit administrativ në datën 23.11.2015 bashkimi i operatorëve ekonomikë “Pe-Vla-Ku” SHPK, “Garden Line” SHPK dhe “Gjikuria” SHPK kanë paraqitur ankesë pranë Komisionit të Prokurimit Publik, i cili në përfundim të procedurës së hetimit administrativ me vendimin nr. 726/2015 datë 14.12.2015 ka vendosur të pranojë ankesën dhe të detyrojë AK që të anulojë vendimin e KVO-së për kualifikimin e bashkimit të operatorëve ekonomikë “Curri” SHPK dhe “Geci” SHPK.</w:t>
      </w:r>
    </w:p>
    <w:p w14:paraId="33047B3A" w14:textId="77777777" w:rsidR="002F4099" w:rsidRPr="003A3461" w:rsidRDefault="004E19E0" w:rsidP="002F4099">
      <w:pPr>
        <w:numPr>
          <w:ilvl w:val="1"/>
          <w:numId w:val="2"/>
        </w:numPr>
        <w:tabs>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Në këto kushte pala kërkuese në këtë gjykim, por në cilësinë procedurale të paditësit në gjykimin e themelit me të paditur KPP, FSHZH dhe person i tretë BOE</w:t>
      </w:r>
      <w:r>
        <w:rPr>
          <w:rFonts w:ascii="Times New Roman" w:eastAsia="Times New Roman" w:hAnsi="Times New Roman" w:cs="Times New Roman"/>
          <w:sz w:val="24"/>
          <w:szCs w:val="24"/>
          <w:lang w:val="sq-AL"/>
        </w:rPr>
        <w:t xml:space="preserve"> Shoqëria “PE- VLA-KU”, Shoqëria “Gjikuria”, Shoqëria “Garden Line”, </w:t>
      </w:r>
      <w:r>
        <w:rPr>
          <w:rFonts w:ascii="Times New Roman" w:eastAsia="Times New Roman" w:hAnsi="Times New Roman" w:cs="Times New Roman"/>
          <w:bCs/>
          <w:sz w:val="24"/>
          <w:szCs w:val="24"/>
          <w:lang w:val="sq-AL"/>
        </w:rPr>
        <w:t>i është drejtuar Gjykatës Administrative me padinë me objekt:</w:t>
      </w:r>
      <w:r>
        <w:rPr>
          <w:rFonts w:ascii="Times New Roman" w:eastAsia="Times New Roman" w:hAnsi="Times New Roman" w:cs="Times New Roman"/>
          <w:bCs/>
          <w:i/>
          <w:sz w:val="24"/>
          <w:szCs w:val="24"/>
          <w:lang w:val="sq-AL"/>
        </w:rPr>
        <w:t xml:space="preserve"> Shfuqizimin e  vendimit nr. 726/2015 datë 14.12.2015 të Komisionit të Prokurimit; Shfuqizimin e veprimeve administrative të kryera nga autoriteti kontraktor në zbatim të vendimit nr. 726/2015 datë 14.12.2015 të KPP-së; Lënien në fuqi të vendimit të Komisionit të Vlerësimit të Ofertave pranë Fondit Shqiptar të Zhvillimit të datës 06.11.2015 për kualifikimin e BO “Curri” shpk dhe “Geci” shpk; Shpërblimin e dëmit të shkaktuar. </w:t>
      </w:r>
      <w:r>
        <w:rPr>
          <w:rFonts w:ascii="Times New Roman" w:eastAsia="Times New Roman" w:hAnsi="Times New Roman" w:cs="Times New Roman"/>
          <w:bCs/>
          <w:sz w:val="24"/>
          <w:szCs w:val="24"/>
          <w:lang w:val="sq-AL"/>
        </w:rPr>
        <w:t xml:space="preserve">Me vendimin nr. 5220 (80-2016-5245) datë 08.11.2016 të Gjykatës së Shkallës së Parë Administrative Tiranë është vendosur: </w:t>
      </w:r>
      <w:r>
        <w:rPr>
          <w:rFonts w:ascii="Times New Roman" w:eastAsia="Times New Roman" w:hAnsi="Times New Roman" w:cs="Times New Roman"/>
          <w:bCs/>
          <w:i/>
          <w:sz w:val="24"/>
          <w:szCs w:val="24"/>
          <w:lang w:val="sq-AL"/>
        </w:rPr>
        <w:t>“Rrëzimi i kërkesëpadisë së paditësit BOE “Curri &amp; Geci” SHPK. Shpenizmet gjyqësore në ngarkim të palës paditëse. Kundër vendimit mund të bëhet ankim brenda 15 ditëve nga e nesëmrja e shpalljes në Gjykatën e Apelit Administrativ. Për palët dhe av.shtetit në mungesë, ky afat fillon nga e nesëmrja e komunikimit të vendimit. Ngarkohet sekretaria e gjykatës që një kopje të vendimit t’ia komunikojë palëve ndërgjyqëse jo prezente në shpallje të vendimit.”</w:t>
      </w:r>
    </w:p>
    <w:p w14:paraId="4DF838EF" w14:textId="77777777" w:rsidR="002F4099" w:rsidRPr="003A3461" w:rsidRDefault="004E19E0" w:rsidP="0078526C">
      <w:pPr>
        <w:numPr>
          <w:ilvl w:val="1"/>
          <w:numId w:val="2"/>
        </w:numPr>
        <w:tabs>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 xml:space="preserve">Kundër këtij vendimi nuk është ushtruar e drejta e ankimit dhe rezulton të ketë marrë formë të prerë. Pala paditëse BOE “Curri &amp; Geci” SHPK,  në datën 08.11.2016 në të cilën është </w:t>
      </w:r>
      <w:r>
        <w:rPr>
          <w:rFonts w:ascii="Times New Roman" w:eastAsia="Times New Roman" w:hAnsi="Times New Roman" w:cs="Times New Roman"/>
          <w:bCs/>
          <w:sz w:val="24"/>
          <w:szCs w:val="24"/>
          <w:lang w:val="sq-AL"/>
        </w:rPr>
        <w:lastRenderedPageBreak/>
        <w:t>shpallur vendimi ka qenë në mungesë. Në këto rrethana sekretaria gjyqësore ka vijuar procedurën e njoftimit të këtij vendimi. Nga ana e sekretarisë gjyqësore njoftimi është realizuar pranë shoqërisë “Curri” SHPK në adresën Rruga “Kajo Karafili” Pallati Bimbashi, Shk.2, Ap.4 Kati II Tiranë. Nga dëftesa e komunikimit rezulton të ketë nënshkruar shtetasi Fatjon Dashi punonjës i shoqërisë “Curri” SHPK, në datë 16.11.2016.</w:t>
      </w:r>
    </w:p>
    <w:p w14:paraId="46AD12FF" w14:textId="77777777" w:rsidR="002F4099" w:rsidRPr="003A3461" w:rsidRDefault="004E19E0" w:rsidP="0049221E">
      <w:pPr>
        <w:numPr>
          <w:ilvl w:val="1"/>
          <w:numId w:val="2"/>
        </w:numPr>
        <w:tabs>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Pala kërkuese/paditëse ka pretenduar se ka qenë në pritje të njohjes së vendimit nr. 5220 datë 08.11.2016 dhe nga interesimi pranë sekretarisë së Gjykatës Administrative të Shkallës së Parë Tiranë prej Av. Anilda Sefgjini ka rënë në dijeni të faktit së afati i paraqitjes së ankimit ka përfunduar. Sa më sipër, kërkuesi/paditësi i është drejtuar gjykatës me kërkesën objekt të këtij gjykimi, duke kërkuar rivendosjen në afat të së drejtës së ankimit pasi njoftimi i bërë nga shërbimi postar është në kundërshtim me kushtet e nenit 130 të Kodit të Procedurës Civile dhe në këto kushte shoqëria “Curri” SHPK e ka humbur të drejtën e ankimit për shkaqe të arsyeshme dhe ndodhet në kushtet e nenit 458 të Kodit të Procedurës Civile.</w:t>
      </w:r>
    </w:p>
    <w:p w14:paraId="78BEA93C" w14:textId="77777777" w:rsidR="0049221E" w:rsidRPr="003A3461" w:rsidRDefault="004E19E0" w:rsidP="002F4099">
      <w:pPr>
        <w:numPr>
          <w:ilvl w:val="1"/>
          <w:numId w:val="2"/>
        </w:numPr>
        <w:tabs>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bCs/>
          <w:sz w:val="24"/>
          <w:szCs w:val="24"/>
          <w:lang w:val="sq-AL"/>
        </w:rPr>
      </w:pPr>
      <w:r>
        <w:rPr>
          <w:rFonts w:ascii="Times New Roman" w:eastAsia="Times New Roman" w:hAnsi="Times New Roman" w:cs="Times New Roman"/>
          <w:b/>
          <w:bCs/>
          <w:sz w:val="24"/>
          <w:szCs w:val="24"/>
          <w:lang w:val="sq-AL"/>
        </w:rPr>
        <w:t xml:space="preserve">Gjykata Administrative e Shkallës së Parë </w:t>
      </w:r>
      <w:r>
        <w:rPr>
          <w:rFonts w:ascii="Times New Roman" w:hAnsi="Times New Roman" w:cs="Times New Roman"/>
          <w:b/>
          <w:sz w:val="24"/>
          <w:szCs w:val="24"/>
          <w:lang w:val="sq-AL"/>
        </w:rPr>
        <w:t>Tiranë,</w:t>
      </w:r>
      <w:r>
        <w:rPr>
          <w:rFonts w:ascii="Times New Roman" w:hAnsi="Times New Roman" w:cs="Times New Roman"/>
          <w:sz w:val="24"/>
          <w:szCs w:val="24"/>
          <w:lang w:val="sq-AL"/>
        </w:rPr>
        <w:t xml:space="preserve"> me vendimin nr. 15 akti datë 01.03.2017, ka vendosur: </w:t>
      </w:r>
    </w:p>
    <w:p w14:paraId="456F5284" w14:textId="77777777" w:rsidR="00F02E92" w:rsidRDefault="004E19E0">
      <w:pPr>
        <w:tabs>
          <w:tab w:val="left" w:pos="72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sz w:val="24"/>
          <w:szCs w:val="24"/>
          <w:lang w:val="sq-AL"/>
        </w:rPr>
      </w:pPr>
      <w:r>
        <w:rPr>
          <w:rFonts w:ascii="Times New Roman" w:hAnsi="Times New Roman" w:cs="Times New Roman"/>
          <w:sz w:val="24"/>
          <w:szCs w:val="24"/>
          <w:lang w:val="sq-AL"/>
        </w:rPr>
        <w:t>“</w:t>
      </w:r>
      <w:r>
        <w:rPr>
          <w:rFonts w:ascii="Times New Roman" w:hAnsi="Times New Roman" w:cs="Times New Roman"/>
          <w:i/>
          <w:sz w:val="24"/>
          <w:szCs w:val="24"/>
          <w:lang w:val="sq-AL"/>
        </w:rPr>
        <w:t>Pranimin e kërkesës. Rivendosjen në afat të palës kërkuese Bashkimi i Operatorëve Ekonomikë Shoqëria “Curri“ SHPK dhe ”Geci“ SHPK për të paraqitur ankim ndaj vendimit nr. 5220 vendimi datë 08.11.2016 të Gjykatës Administrative të Shkalles së Parë Tiranë. Shpenzimet gjyqësore siç janë kryer. Kundër këtij vendimi lejohet ankim i veçantë në Gjykatën Administrative të Apelit Tiranë. Për palët në mungesë ky afat fillon të llogaritet nga e nesërmja e marrjes dijeni për vendimin.”</w:t>
      </w:r>
    </w:p>
    <w:p w14:paraId="5ABD6532" w14:textId="77777777" w:rsidR="00F02E92" w:rsidRDefault="004E19E0">
      <w:pPr>
        <w:pStyle w:val="ListParagraph"/>
        <w:numPr>
          <w:ilvl w:val="1"/>
          <w:numId w:val="25"/>
        </w:numPr>
        <w:tabs>
          <w:tab w:val="left" w:pos="81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jc w:val="both"/>
        <w:rPr>
          <w:rFonts w:ascii="Times New Roman" w:eastAsia="Times New Roman" w:hAnsi="Times New Roman" w:cs="Times New Roman"/>
          <w:bCs/>
          <w:sz w:val="24"/>
          <w:szCs w:val="24"/>
          <w:lang w:val="sq-AL"/>
        </w:rPr>
      </w:pPr>
      <w:r w:rsidRPr="004E19E0">
        <w:rPr>
          <w:rFonts w:ascii="Times New Roman" w:eastAsia="Times New Roman" w:hAnsi="Times New Roman" w:cs="Times New Roman"/>
          <w:bCs/>
          <w:sz w:val="24"/>
          <w:szCs w:val="24"/>
          <w:lang w:val="sq-AL"/>
        </w:rPr>
        <w:t xml:space="preserve">Gjykata ka arsyetuar ndër të tjera se, </w:t>
      </w:r>
      <w:r w:rsidRPr="004E19E0">
        <w:rPr>
          <w:rFonts w:ascii="Times New Roman" w:eastAsia="Times New Roman" w:hAnsi="Times New Roman" w:cs="Times New Roman"/>
          <w:sz w:val="24"/>
          <w:szCs w:val="24"/>
          <w:lang w:val="sq-AL"/>
        </w:rPr>
        <w:t>në analizë të pretendimeve të parashtruara në kërkesë padi, të provave e akteve shkresore të administruara dhe rrethanave të faktit e të ligjit, padia e paraqitur prej paditësit është e bazuar në prova dhe në ligj. Nëpërmjet kërkesës pala kërkuese ka kërkuar të rivendosë në afat ankimin kundër vendimit nr. 5220 datë 08.11.2016 të Gjykatës së Shkallës së Parë Administrative Tiranë. Referuar neneve 458, 152 të Kodi i Procedurës Civile arrihet në konkluzionin së nëse pala ka dijeni për vendimin, por për shkaqe të cilat do të konsiderohen të arsyeshme duhet të rivendosen në afat. Rivendosja në afat është një përjashtim nga rregulli dhe si i tillë arsyeja e paraqitur nga pala për humbjen e afatit duhet të jetë serioze dhe jo e zakonshme. Pra në mënyrë që pala që ka humbur afatin të rivendoset në këtë të drejtë duhet të provoje së ka pasur një shkak i cili të mund të konsiderohet i arsyeshëm.</w:t>
      </w:r>
    </w:p>
    <w:p w14:paraId="2EE027CD" w14:textId="77777777" w:rsidR="00F02E92" w:rsidRDefault="004E19E0">
      <w:pPr>
        <w:pStyle w:val="ListParagraph"/>
        <w:numPr>
          <w:ilvl w:val="1"/>
          <w:numId w:val="25"/>
        </w:numPr>
        <w:tabs>
          <w:tab w:val="left" w:pos="81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jc w:val="both"/>
        <w:rPr>
          <w:rFonts w:ascii="Times New Roman" w:eastAsia="Times New Roman" w:hAnsi="Times New Roman" w:cs="Times New Roman"/>
          <w:bCs/>
          <w:sz w:val="24"/>
          <w:szCs w:val="24"/>
          <w:lang w:val="sq-AL"/>
        </w:rPr>
      </w:pPr>
      <w:r w:rsidRPr="004E19E0">
        <w:rPr>
          <w:rFonts w:ascii="Times New Roman" w:eastAsia="Times New Roman" w:hAnsi="Times New Roman" w:cs="Times New Roman"/>
          <w:sz w:val="24"/>
          <w:szCs w:val="24"/>
          <w:lang w:val="sq-AL"/>
        </w:rPr>
        <w:t>Në vijim të arsyetimit, gjykata ka konstatuar se vendimi i mësipërm nuk i është njoftuar rregullisht palës kërkuese dhe duke qenë se ajo nuk ka qene prezentë në seancën e shpalljes së vendimit, nuk ka pasur dijeni për këtë vendim. Ky është një shkak i arsyeshëm për të kërkuar rivendosjen në afat nga ana e palës kërkuese.</w:t>
      </w:r>
      <w:r w:rsidRPr="004E19E0">
        <w:rPr>
          <w:rFonts w:ascii="Times New Roman" w:eastAsia="Times New Roman" w:hAnsi="Times New Roman" w:cs="Times New Roman"/>
          <w:bCs/>
          <w:sz w:val="24"/>
          <w:szCs w:val="24"/>
          <w:lang w:val="sq-AL"/>
        </w:rPr>
        <w:t xml:space="preserve"> </w:t>
      </w:r>
      <w:r w:rsidRPr="004E19E0">
        <w:rPr>
          <w:rFonts w:ascii="Times New Roman" w:eastAsia="Times New Roman" w:hAnsi="Times New Roman" w:cs="Times New Roman"/>
          <w:sz w:val="24"/>
          <w:szCs w:val="24"/>
          <w:lang w:val="sq-AL"/>
        </w:rPr>
        <w:t>Veçoria e të paraqiturit në gjykim si bashkim operatorësh nuk mund të cenojë të drejtat procedurale që do të gëzonin operatorët ekonomike në rast së do ti ishin drejtuar Gjykatës në mënyrë individuale. Bashkimi operatorëve ekonomikë përfaqëson një marrëveshje bashkëpunimi mes dy ose më shumë operatorësh e cila ka për qëllim realizimin e veprave publike. Marrëveshja e bashkëpunimit ashtu si çdo kontratë e cila lidhet me vullnet të palëve nuk mund të jetë tip dhe e paracaktuar. Çdo marrëveshje bashkëpunimi ka të parashikuara të drejtat dhe detyrimet e palëve pjesëmarrëse në këtë bashkëpunim.</w:t>
      </w:r>
    </w:p>
    <w:p w14:paraId="6863A7E1" w14:textId="77777777" w:rsidR="00F02E92" w:rsidRDefault="004E19E0">
      <w:pPr>
        <w:pStyle w:val="ListParagraph"/>
        <w:numPr>
          <w:ilvl w:val="1"/>
          <w:numId w:val="25"/>
        </w:numPr>
        <w:tabs>
          <w:tab w:val="left" w:pos="81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jc w:val="both"/>
        <w:rPr>
          <w:rFonts w:ascii="Times New Roman" w:eastAsia="Times New Roman" w:hAnsi="Times New Roman" w:cs="Times New Roman"/>
          <w:sz w:val="24"/>
          <w:szCs w:val="24"/>
          <w:lang w:val="sq-AL"/>
        </w:rPr>
      </w:pPr>
      <w:r w:rsidRPr="004E19E0">
        <w:rPr>
          <w:rFonts w:ascii="Times New Roman" w:eastAsia="Times New Roman" w:hAnsi="Times New Roman" w:cs="Times New Roman"/>
          <w:sz w:val="24"/>
          <w:szCs w:val="24"/>
          <w:lang w:val="sq-AL"/>
        </w:rPr>
        <w:t>Gjykata ka arsyetuar se, nga hetimi gjyqësor nuk rezultoi që vendimi nr. 5220 datë 08.11.2016 të Gjykatës Administrative të Shkalles së Parë Tiranë ti jetë komunikuar shoqërisë “Curri” SHPK e cila si pjesëmarrëse në bashkimin e operatoreve por edhe si palë ndërgjyqëse duhet ti respektohet të drejtat procedurale.</w:t>
      </w:r>
      <w:r w:rsidRPr="004E19E0">
        <w:rPr>
          <w:rFonts w:ascii="Times New Roman" w:eastAsia="Times New Roman" w:hAnsi="Times New Roman" w:cs="Times New Roman"/>
          <w:bCs/>
          <w:sz w:val="24"/>
          <w:szCs w:val="24"/>
          <w:lang w:val="sq-AL"/>
        </w:rPr>
        <w:t xml:space="preserve"> </w:t>
      </w:r>
      <w:r w:rsidRPr="004E19E0">
        <w:rPr>
          <w:rFonts w:ascii="Times New Roman" w:eastAsia="Times New Roman" w:hAnsi="Times New Roman" w:cs="Times New Roman"/>
          <w:sz w:val="24"/>
          <w:szCs w:val="24"/>
          <w:lang w:val="sq-AL"/>
        </w:rPr>
        <w:t>Marrëveshja e bashkëpunimit mes palëve nuk justifikon mungesën e njoftimit për marrjen dijeni të vendimit nr. 5220 datë 08.11.2016 për operatorin ekonomik “Geci” SHPK.</w:t>
      </w:r>
      <w:r w:rsidRPr="004E19E0">
        <w:rPr>
          <w:rFonts w:ascii="Times New Roman" w:eastAsia="Times New Roman" w:hAnsi="Times New Roman" w:cs="Times New Roman"/>
          <w:bCs/>
          <w:sz w:val="24"/>
          <w:szCs w:val="24"/>
          <w:lang w:val="sq-AL"/>
        </w:rPr>
        <w:t xml:space="preserve"> </w:t>
      </w:r>
      <w:r w:rsidRPr="004E19E0">
        <w:rPr>
          <w:rFonts w:ascii="Times New Roman" w:eastAsia="Times New Roman" w:hAnsi="Times New Roman" w:cs="Times New Roman"/>
          <w:sz w:val="24"/>
          <w:szCs w:val="24"/>
          <w:lang w:val="sq-AL"/>
        </w:rPr>
        <w:t xml:space="preserve">Neni 97 i KPC parashikon se: </w:t>
      </w:r>
      <w:r w:rsidRPr="004E19E0">
        <w:rPr>
          <w:rFonts w:ascii="Times New Roman" w:eastAsia="Times New Roman" w:hAnsi="Times New Roman" w:cs="Times New Roman"/>
          <w:i/>
          <w:sz w:val="24"/>
          <w:szCs w:val="24"/>
          <w:lang w:val="sq-AL"/>
        </w:rPr>
        <w:t xml:space="preserve">“Kur palët përfaqësohen në gjykim nga përfaqësuesi, ky mund të kryejë dhe të marrë në interes të palës së vet të gjitha aktet që i në nevojiten procesit, që ligji nuk e ndalon. Në çdo rast nuk mund të kryejë akte që </w:t>
      </w:r>
      <w:r w:rsidRPr="004E19E0">
        <w:rPr>
          <w:rFonts w:ascii="Times New Roman" w:eastAsia="Times New Roman" w:hAnsi="Times New Roman" w:cs="Times New Roman"/>
          <w:i/>
          <w:sz w:val="24"/>
          <w:szCs w:val="24"/>
          <w:lang w:val="sq-AL"/>
        </w:rPr>
        <w:lastRenderedPageBreak/>
        <w:t>sjellin disponim të së drejtës, përveç rasteve kur ka fituar tagër në mënyrë të shprehur...</w:t>
      </w:r>
      <w:r w:rsidRPr="004E19E0">
        <w:rPr>
          <w:rFonts w:ascii="Times New Roman" w:eastAsia="Times New Roman" w:hAnsi="Times New Roman" w:cs="Times New Roman"/>
          <w:sz w:val="24"/>
          <w:szCs w:val="24"/>
          <w:lang w:val="sq-AL"/>
        </w:rPr>
        <w:t xml:space="preserve"> ”.</w:t>
      </w:r>
      <w:r w:rsidRPr="004E19E0">
        <w:rPr>
          <w:rFonts w:ascii="Times New Roman" w:eastAsia="Times New Roman" w:hAnsi="Times New Roman" w:cs="Times New Roman"/>
          <w:bCs/>
          <w:sz w:val="24"/>
          <w:szCs w:val="24"/>
          <w:lang w:val="sq-AL"/>
        </w:rPr>
        <w:t xml:space="preserve"> </w:t>
      </w:r>
      <w:r w:rsidRPr="004E19E0">
        <w:rPr>
          <w:rFonts w:ascii="Times New Roman" w:eastAsia="Times New Roman" w:hAnsi="Times New Roman" w:cs="Times New Roman"/>
          <w:sz w:val="24"/>
          <w:szCs w:val="24"/>
          <w:lang w:val="sq-AL"/>
        </w:rPr>
        <w:t>Në këto kushte Gjykata argumenton se krijon bindjen për vërtetësinë e pretendimeve të palës kërkuese dhe për këtë shkak ka çmuar së kërkesa është e mbështetur në prova.</w:t>
      </w:r>
      <w:r w:rsidRPr="004E19E0">
        <w:rPr>
          <w:rFonts w:ascii="Times New Roman" w:eastAsia="Times New Roman" w:hAnsi="Times New Roman" w:cs="Times New Roman"/>
          <w:bCs/>
          <w:sz w:val="24"/>
          <w:szCs w:val="24"/>
          <w:lang w:val="sq-AL"/>
        </w:rPr>
        <w:t xml:space="preserve"> </w:t>
      </w:r>
      <w:r w:rsidRPr="004E19E0">
        <w:rPr>
          <w:rFonts w:ascii="Times New Roman" w:eastAsia="Times New Roman" w:hAnsi="Times New Roman" w:cs="Times New Roman"/>
          <w:sz w:val="24"/>
          <w:szCs w:val="24"/>
          <w:lang w:val="sq-AL"/>
        </w:rPr>
        <w:t>Pretendimet e tjera të parashtruara si shkak për rivendosje në afat konsiderohen të pambështetura në ligj duke qenë së prokura për Z. Arben Lici nuk rezulton të jetë e përfshire në dosjen gjyqësore me nr. vendimi 5220 datë 08.11.2016 të Gjykatës Administrative të Shkallës së Parë Tiranë.</w:t>
      </w:r>
      <w:r w:rsidRPr="004E19E0">
        <w:rPr>
          <w:rFonts w:ascii="Times New Roman" w:eastAsia="Times New Roman" w:hAnsi="Times New Roman" w:cs="Times New Roman"/>
          <w:bCs/>
          <w:sz w:val="24"/>
          <w:szCs w:val="24"/>
          <w:lang w:val="sq-AL"/>
        </w:rPr>
        <w:t xml:space="preserve"> </w:t>
      </w:r>
      <w:r w:rsidRPr="004E19E0">
        <w:rPr>
          <w:rFonts w:ascii="Times New Roman" w:eastAsia="Times New Roman" w:hAnsi="Times New Roman" w:cs="Times New Roman"/>
          <w:sz w:val="24"/>
          <w:szCs w:val="24"/>
          <w:lang w:val="sq-AL"/>
        </w:rPr>
        <w:t xml:space="preserve">Po kështu edhe pretendimet për cilësitë e punonjësit të shoqërisë “Curri” SHPK Z. Fatjon Dashi konsiderohen të pambështetura në ligj. </w:t>
      </w:r>
    </w:p>
    <w:p w14:paraId="522C5CB9" w14:textId="77777777" w:rsidR="00F02E92" w:rsidRDefault="004E19E0">
      <w:pPr>
        <w:pStyle w:val="ListParagraph"/>
        <w:numPr>
          <w:ilvl w:val="1"/>
          <w:numId w:val="25"/>
        </w:numPr>
        <w:tabs>
          <w:tab w:val="left" w:pos="81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jc w:val="both"/>
        <w:rPr>
          <w:rFonts w:ascii="Times New Roman" w:eastAsia="Times New Roman" w:hAnsi="Times New Roman" w:cs="Times New Roman"/>
          <w:sz w:val="24"/>
          <w:szCs w:val="24"/>
          <w:lang w:val="sq-AL" w:eastAsia="sq-AL"/>
        </w:rPr>
      </w:pPr>
      <w:r w:rsidRPr="004E19E0">
        <w:rPr>
          <w:rFonts w:ascii="Times New Roman" w:eastAsia="Times New Roman" w:hAnsi="Times New Roman" w:cs="Times New Roman"/>
          <w:sz w:val="24"/>
          <w:szCs w:val="24"/>
          <w:lang w:val="sq-AL"/>
        </w:rPr>
        <w:t>Gjykata në këtë linjë arsyetimi ka theksuar se, pranimi i kësaj kërkese nga ana e gjykatës nuk e cenon parimin e rëndësishëm të sigurisë juridike. Në çështjen Driza Kundër Shqipërisë Gjykata e Strasburgut sqaron se: “...</w:t>
      </w:r>
      <w:r w:rsidRPr="004E19E0">
        <w:rPr>
          <w:rFonts w:ascii="Times New Roman" w:eastAsia="Times New Roman" w:hAnsi="Times New Roman" w:cs="Times New Roman"/>
          <w:i/>
          <w:sz w:val="24"/>
          <w:szCs w:val="24"/>
          <w:lang w:val="sq-AL"/>
        </w:rPr>
        <w:t>Parimi i sigurisë juridike përpara një gjykate garantuar nga neni 6 § 1 i Konventës duhet interpretuar nën dritën e preambulës së Konventës, e cila shpall që shteti i së drejtës do jetë trashëgimia e përbashkët e shteteve kontraktuese. Një ndër aspektet themelore të shtetit të së drejtës është edhe parimi i sigurisë juridike, i cili kërkon mbi të gjitha që, kur gjykatat, për një çështje të caktuar japin një vendim i cili merr formë të prerë, më pas, këto vendime nuk duhet të vihen në dyshim (shih Brumarescu v. Romania [GC], nr.28342/95, § 61, EHCR 1999-VII; Ryabykh v. Russia, nr.52854/99,  51-56. EHCR 2003-IX; Ro§ca v. Moldava, nr.6267/02, § 24, 22 Mars 2005).</w:t>
      </w:r>
      <w:r w:rsidRPr="004E19E0">
        <w:rPr>
          <w:rFonts w:ascii="Times New Roman" w:eastAsia="Times New Roman" w:hAnsi="Times New Roman" w:cs="Times New Roman"/>
          <w:i/>
          <w:sz w:val="20"/>
          <w:szCs w:val="20"/>
          <w:lang w:val="sq-AL"/>
        </w:rPr>
        <w:t xml:space="preserve"> </w:t>
      </w:r>
      <w:r w:rsidRPr="004E19E0">
        <w:rPr>
          <w:rFonts w:ascii="Times New Roman" w:eastAsia="Times New Roman" w:hAnsi="Times New Roman" w:cs="Times New Roman"/>
          <w:i/>
          <w:sz w:val="24"/>
          <w:szCs w:val="24"/>
          <w:lang w:val="sq-AL" w:eastAsia="sq-AL"/>
        </w:rPr>
        <w:t xml:space="preserve">Siguria juridike presupozon respektimin e parimit të gjësë së gjykuar (shih Brumărescu v. Romania të cituar më lart, § 62), i cili është parimi kryesor i një vendimi të formës së prerë. Ky parim konsiston në faktin që asnjë palë nuk ka të drejtë të kërkojë rigjykimin e një çështjeje që është zgjidhur me vendim të formës së prerë thjesht, sepse do të donin një rishqyrtim të çështjes së tyre. E drejta e gjykatave më të larta në shqyrtimin e ankimeve në lidhje me vendimet e gjykatave më të ulëta të cilat kanë marrë formë të prerë, duhet të përqendrohet në ndreqjen e gabimeve apo pasaktësive gjyqësore, dhe jo në rigjykimin në themel të çështjes. Ndreqja e gabimeve apo pasaktësive nuk duhet të trajtohet si një simulim në të vërtetë i ankimit, dhe mundësia e të paturit të dy vendimeve për të njëjtën çështje nuk përbëjnë justifikim për një rishqyrtim të ri. Shmangia nga ky parim justifikohet vetëm kur vërtetohen rrethana thelbësore dhe të pakonstatueshme, se një gjë e tillë rezulton e domosdoshme...” </w:t>
      </w:r>
      <w:r w:rsidRPr="004E19E0">
        <w:rPr>
          <w:rFonts w:ascii="Times New Roman" w:eastAsia="Times New Roman" w:hAnsi="Times New Roman" w:cs="Times New Roman"/>
          <w:sz w:val="24"/>
          <w:szCs w:val="24"/>
          <w:lang w:val="sq-AL" w:eastAsia="sq-AL"/>
        </w:rPr>
        <w:t>Gjykata ka arsyetuar se rrethana e pretenduar nga pala kërkuese dhe e konstatuar si e bazuar nga gjykata (mos marrja dijeni për vendimin) është thelbësore. Në të kundërt do të cenohej parimi tjetër i rëndësishëm i sanksionuar në Kushtetutën e Republikës së Shqipërisë dhe në Konventën Evropiane të të Drejtave të Njeriut, ai i së drejtës për tu ankuar ndaj vendimit në një gjykatë më të lartë.</w:t>
      </w:r>
    </w:p>
    <w:p w14:paraId="0AEDF3F6" w14:textId="77777777" w:rsidR="002F4099" w:rsidRPr="003A3461" w:rsidRDefault="004E19E0" w:rsidP="002F4099">
      <w:pPr>
        <w:numPr>
          <w:ilvl w:val="1"/>
          <w:numId w:val="2"/>
        </w:numPr>
        <w:tabs>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bCs/>
          <w:sz w:val="24"/>
          <w:szCs w:val="24"/>
          <w:lang w:val="sq-AL"/>
        </w:rPr>
        <w:t xml:space="preserve">Kundër vendimit të Gjykatës së Shkallës së Parë ka ushtruar ankim personi i tretë </w:t>
      </w:r>
      <w:r>
        <w:rPr>
          <w:rFonts w:ascii="Times New Roman" w:eastAsia="Times New Roman" w:hAnsi="Times New Roman" w:cs="Times New Roman"/>
          <w:sz w:val="24"/>
          <w:szCs w:val="24"/>
          <w:lang w:val="sq-AL"/>
        </w:rPr>
        <w:t>Komisioni i Prokurimit Publik, i cili ka kërkuar ndryshimin e vendimit dhe rrëzimin e kërkesëpadisë, duke parashtruar këto pretendime:</w:t>
      </w:r>
    </w:p>
    <w:p w14:paraId="65B4D42B" w14:textId="77777777" w:rsidR="002F4099" w:rsidRPr="003A3461" w:rsidRDefault="004E19E0" w:rsidP="002F4099">
      <w:pPr>
        <w:numPr>
          <w:ilvl w:val="0"/>
          <w:numId w:val="2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Vendimi i Gjykatës Administrative të Shkallës së Parë, nuk është i bazuar as në ligj e as në prova, dhe si i tillë duhet të prishet. Nga kërkesa e paraqitur pranë Gjykatës Administrative të Shkallës së Parë Tiranë, ka rezultuar së paditësi BOE “Curri” SHPK, ka qenë në mungesë në shpalljen e vendimit dhe ka pretenduar, së “Nuk ka marrë dijeni, për vendimin nr. 5220, datë 08.11.2016, pra që “E ka marrë këtë vendim një punonjës i shoqërisë, teknik ndërtimi, i ngarkuar me detyrë për të punuar në një prej kantiereve të ndërtimit, ku shoqëria është duke zbatuar punimet, i gjendur rastësisht, në atë moment, në zyrat e shoqërisë, dhe i cili nuk është personi i duhur për të marrë njoftimet, në përputhje me nenin 130 të Kodit të Procedurës Civile”.</w:t>
      </w:r>
    </w:p>
    <w:p w14:paraId="653C717A" w14:textId="77777777" w:rsidR="002F4099" w:rsidRPr="003A3461" w:rsidRDefault="004E19E0" w:rsidP="002F4099">
      <w:pPr>
        <w:numPr>
          <w:ilvl w:val="0"/>
          <w:numId w:val="2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Kërkuesi, në seancën e datës 01.03.2017, seanca e dhënies së vendimit, pretendoi së “Personi që e ka marrë vendimin e Gjykatës Administrative të Shkallës së Parë Tiranë, Nr. 5220, datë 08.11.2016, është një teknik, ka kontratë pune 1 vjeçare, nuk e dinte rëndësinë e vendimit dhe që së mbante mend që kur e kishte marrë dhe për çfarë bëhej fjalë, duke mos kuptuar "rëndësinë e madhe" të tij”. Kërkuesi, pretendoi edhe së ky </w:t>
      </w:r>
      <w:r>
        <w:rPr>
          <w:rFonts w:ascii="Times New Roman" w:eastAsia="Times New Roman" w:hAnsi="Times New Roman" w:cs="Times New Roman"/>
          <w:sz w:val="24"/>
          <w:szCs w:val="24"/>
          <w:lang w:val="sq-AL"/>
        </w:rPr>
        <w:lastRenderedPageBreak/>
        <w:t>vendim i gjykatës nuk i është njoftuar të dy operatorëve të Bashkimit Ekonomik, pra edhe Shoqërisë “Curri” SHPK edhe Shoqërisë “Geci“ SHPK, duke pranuar së vendimi i është njoftuar vetëm Shoqërisë “Curri” SHPK.</w:t>
      </w:r>
    </w:p>
    <w:p w14:paraId="5ADA38D3" w14:textId="77777777" w:rsidR="002F4099" w:rsidRPr="003A3461" w:rsidRDefault="004E19E0" w:rsidP="002F4099">
      <w:pPr>
        <w:numPr>
          <w:ilvl w:val="0"/>
          <w:numId w:val="2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Por në bazë të Kontratës së Përkohshme të Bashkëpunimit, “Curri“ SHPK, është përfaqësuesi i Bashkimit të Operatorëve dhe si i tillë, vendimi nr. 5220, datë 08.11.2016, i Gjykatës Administrative të Shkallës së Parë, i është njoftuar përfaqësuesit të këtij bashkimi.</w:t>
      </w:r>
    </w:p>
    <w:p w14:paraId="00C2D8E3" w14:textId="77777777" w:rsidR="002F4099" w:rsidRPr="003A3461" w:rsidRDefault="004E19E0" w:rsidP="002F4099">
      <w:pPr>
        <w:numPr>
          <w:ilvl w:val="0"/>
          <w:numId w:val="2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Kërkuesi, ka paraqitur në gjykatë, listë të punonjësve të Operatorit Ekonomik Shoqërisë “Curri” SHPK, ku rezulton punonjës, personi që ka marrë dijeni për vendimin nr. 5220, datë 08.11.2016, i Gjykatës Administrative të Shkallës së Parë. Akoma më tej, në referim të nenit 27 të Kodit të Punës me titull “Përgjegjësitë e punëmarrësit”, është punëmarrësi që përgjigjet ndaj punëdhënësit për dëmin e shkaktuar me faj apo nga pakujdesia dhe në rastin konkret mosmarrëveshja duhet të ishte private dhe jo administrativë. Pra pala kërkuese duhet të bënte konflikt gjyqësor punëmarrësin i cili ka marrë dijeni për vendimin e gjykatës dhe jo të kërkonte rivendosjen në afat për të ushtruar të drejtën e ankimit kundër vendimit gjyqësor.</w:t>
      </w:r>
    </w:p>
    <w:p w14:paraId="4E0734F6" w14:textId="77777777" w:rsidR="002F4099" w:rsidRPr="003A3461" w:rsidRDefault="004E19E0" w:rsidP="002F4099">
      <w:pPr>
        <w:numPr>
          <w:ilvl w:val="0"/>
          <w:numId w:val="2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Në bazë të përcaktimeve të nenit 130, Kodi i Procedurës Civile, njoftimi i akteve nga Gjykata Administrative e Shkallës së Parë Tiranë, është bërë në përmbushje të këtyre përcaktimeve, meqenëse për vendimin në fjalë, ka marrë dijeni, një punonjës i operatorit ekonomik Shoqërisë “Curri” SHPK, megjithë arsyetimin jo ligjor dhe jo logjik, të kërkuesit që “ky punonjës është teknik, së kupton rëndësinë e vendimit, ka kontratë provizore 1 vjeçare”, pretendime të cilat, nuk kanë asnjë përcaktim ligjor në Nenin 130 të Kodi i Procedurës Civile, i cili nuk ka të përcaktuar as cilësi kualifikimi dhe as afat të marrjes në punë, nga punëdhënësi, të asnjë prej të punësuarve prej tij, për të marrë dijeni të Njoftimit Shkresor të Akteve nga gjykata.</w:t>
      </w:r>
    </w:p>
    <w:p w14:paraId="05879990" w14:textId="77777777" w:rsidR="00AA3F9B" w:rsidRPr="003A3461" w:rsidRDefault="004E19E0" w:rsidP="002F4099">
      <w:pPr>
        <w:numPr>
          <w:ilvl w:val="1"/>
          <w:numId w:val="2"/>
        </w:numPr>
        <w:tabs>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bCs/>
          <w:sz w:val="24"/>
          <w:szCs w:val="24"/>
          <w:lang w:val="sq-AL"/>
        </w:rPr>
      </w:pPr>
      <w:r>
        <w:rPr>
          <w:rFonts w:ascii="Times New Roman" w:eastAsia="Times New Roman" w:hAnsi="Times New Roman" w:cs="Times New Roman"/>
          <w:b/>
          <w:bCs/>
          <w:sz w:val="24"/>
          <w:szCs w:val="24"/>
          <w:lang w:val="sq-AL"/>
        </w:rPr>
        <w:t xml:space="preserve">Gjykata Administrative e Apelit, </w:t>
      </w:r>
      <w:r>
        <w:rPr>
          <w:rFonts w:ascii="Times New Roman" w:eastAsia="Times New Roman" w:hAnsi="Times New Roman" w:cs="Times New Roman"/>
          <w:bCs/>
          <w:sz w:val="24"/>
          <w:szCs w:val="24"/>
          <w:lang w:val="sq-AL"/>
        </w:rPr>
        <w:t>me vendimin nr. 184 datë 23.05.2017</w:t>
      </w:r>
      <w:r>
        <w:rPr>
          <w:rFonts w:ascii="Times New Roman" w:eastAsia="Times New Roman" w:hAnsi="Times New Roman" w:cs="Times New Roman"/>
          <w:b/>
          <w:bCs/>
          <w:sz w:val="24"/>
          <w:szCs w:val="24"/>
          <w:lang w:val="sq-AL"/>
        </w:rPr>
        <w:t xml:space="preserve"> </w:t>
      </w:r>
      <w:r>
        <w:rPr>
          <w:rFonts w:ascii="Times New Roman" w:eastAsia="Times New Roman" w:hAnsi="Times New Roman" w:cs="Times New Roman"/>
          <w:bCs/>
          <w:sz w:val="24"/>
          <w:szCs w:val="24"/>
          <w:lang w:val="sq-AL"/>
        </w:rPr>
        <w:t xml:space="preserve">ka vendosur: </w:t>
      </w:r>
    </w:p>
    <w:p w14:paraId="3E1AE03C" w14:textId="77777777" w:rsidR="00F02E92" w:rsidRDefault="004E19E0">
      <w:pPr>
        <w:tabs>
          <w:tab w:val="left" w:pos="720"/>
          <w:tab w:val="left" w:pos="4320"/>
          <w:tab w:val="left" w:pos="5040"/>
          <w:tab w:val="num" w:pos="531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contextualSpacing/>
        <w:jc w:val="both"/>
        <w:rPr>
          <w:rFonts w:ascii="Times New Roman" w:eastAsia="Times New Roman" w:hAnsi="Times New Roman" w:cs="Times New Roman"/>
          <w:bCs/>
          <w:sz w:val="24"/>
          <w:szCs w:val="24"/>
          <w:lang w:val="sq-AL"/>
        </w:rPr>
      </w:pPr>
      <w:r>
        <w:rPr>
          <w:rFonts w:ascii="Times New Roman" w:eastAsia="Times New Roman" w:hAnsi="Times New Roman" w:cs="Times New Roman"/>
          <w:bCs/>
          <w:i/>
          <w:sz w:val="24"/>
          <w:szCs w:val="24"/>
          <w:lang w:val="sq-AL"/>
        </w:rPr>
        <w:t>“</w:t>
      </w:r>
      <w:r>
        <w:rPr>
          <w:rFonts w:ascii="Times New Roman" w:eastAsia="Times New Roman" w:hAnsi="Times New Roman" w:cs="Times New Roman"/>
          <w:i/>
          <w:sz w:val="24"/>
          <w:szCs w:val="24"/>
          <w:lang w:val="sq-AL"/>
        </w:rPr>
        <w:t>Lënien në fuqi të vendimit nr. 15 akti datë 01.03.2017 të Gjykatës Administrative të Shkallës së Parë Tiranë.”</w:t>
      </w:r>
    </w:p>
    <w:p w14:paraId="28193D1C" w14:textId="77777777" w:rsidR="00F02E92" w:rsidRDefault="004E19E0">
      <w:pPr>
        <w:pStyle w:val="ListParagraph"/>
        <w:numPr>
          <w:ilvl w:val="1"/>
          <w:numId w:val="26"/>
        </w:numPr>
        <w:tabs>
          <w:tab w:val="left" w:pos="81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jc w:val="both"/>
        <w:rPr>
          <w:rFonts w:ascii="Times New Roman" w:eastAsia="Times New Roman" w:hAnsi="Times New Roman" w:cs="Times New Roman"/>
          <w:bCs/>
          <w:sz w:val="24"/>
          <w:szCs w:val="24"/>
          <w:lang w:val="sq-AL"/>
        </w:rPr>
      </w:pPr>
      <w:r w:rsidRPr="004E19E0">
        <w:rPr>
          <w:rFonts w:ascii="Times New Roman" w:eastAsia="Times New Roman" w:hAnsi="Times New Roman" w:cs="Times New Roman"/>
          <w:bCs/>
          <w:sz w:val="24"/>
          <w:szCs w:val="24"/>
          <w:lang w:val="sq-AL"/>
        </w:rPr>
        <w:t xml:space="preserve">Gjykata ka arsyetuar se, </w:t>
      </w:r>
      <w:r w:rsidRPr="004E19E0">
        <w:rPr>
          <w:rFonts w:ascii="Times New Roman" w:eastAsia="Times New Roman" w:hAnsi="Times New Roman" w:cs="Times New Roman"/>
          <w:sz w:val="24"/>
          <w:szCs w:val="24"/>
          <w:lang w:val="sq-AL"/>
        </w:rPr>
        <w:t xml:space="preserve">rezulton se pala paditëse i është drejtuar Gjykatës Administrative të Shkallës së Parë Tiranë, pas ezaurimit të rrugës administrative të ankimit për të kërkuar shfuqizimin e vendimit të Komisionit të Prokurimit Publik që s’kualifikonte palën paditëse nga ofertat e KVO. Kjo Gjykatë, me vendimin nr. 5220 datë 08.11.2016 ka vendosur rrëzimin e kërkesës së palës paditëse BOE “Curri &amp; Geci” SHPK. Ky vendim ka marr formë të prerë duke qenë se ndaj tij nuk u ushtrua e drejta e ankimit. Pala paditëse ka pretenduar se ka qenë në pritje të njohjes së vendimit nr. 5220 datë 08.11.2016 e për rrjedhojë nuk ka paraqitur ankim dhe se janë informuar në lidhje me faktin së afati i paraqitjes së ankimit ka përfunduar vetëm kur janë interesuar në sekretarinë e gjykatës. Për rrjedhojë, i janë drejtuar Gjykatës për të kërkuar rivendosjen në afat të ankimit. Në këto kushte, Gjykata Administrative e Apelit vlerëson të analizojë procedurën e ndjekur nga Gjykata Administrative e Shkallës së Parë Tiranë në lidhje me njoftimin e palës paditëse për vendimin e marrë prej saj. Rezulton së në seancën e datës 08.11.2016 kur është bërë shpallja e vendimit, pala paditëse BOE “Curri &amp; Geci” SHPK nuk ka qenë prezente. Nga provat e administruara në dosje, rezulton së nëpërmjet dëftesës së komunikimit, në datën 16.11.2016 është njoftuar pala paditëse për vendimin nr. 5220 datë 08.11.2016 të Gjykatës Administrative të Shkallës së Parë Tiranë. Nga kjo dëftesë rezulton së adresa e shënuar ku ka vajtur ky vendim është: “Rruga “Kajo Karafili” Pallati Bimbashi, Shk.2, Ap.4 Kati II Tiranë”. Po ashtu, marrja dijeni është konfirmuar nga Fatjon Dashi, që është punonjës i shoqërisë “Curri” SHPK. </w:t>
      </w:r>
    </w:p>
    <w:p w14:paraId="6B4A1072" w14:textId="77777777" w:rsidR="00F02E92" w:rsidRDefault="004E19E0">
      <w:pPr>
        <w:pStyle w:val="ListParagraph"/>
        <w:numPr>
          <w:ilvl w:val="1"/>
          <w:numId w:val="26"/>
        </w:numPr>
        <w:tabs>
          <w:tab w:val="left" w:pos="81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jc w:val="both"/>
        <w:rPr>
          <w:rFonts w:ascii="Times New Roman" w:eastAsia="Times New Roman" w:hAnsi="Times New Roman" w:cs="Times New Roman"/>
          <w:bCs/>
          <w:sz w:val="24"/>
          <w:szCs w:val="24"/>
          <w:lang w:val="sq-AL"/>
        </w:rPr>
      </w:pPr>
      <w:r w:rsidRPr="004E19E0">
        <w:rPr>
          <w:rFonts w:ascii="Times New Roman" w:eastAsia="Times New Roman" w:hAnsi="Times New Roman" w:cs="Times New Roman"/>
          <w:sz w:val="24"/>
          <w:szCs w:val="24"/>
          <w:lang w:val="sq-AL"/>
        </w:rPr>
        <w:t>Në vijim të arsyetimit gjykata ka analizuar se në rastin konkret si palë paditëse kemi një bashkim operatorësh ekonomikë, por ky fakt nuk justifikon mosnjoftimin e palës paditëse “Geci” SHPK.</w:t>
      </w:r>
      <w:r w:rsidRPr="004E19E0">
        <w:rPr>
          <w:rFonts w:ascii="Times New Roman" w:eastAsia="Times New Roman" w:hAnsi="Times New Roman" w:cs="Times New Roman"/>
          <w:bCs/>
          <w:sz w:val="24"/>
          <w:szCs w:val="24"/>
          <w:lang w:val="sq-AL"/>
        </w:rPr>
        <w:t xml:space="preserve"> </w:t>
      </w:r>
      <w:r w:rsidRPr="004E19E0">
        <w:rPr>
          <w:rFonts w:ascii="Times New Roman" w:eastAsia="Times New Roman" w:hAnsi="Times New Roman" w:cs="Times New Roman"/>
          <w:sz w:val="24"/>
          <w:szCs w:val="24"/>
          <w:lang w:val="sq-AL"/>
        </w:rPr>
        <w:t xml:space="preserve">Gjykata Administrative e Apelit konstaton se dispozitat e njoftimit të palëve </w:t>
      </w:r>
      <w:r w:rsidRPr="004E19E0">
        <w:rPr>
          <w:rFonts w:ascii="Times New Roman" w:eastAsia="Times New Roman" w:hAnsi="Times New Roman" w:cs="Times New Roman"/>
          <w:sz w:val="24"/>
          <w:szCs w:val="24"/>
          <w:lang w:val="sq-AL"/>
        </w:rPr>
        <w:lastRenderedPageBreak/>
        <w:t>janë të përcaktuara dhe sekretaria e gjykatës ka detyrim, pavarësisht bashkimit në këtë rast të shoqërive, të njoftojë secilën shoqëri veç e veç, pra njoftimi duhej bërë edhe për shoqërinë “Geci” SHPK, njoftim i cili nuk është kryer. Në këto kushte, kjo gjykatë çmon së është i drejtë qëndrimi i Gjykatës Administrative të Shkallës së Parë Tiranë lidhur me shkeljen e rregullit të njoftimit të palëve.</w:t>
      </w:r>
    </w:p>
    <w:p w14:paraId="1365C4E0" w14:textId="77777777" w:rsidR="00F02E92" w:rsidRDefault="004E19E0">
      <w:pPr>
        <w:pStyle w:val="ListParagraph"/>
        <w:numPr>
          <w:ilvl w:val="1"/>
          <w:numId w:val="26"/>
        </w:numPr>
        <w:tabs>
          <w:tab w:val="left" w:pos="81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jc w:val="both"/>
        <w:rPr>
          <w:rFonts w:ascii="Times New Roman" w:eastAsia="Times New Roman" w:hAnsi="Times New Roman" w:cs="Times New Roman"/>
          <w:sz w:val="24"/>
          <w:szCs w:val="24"/>
          <w:lang w:val="sq-AL"/>
        </w:rPr>
      </w:pPr>
      <w:r w:rsidRPr="004E19E0">
        <w:rPr>
          <w:rFonts w:ascii="Times New Roman" w:eastAsia="Times New Roman" w:hAnsi="Times New Roman" w:cs="Times New Roman"/>
          <w:sz w:val="24"/>
          <w:szCs w:val="24"/>
          <w:lang w:val="sq-AL"/>
        </w:rPr>
        <w:t>Gjykata Administrative e Apelit ka theksuar se në mënyrë të tillë që të pranohet rivendosja në afat e ankimit kundër një vendimi, duhet të provohen shkaqet e arsyeshme të mosparaqitjes së ankimit. Rivendosja në afat është një përjashtim nga rregulli dhe si i tillë arsyeja e paraqitur nga pala për humbjen e afatit duhet të jetë serioze dhe jo e zakonshme. Në rastin konkret, shoqëria “Geci” SHPK. nuk rezulton të ketë marrë dijeni për vendimin nr. 5220 datë 08.11.2016. Rezulton së në seancën e datës 08.11.2016 pala paditëse nuk ka qenë prezente dhe po ashtu nuk rezulton që t’i jetë bërë i rregullt njoftimit të vendimit. Ky kolegj vlerëson së kjo përbën shkak të arsyeshëm për të kërkuar rivendosjen në afat nga ana e palës kërkuese. Fakti që shoqëria “Geci” SHPK është paraqitur në gjykim si bashkim operatorësh nuk justifikon njoftimin vetëm të shoqërisë “Curri” SHPK. Sipas nenit 130 të Kodit të Procedurës civile: “...Në rastin e personave juridikë privatë njoftimi bëhet në qendrën e tij dhe i dorëzohet përfaqësuesit ose personit të ngarkuar për të marrë aktet dhe, në mungesë të tyre, një personi tjetër që punon në këtë qendër të personit juridik...”.</w:t>
      </w:r>
    </w:p>
    <w:p w14:paraId="423E88BC" w14:textId="77777777" w:rsidR="00F02E92" w:rsidRDefault="004E19E0">
      <w:pPr>
        <w:pStyle w:val="ListParagraph"/>
        <w:numPr>
          <w:ilvl w:val="1"/>
          <w:numId w:val="26"/>
        </w:numPr>
        <w:tabs>
          <w:tab w:val="left" w:pos="81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jc w:val="both"/>
        <w:rPr>
          <w:rFonts w:ascii="Times New Roman" w:eastAsia="Times New Roman" w:hAnsi="Times New Roman" w:cs="Times New Roman"/>
          <w:bCs/>
          <w:sz w:val="24"/>
          <w:szCs w:val="24"/>
          <w:lang w:val="sq-AL"/>
        </w:rPr>
      </w:pPr>
      <w:r w:rsidRPr="004E19E0">
        <w:rPr>
          <w:rFonts w:ascii="Times New Roman" w:eastAsia="Times New Roman" w:hAnsi="Times New Roman" w:cs="Times New Roman"/>
          <w:bCs/>
          <w:sz w:val="24"/>
          <w:szCs w:val="24"/>
          <w:lang w:val="sq-AL"/>
        </w:rPr>
        <w:t xml:space="preserve">Gjykata ka konkluduar se, </w:t>
      </w:r>
      <w:r w:rsidRPr="004E19E0">
        <w:rPr>
          <w:rFonts w:ascii="Times New Roman" w:eastAsia="Times New Roman" w:hAnsi="Times New Roman" w:cs="Times New Roman"/>
          <w:sz w:val="24"/>
          <w:szCs w:val="24"/>
          <w:lang w:val="sq-AL"/>
        </w:rPr>
        <w:t xml:space="preserve">nga hetimi gjyqësor nuk rezultoi që vendimi nr. 5220 datë 08.11.2016 i Gjykatës Administrative të Shkallës së Parë Tiranë t’i jetë komunikuar shoqërisë “Geci” SHPK e cila si pjesëmarrëse në bashkimin e operatorëve, por edhe si palë ndërgjyqëse duhet t’i respektohet e drejta procedurale. Pra pavarësisht marrëveshjes së bashkëpunimit mes palëve, nuk justifikohet mungesa e njoftimit për operatorin ekonomik “Geci” SHPK. Për të gjitha sa më sipër, Kolegj Administrativ i Apelit ka vlerësuar të mbështetur kërkesën e palës kërkuese për rivendosjen në afat të ankimit kundër vendimit nr. 5220 datë 08.11.2016. </w:t>
      </w:r>
    </w:p>
    <w:p w14:paraId="74107972" w14:textId="77777777" w:rsidR="002F4099" w:rsidRPr="003A3461" w:rsidRDefault="004E19E0" w:rsidP="002F4099">
      <w:pPr>
        <w:numPr>
          <w:ilvl w:val="1"/>
          <w:numId w:val="2"/>
        </w:numPr>
        <w:tabs>
          <w:tab w:val="left" w:pos="720"/>
          <w:tab w:val="num" w:pos="928"/>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contextualSpacing/>
        <w:jc w:val="both"/>
        <w:rPr>
          <w:rFonts w:ascii="Times New Roman" w:eastAsia="Times New Roman" w:hAnsi="Times New Roman" w:cs="Times New Roman"/>
          <w:b/>
          <w:bCs/>
          <w:sz w:val="24"/>
          <w:szCs w:val="24"/>
          <w:lang w:val="sq-AL"/>
        </w:rPr>
      </w:pPr>
      <w:r>
        <w:rPr>
          <w:rFonts w:ascii="Times New Roman" w:eastAsia="Times New Roman" w:hAnsi="Times New Roman" w:cs="Times New Roman"/>
          <w:bCs/>
          <w:sz w:val="24"/>
          <w:szCs w:val="24"/>
          <w:lang w:val="sq-AL"/>
        </w:rPr>
        <w:t xml:space="preserve">Kundër vendimit nr. 184, datë 23.05.2017 të Gjykatës Administrative të Apelit ka ushtruar </w:t>
      </w:r>
      <w:r w:rsidRPr="004E19E0">
        <w:rPr>
          <w:rFonts w:ascii="Times New Roman" w:eastAsia="Times New Roman" w:hAnsi="Times New Roman" w:cs="Times New Roman"/>
          <w:b/>
          <w:bCs/>
          <w:sz w:val="24"/>
          <w:szCs w:val="24"/>
          <w:lang w:val="sq-AL"/>
        </w:rPr>
        <w:t>rekurs</w:t>
      </w:r>
      <w:r>
        <w:rPr>
          <w:rFonts w:ascii="Times New Roman" w:eastAsia="Times New Roman" w:hAnsi="Times New Roman" w:cs="Times New Roman"/>
          <w:bCs/>
          <w:sz w:val="24"/>
          <w:szCs w:val="24"/>
          <w:lang w:val="sq-AL"/>
        </w:rPr>
        <w:t xml:space="preserve"> me datë 28.06.2017 personi i tretë, Komisioni i Prokurimit Publik, i cili ka kërkuar prishjen e vendimeve dhe rrëzimin e kërkesës për rivendosje në afat të ankimit. Në rekurs ka pretenduar ndër të tjera se:</w:t>
      </w:r>
    </w:p>
    <w:p w14:paraId="371012DC" w14:textId="77777777" w:rsidR="002F4099" w:rsidRPr="003A3461" w:rsidRDefault="004E19E0" w:rsidP="002F4099">
      <w:pPr>
        <w:numPr>
          <w:ilvl w:val="0"/>
          <w:numId w:val="22"/>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Nga kërkesa e paraqitur pranë Gjykatës Administrative të Shkallës së Parë Tiranë, ka rezultuar së paditësi BOE “Curri” SHPK, ka qenë në mungesë në shpalljen e vendimit dhe ka pretenduar, së “Nuk ka marrë dijeni, për Vendimin Nr. 5220, datë 08.11.2016, pra që “E ka marrë këtë vendim një punonjës i shoqërisë, teknik ndërtimi, i ngarkuar me detyrë për të punuar në një prej kantierëve të ndërtimit, ku shoqëria është duke zbatuar punimet, i gjendur rastësisht, në atë moment, në zyrat e shoqërisë, dhe i cili nuk është personi i duhur për të marrë njoftimet, në përputhje me nenin 130 të Kodit të Procedurës Civile”.</w:t>
      </w:r>
    </w:p>
    <w:p w14:paraId="7EB052EA" w14:textId="77777777" w:rsidR="002F4099" w:rsidRPr="003A3461" w:rsidRDefault="004E19E0" w:rsidP="002F4099">
      <w:pPr>
        <w:numPr>
          <w:ilvl w:val="0"/>
          <w:numId w:val="22"/>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Kërkuesi, në seancën e datës 01.03.2017, seanca e dhënies së vendimit, pretendoi së “Personi që e ka marrë vendimin e Gjykatës Administrative të Shkallës së Parë Tiranë, Nr. 5220, datë 08.11.2016, është një teknik, ka kontratë pune 1 vjeçare, nuk e dinte rëndësinë e vendimit dhe që së mbante mend që kur e kishte marrë dhe për çfarë bëhej fjalë, duke mos kuptuar “rëndësinë e madhe” të tij.</w:t>
      </w:r>
    </w:p>
    <w:p w14:paraId="4D69E8C6" w14:textId="77777777" w:rsidR="002F4099" w:rsidRPr="003A3461" w:rsidRDefault="004E19E0" w:rsidP="002F4099">
      <w:pPr>
        <w:numPr>
          <w:ilvl w:val="0"/>
          <w:numId w:val="22"/>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Kërkuesi, pretendoi edhe se ky vendim i gjykatës nuk i është njoftuar të dy operatorëve të Bashkimit Ekonomik, pra edhe Shoqërisë “Curri” SHPK edhe Shoqërisë “Geci“ SHPK, duke pranuar së vendimi i është njoftuar vetëm Shoqërisë “Curri” SHPK. Por në bazë të Kontratës së Përkohshme të Bashkëpunimit, “Curri” SHPK, është përfaqësuesi i Bashkimit të Operatorëve dhe si i tillë, Vendimi Nr. 5220, datë 08.11.2016, i Gjykatës Administrative të Shkallës së Parë, i është njoftuar përfaqësuesit të këtij bashkimi.</w:t>
      </w:r>
    </w:p>
    <w:p w14:paraId="7313C0E1" w14:textId="77777777" w:rsidR="002F4099" w:rsidRPr="003A3461" w:rsidRDefault="004E19E0" w:rsidP="002F4099">
      <w:pPr>
        <w:numPr>
          <w:ilvl w:val="0"/>
          <w:numId w:val="22"/>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Kërkuesi, ka paraqitur në gjykatë, Listë të punonjësve të Operatorit Ekonomik Shoqërisë ”CURRI” SHPK, ku rezulton punonjës, personi që ka marrë dijeni për Vendimin Nr. 5220, datë 08.11.2016, i Gjykatës Administrative të Shkallës së Parë. Akoma më tej, në referim të nenit 27 të Kodit të Punës me titull “Përgjegjësitë e punëmarrësit”, është punëmarrësi që përgjigjet ndaj punëdhënësit për dëmin e shkaktuar me faj apo nga pakujdesia dhe në rastin konkret mosmarrëveshja duhet të ishte private dhe jo administrativë. Pra pala kërkuese duhet të bënte konflikt gjyqësor punëmarrësin i cili ka marrë dijeni për vendimin e gjykatës dhe jo të kërkonte rivendosjen në afat për të ushtruar të drejtën e ankimit kundër vendimit gjyqësor.</w:t>
      </w:r>
    </w:p>
    <w:p w14:paraId="57DB667B" w14:textId="77777777" w:rsidR="002F4099" w:rsidRPr="003A3461" w:rsidRDefault="004E19E0" w:rsidP="002F4099">
      <w:pPr>
        <w:numPr>
          <w:ilvl w:val="0"/>
          <w:numId w:val="22"/>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Pra në bazë të përcaktimeve të Nenit 130, të Kodi i Procedurës Civile, Njoftimi i Akteve nga Gjykata Administrative e Shkallës së Parë Tiranë, është bërë në përmbushje të këtyre përcaktimeve, meqenëse për vendimin në fjalë, ka marrë dijeni, një punonjës i operatorit ekonomik Shoqërisë CURRI” SHPK, megjithë arsyetimin jo ligjor dhe jo logjik, të kërkuesit që “ky punonjës është teknik, së kupton rëndësinë e vendimit, ka kontratë provizore 1 vjeçare”, pretendime të cilat, nuk kanë asnjë përcaktim ligjor në Nenin 130 të Kodi i Procedurës Civile, i cili nuk ka të përcaktuar as cilësi kualifikimi dhe as afat të marrjes në punë, nga punëdhënësi, të asnjë prej të punësuarve prej tij, për të marrë dijeni të Njoftimit Shkresor të Akteve nga gjykata.</w:t>
      </w:r>
    </w:p>
    <w:p w14:paraId="16F76882" w14:textId="77777777" w:rsidR="002F4099" w:rsidRPr="003A3461" w:rsidRDefault="004E19E0" w:rsidP="002F409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 xml:space="preserve">    11. Kundër vendimit nr. 184, datë 23.05.2017 të Gjykatës Administrative të Apelit ka ushtruar </w:t>
      </w:r>
      <w:r w:rsidRPr="004E19E0">
        <w:rPr>
          <w:rFonts w:ascii="Times New Roman" w:eastAsia="Times New Roman" w:hAnsi="Times New Roman" w:cs="Times New Roman"/>
          <w:b/>
          <w:bCs/>
          <w:sz w:val="24"/>
          <w:szCs w:val="24"/>
          <w:lang w:val="sq-AL"/>
        </w:rPr>
        <w:t>rekurs</w:t>
      </w:r>
      <w:r>
        <w:rPr>
          <w:rFonts w:ascii="Times New Roman" w:eastAsia="Times New Roman" w:hAnsi="Times New Roman" w:cs="Times New Roman"/>
          <w:bCs/>
          <w:sz w:val="24"/>
          <w:szCs w:val="24"/>
          <w:lang w:val="sq-AL"/>
        </w:rPr>
        <w:t xml:space="preserve"> me datë 13.06.2017, Avokatura e Shtetit e cila ka kërkuar prishjen e vendimeve dhe rrëzimin e kërkesës për rivendosje në afat të ankimit. Në rekurs ka pretenduar ndër të tjera se:</w:t>
      </w:r>
    </w:p>
    <w:p w14:paraId="2C710551" w14:textId="77777777" w:rsidR="002F4099" w:rsidRPr="003A3461" w:rsidRDefault="004E19E0" w:rsidP="00DD2F10">
      <w:pPr>
        <w:numPr>
          <w:ilvl w:val="0"/>
          <w:numId w:val="20"/>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Gjykata Administrative e Apelit nuk ka relatuar siç janë faktet. Arsyetimi i gjykatave është tërësisht i pa bazuar në KPC dhe është pa asnjë logjikë juridike. Në faqen 7 të vendimit Gjykata Administrative e Apelit, njësoj siç e ka arsyetuar dhe Gjykata e shkallës së parë, në mënyrë të gabuar në interpretim të Kodit të Procedurës Civile se “Veçoria e të paraqiturit në gjykim si bashkim operatorësh nuk mund të cenojë të drejtat procedurale që do të gëzonin operatorët ekonomikë në rast se do ti ishin drejtuar gjykatës në mënyrë individuale”. </w:t>
      </w:r>
      <w:r w:rsidRPr="004E19E0">
        <w:rPr>
          <w:rFonts w:ascii="Times New Roman" w:eastAsia="Times New Roman" w:hAnsi="Times New Roman" w:cs="Times New Roman"/>
          <w:sz w:val="24"/>
          <w:szCs w:val="24"/>
          <w:lang w:val="sq-AL" w:eastAsia="sq-AL"/>
        </w:rPr>
        <w:t>Ky “arsyetim”, i të dy gjykatave është tërësisht i pa bazuar në K.Pr.Civile dhe është pa asnjë logjikë juridike, përveç faktit se meqenëse pjesëmarrësit e BOE janë mbledhur dhe kanë bërë marrëveshje bashkëpunimi për pjesëmarrje ne procedurat e prokurimit, të cilat nga zërat e punimeve të parashikuara, kanë zëra, pajisję, makineri, burime njerëzore, kapacitete, etj., te cilat mund ti sigurojnë si një subjekt më vete dhe në kushtet kur paditës është përfaqësuesi i BOE.</w:t>
      </w:r>
    </w:p>
    <w:p w14:paraId="06E5AFD9" w14:textId="77777777" w:rsidR="002F4099" w:rsidRPr="003A3461" w:rsidRDefault="004E19E0" w:rsidP="002F4099">
      <w:pPr>
        <w:numPr>
          <w:ilvl w:val="0"/>
          <w:numId w:val="20"/>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sidRPr="004E19E0">
        <w:rPr>
          <w:rFonts w:ascii="Times New Roman" w:eastAsia="Times New Roman" w:hAnsi="Times New Roman" w:cs="Times New Roman"/>
          <w:sz w:val="24"/>
          <w:szCs w:val="24"/>
          <w:lang w:val="sq-AL" w:eastAsia="sq-AL"/>
        </w:rPr>
        <w:t>Në situatën hipotetike sikur ankimues ne gjykatë do te ishte vetëm njeri nga pjesëmarrësit-në BOE, atëherë asnjë gjykate nuk mund ti jepte të drejtë, për kundërshtim të një vendimmarrje të organit administrativ, në lidhje me një procedure prokurimi, sepse kjo do të thoshte, që gjykata te shprehej vetëm për një pjesë të veprimtarisë administrative të AK dhe nëse do të pranohej ky objekt kërkese padie dhe ky vendim gjykate të merrte formë të prerë, do të rezultonte “i pazbatueshëm”. duke qenë se do të prekej pjesërisht një vendimmarrje administrative, kur realisht të gjitha veprimet për pjesëmarrjen në procedura prokurimi, janë kryer nga përfaqësuesi i BOE. Kjo do të thotë, që komunikimi i një vendimi gjykate, në mungesë të paditësit, i cili ka paraqitur kërkese padi në gjykate si BOE, të pretendojë se duhet njoftuar për vendimmarrjen secili nga operatorët ekonomike, pjesëtare të marrëveshjes së bashkëpunimit.</w:t>
      </w:r>
    </w:p>
    <w:p w14:paraId="3497CCE2" w14:textId="77777777" w:rsidR="002F4099" w:rsidRPr="003A3461" w:rsidRDefault="004E19E0" w:rsidP="002F4099">
      <w:pPr>
        <w:numPr>
          <w:ilvl w:val="0"/>
          <w:numId w:val="20"/>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sidRPr="004E19E0">
        <w:rPr>
          <w:rFonts w:ascii="Times New Roman" w:eastAsia="Times New Roman" w:hAnsi="Times New Roman" w:cs="Times New Roman"/>
          <w:sz w:val="24"/>
          <w:szCs w:val="24"/>
          <w:lang w:val="sq-AL" w:eastAsia="sq-AL"/>
        </w:rPr>
        <w:t xml:space="preserve"> Derisa ka rezultuar që për vendimin nr. 5220, date 08.11.2016 të Gjykatës Administrative të Shkallës së Parë Tiranë, ka marre dijeni një punonjës i Shoqërisë “Curri” Shpk., konsiderohet i ezauruar, komunikimi i këtij vendimi edhe për </w:t>
      </w:r>
      <w:r w:rsidRPr="004E19E0">
        <w:rPr>
          <w:rFonts w:ascii="Times New Roman" w:eastAsia="Times New Roman" w:hAnsi="Times New Roman" w:cs="Times New Roman"/>
          <w:sz w:val="24"/>
          <w:szCs w:val="24"/>
          <w:lang w:val="sq-AL" w:eastAsia="sq-AL"/>
        </w:rPr>
        <w:lastRenderedPageBreak/>
        <w:t xml:space="preserve">anëtarin tjetër te BOE, Pra të dy gjykatat, në mënyrë të gabuar kanë </w:t>
      </w:r>
      <w:r w:rsidR="00EE2111" w:rsidRPr="004E19E0">
        <w:rPr>
          <w:rFonts w:ascii="Times New Roman" w:eastAsia="Times New Roman" w:hAnsi="Times New Roman" w:cs="Times New Roman"/>
          <w:sz w:val="24"/>
          <w:szCs w:val="24"/>
          <w:lang w:val="sq-AL" w:eastAsia="sq-AL"/>
        </w:rPr>
        <w:t>konsideruar</w:t>
      </w:r>
      <w:r w:rsidRPr="004E19E0">
        <w:rPr>
          <w:rFonts w:ascii="Times New Roman" w:eastAsia="Times New Roman" w:hAnsi="Times New Roman" w:cs="Times New Roman"/>
          <w:sz w:val="24"/>
          <w:szCs w:val="24"/>
          <w:lang w:val="sq-AL" w:eastAsia="sq-AL"/>
        </w:rPr>
        <w:t xml:space="preserve"> se njoftimi nuk i është bërë dhe anëtarit tjetër të këtij BOE.</w:t>
      </w:r>
    </w:p>
    <w:p w14:paraId="3E9BC4A8" w14:textId="77777777" w:rsidR="002F4099" w:rsidRPr="003A3461" w:rsidRDefault="004E19E0" w:rsidP="002F4099">
      <w:pPr>
        <w:numPr>
          <w:ilvl w:val="0"/>
          <w:numId w:val="20"/>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sidRPr="004E19E0">
        <w:rPr>
          <w:rFonts w:ascii="Times New Roman" w:eastAsia="Times New Roman" w:hAnsi="Times New Roman" w:cs="Times New Roman"/>
          <w:sz w:val="24"/>
          <w:szCs w:val="24"/>
          <w:lang w:val="sq-AL" w:eastAsia="sq-AL"/>
        </w:rPr>
        <w:t>Për më tepër si gjykata e shkallës së parë, si Gjykata e Apelit, në mënyrë krejt të gabuar janë shprehur se “Njoftimi për vendimin nuk i është bërë Shoqërisë “Curri” SHPK dhe as Shoqërisë “Geci” SHPK., kur komunikimi i vendimit është bërë i rregullt duke ja dorëzuar një punonjësi të shoqërisë “Curri” SHPK si përfaqësues i BOE. Kërkuesi, ka paraqitur në gjykatë, listë të punonjësve të Operatorit Ekonomik Shoqërisë “CURRI” SHPK, ku rezulton punonjësi, personi që ka marre dijeni për vendimin nr. 5220. datë 08.11.2016, i Gjykatës Administrative të Shkallës së parë.</w:t>
      </w:r>
    </w:p>
    <w:p w14:paraId="78D4309A" w14:textId="77777777" w:rsidR="002F4099" w:rsidRPr="003A3461" w:rsidRDefault="004E19E0" w:rsidP="00842F9A">
      <w:pPr>
        <w:numPr>
          <w:ilvl w:val="0"/>
          <w:numId w:val="20"/>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Në bazë të përcaktimeve të neneve 130 të KPC-së Njoftimi i Akteve nga Gjykata Administrative të Shkallës së Parë është bërë në përmbushje të këtyre përcaktimeve, meqenëse për vendimin ka marrë dijeni punonjësi i operatorit ekonomik. Gjykata në vendimin e saj shfaqet konfuze kur në dispozitiv të vendimit shprehet për të drejtën e rekursit dhe nuk kuptohet a është gjykuar themeli apo “rivendosja në afat e ankimit”.</w:t>
      </w:r>
    </w:p>
    <w:p w14:paraId="7F598066" w14:textId="77777777" w:rsidR="00213449" w:rsidRPr="003A3461" w:rsidRDefault="00213449" w:rsidP="00842F9A">
      <w:pPr>
        <w:tabs>
          <w:tab w:val="left" w:pos="540"/>
          <w:tab w:val="num"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cs="Times New Roman"/>
          <w:sz w:val="24"/>
          <w:szCs w:val="24"/>
          <w:lang w:val="sq-AL"/>
        </w:rPr>
      </w:pPr>
    </w:p>
    <w:p w14:paraId="279FBE05" w14:textId="77777777" w:rsidR="00F02E92" w:rsidRDefault="004E19E0">
      <w:pPr>
        <w:pStyle w:val="ListParagraph"/>
        <w:numPr>
          <w:ilvl w:val="0"/>
          <w:numId w:val="2"/>
        </w:numPr>
        <w:shd w:val="clear" w:color="auto" w:fill="FFFFFF"/>
        <w:tabs>
          <w:tab w:val="left" w:pos="540"/>
        </w:tabs>
        <w:spacing w:after="0" w:line="240" w:lineRule="auto"/>
        <w:ind w:hanging="361"/>
        <w:jc w:val="both"/>
        <w:rPr>
          <w:rFonts w:ascii="Times New Roman" w:hAnsi="Times New Roman" w:cs="Times New Roman"/>
          <w:b/>
          <w:sz w:val="24"/>
          <w:szCs w:val="24"/>
          <w:lang w:val="sq-AL"/>
        </w:rPr>
      </w:pPr>
      <w:r>
        <w:rPr>
          <w:rFonts w:ascii="Times New Roman" w:hAnsi="Times New Roman" w:cs="Times New Roman"/>
          <w:b/>
          <w:sz w:val="24"/>
          <w:szCs w:val="24"/>
          <w:lang w:val="sq-AL"/>
        </w:rPr>
        <w:t xml:space="preserve">Vlerësimi i Kolegjit Administrativ </w:t>
      </w:r>
    </w:p>
    <w:p w14:paraId="36498E20" w14:textId="77777777" w:rsidR="0075627B" w:rsidRPr="003A3461" w:rsidRDefault="0075627B" w:rsidP="00811659">
      <w:pPr>
        <w:shd w:val="clear" w:color="auto" w:fill="FFFFFF"/>
        <w:tabs>
          <w:tab w:val="left" w:pos="540"/>
        </w:tabs>
        <w:spacing w:after="0" w:line="240" w:lineRule="auto"/>
        <w:jc w:val="both"/>
        <w:rPr>
          <w:rFonts w:ascii="Times New Roman" w:hAnsi="Times New Roman" w:cs="Times New Roman"/>
          <w:b/>
          <w:sz w:val="24"/>
          <w:szCs w:val="24"/>
          <w:lang w:val="sq-AL"/>
        </w:rPr>
      </w:pPr>
    </w:p>
    <w:p w14:paraId="3EDE1FF7" w14:textId="77777777" w:rsidR="00F02E92" w:rsidRDefault="004E19E0">
      <w:pPr>
        <w:pStyle w:val="ListParagraph"/>
        <w:numPr>
          <w:ilvl w:val="0"/>
          <w:numId w:val="27"/>
        </w:numPr>
        <w:tabs>
          <w:tab w:val="left" w:pos="0"/>
          <w:tab w:val="left" w:pos="360"/>
          <w:tab w:val="left" w:pos="851"/>
          <w:tab w:val="left" w:pos="7920"/>
          <w:tab w:val="left" w:pos="8640"/>
          <w:tab w:val="left" w:pos="9360"/>
          <w:tab w:val="left" w:pos="10080"/>
          <w:tab w:val="left" w:pos="10800"/>
          <w:tab w:val="left" w:pos="11520"/>
          <w:tab w:val="left" w:pos="12240"/>
          <w:tab w:val="left" w:pos="12960"/>
        </w:tabs>
        <w:spacing w:after="0" w:line="240" w:lineRule="auto"/>
        <w:ind w:left="0" w:firstLine="360"/>
        <w:jc w:val="both"/>
        <w:rPr>
          <w:rFonts w:ascii="Times New Roman" w:hAnsi="Times New Roman" w:cs="Times New Roman"/>
          <w:sz w:val="24"/>
          <w:szCs w:val="24"/>
          <w:bdr w:val="none" w:sz="0" w:space="0" w:color="auto" w:frame="1"/>
          <w:shd w:val="clear" w:color="auto" w:fill="FFFFFF"/>
          <w:lang w:val="sq-AL"/>
        </w:rPr>
      </w:pPr>
      <w:r w:rsidRPr="004E19E0">
        <w:rPr>
          <w:rFonts w:ascii="Times New Roman" w:hAnsi="Times New Roman" w:cs="Times New Roman"/>
          <w:bCs/>
          <w:sz w:val="24"/>
          <w:szCs w:val="24"/>
          <w:lang w:val="sq-AL"/>
        </w:rPr>
        <w:t xml:space="preserve">Kolegji konstaton se rekurset e paraqitura nga personi i tretë KPP dhe Avokatura e Shtetit janë depozituar brenda afatit prej 30 (tridhjetë) ditësh të parashikuar në nenin 443(2) të Kodit të Procedurës Civile. Gjithashtu, rekurset i janë komunikuar rregullisht, palës kërkuese, personit të tretë Fondi Shqiptar i Zhvillimit, Bashkimit të Operatorëve Ekonomikë, Shoqëria “PE- VLA-KU”, Shoqëria “Gjikuria”, Shoqëria “Garden Line”, të cilat nuk ka ushtruar të drejtën e kundërrekursit. </w:t>
      </w:r>
    </w:p>
    <w:p w14:paraId="6A7D255D" w14:textId="77777777" w:rsidR="00F02E92" w:rsidRDefault="004E19E0">
      <w:pPr>
        <w:pStyle w:val="ListParagraph"/>
        <w:numPr>
          <w:ilvl w:val="0"/>
          <w:numId w:val="27"/>
        </w:numPr>
        <w:tabs>
          <w:tab w:val="left" w:pos="0"/>
          <w:tab w:val="left" w:pos="360"/>
          <w:tab w:val="left" w:pos="851"/>
          <w:tab w:val="left" w:pos="7920"/>
          <w:tab w:val="left" w:pos="8640"/>
          <w:tab w:val="left" w:pos="9360"/>
          <w:tab w:val="left" w:pos="10080"/>
          <w:tab w:val="left" w:pos="10800"/>
          <w:tab w:val="left" w:pos="11520"/>
          <w:tab w:val="left" w:pos="12240"/>
          <w:tab w:val="left" w:pos="12960"/>
        </w:tabs>
        <w:spacing w:after="0" w:line="240" w:lineRule="auto"/>
        <w:ind w:left="0" w:firstLine="360"/>
        <w:jc w:val="both"/>
        <w:rPr>
          <w:rFonts w:ascii="Times New Roman" w:hAnsi="Times New Roman" w:cs="Times New Roman"/>
          <w:sz w:val="24"/>
          <w:szCs w:val="24"/>
          <w:bdr w:val="none" w:sz="0" w:space="0" w:color="auto" w:frame="1"/>
          <w:shd w:val="clear" w:color="auto" w:fill="FFFFFF"/>
          <w:lang w:val="sq-AL"/>
        </w:rPr>
      </w:pPr>
      <w:r w:rsidRPr="004E19E0">
        <w:rPr>
          <w:rFonts w:ascii="Times New Roman" w:hAnsi="Times New Roman" w:cs="Times New Roman"/>
          <w:sz w:val="24"/>
          <w:szCs w:val="24"/>
          <w:lang w:val="sq-AL"/>
        </w:rPr>
        <w:t xml:space="preserve">Kolegji vlerëson se rekurset përmbajnë shkaqe nga ato të parashikuara </w:t>
      </w:r>
      <w:r w:rsidRPr="004E19E0">
        <w:rPr>
          <w:rFonts w:ascii="Times New Roman" w:eastAsia="Times New Roman" w:hAnsi="Times New Roman" w:cs="Times New Roman"/>
          <w:bCs/>
          <w:sz w:val="24"/>
          <w:szCs w:val="24"/>
          <w:lang w:val="sq-AL"/>
        </w:rPr>
        <w:t>në nenin 58 (c) të ligjit nr. 49/2012 “Për Gjykatat Administrative dhe Gjykimin e Mosmarrëveshjeve Administrative”, i ndryshuar</w:t>
      </w:r>
      <w:r w:rsidRPr="004E19E0">
        <w:rPr>
          <w:rFonts w:ascii="Times New Roman" w:eastAsia="Times New Roman" w:hAnsi="Times New Roman" w:cs="Times New Roman"/>
          <w:sz w:val="24"/>
          <w:szCs w:val="24"/>
          <w:lang w:val="sq-AL"/>
        </w:rPr>
        <w:t xml:space="preserve">. Kjo dispozitë, pas datës 05.05.2017 parashikon se </w:t>
      </w:r>
      <w:r w:rsidRPr="004E19E0">
        <w:rPr>
          <w:rFonts w:ascii="Times New Roman" w:eastAsia="Times New Roman" w:hAnsi="Times New Roman" w:cs="Times New Roman"/>
          <w:i/>
          <w:sz w:val="24"/>
          <w:szCs w:val="24"/>
          <w:lang w:val="sq-AL"/>
        </w:rPr>
        <w:t xml:space="preserve">“Vendimet e shpallura nga Gjykata Administrative e Apelit në rastet që parashikohen në këtë ligj, mund të ankimohen me rekurs në Gjykatën e Lartë: </w:t>
      </w:r>
      <w:r w:rsidRPr="004E19E0">
        <w:rPr>
          <w:rFonts w:ascii="Times New Roman" w:eastAsia="Times New Roman" w:hAnsi="Times New Roman" w:cs="Times New Roman"/>
          <w:bCs/>
          <w:i/>
          <w:sz w:val="24"/>
          <w:szCs w:val="24"/>
          <w:lang w:val="sq-AL"/>
        </w:rPr>
        <w:t>a</w:t>
      </w:r>
      <w:r w:rsidRPr="004E19E0">
        <w:rPr>
          <w:rFonts w:ascii="Times New Roman" w:eastAsia="Times New Roman" w:hAnsi="Times New Roman" w:cs="Times New Roman"/>
          <w:i/>
          <w:sz w:val="24"/>
          <w:szCs w:val="24"/>
          <w:lang w:val="sq-AL"/>
        </w:rPr>
        <w:t>)</w:t>
      </w:r>
      <w:r w:rsidRPr="004E19E0">
        <w:rPr>
          <w:rFonts w:ascii="Times New Roman" w:eastAsia="Times New Roman" w:hAnsi="Times New Roman" w:cs="Times New Roman"/>
          <w:b/>
          <w:bCs/>
          <w:i/>
          <w:sz w:val="24"/>
          <w:szCs w:val="24"/>
          <w:lang w:val="sq-AL"/>
        </w:rPr>
        <w:t xml:space="preserve"> </w:t>
      </w:r>
      <w:r w:rsidRPr="004E19E0">
        <w:rPr>
          <w:rFonts w:ascii="Times New Roman" w:eastAsia="Times New Roman" w:hAnsi="Times New Roman" w:cs="Times New Roman"/>
          <w:i/>
          <w:sz w:val="24"/>
          <w:szCs w:val="24"/>
          <w:lang w:val="sq-AL"/>
        </w:rPr>
        <w:t>për zbatim të gabuar të ligjit</w:t>
      </w:r>
      <w:r w:rsidRPr="004E19E0">
        <w:rPr>
          <w:rFonts w:ascii="Times New Roman" w:eastAsia="Times New Roman" w:hAnsi="Times New Roman" w:cs="Times New Roman"/>
          <w:bCs/>
          <w:i/>
          <w:sz w:val="24"/>
          <w:szCs w:val="24"/>
          <w:lang w:val="sq-AL"/>
        </w:rPr>
        <w:t xml:space="preserve"> material ose </w:t>
      </w:r>
      <w:r w:rsidRPr="004E19E0">
        <w:rPr>
          <w:rFonts w:ascii="Times New Roman" w:eastAsia="Times New Roman" w:hAnsi="Times New Roman" w:cs="Times New Roman"/>
          <w:i/>
          <w:sz w:val="24"/>
          <w:szCs w:val="24"/>
          <w:lang w:val="sq-AL"/>
        </w:rPr>
        <w:t>procedural</w:t>
      </w:r>
      <w:r w:rsidRPr="004E19E0">
        <w:rPr>
          <w:rFonts w:ascii="Times New Roman" w:eastAsia="Times New Roman" w:hAnsi="Times New Roman" w:cs="Times New Roman"/>
          <w:bCs/>
          <w:i/>
          <w:sz w:val="24"/>
          <w:szCs w:val="24"/>
          <w:lang w:val="sq-AL"/>
        </w:rPr>
        <w:t xml:space="preserve">, </w:t>
      </w:r>
      <w:r w:rsidRPr="004E19E0">
        <w:rPr>
          <w:rFonts w:ascii="Times New Roman" w:eastAsia="Times New Roman" w:hAnsi="Times New Roman" w:cs="Times New Roman"/>
          <w:i/>
          <w:sz w:val="24"/>
          <w:szCs w:val="24"/>
          <w:lang w:val="sq-AL"/>
        </w:rPr>
        <w:t>të një rëndësie themelore</w:t>
      </w:r>
      <w:r w:rsidRPr="004E19E0">
        <w:rPr>
          <w:rFonts w:ascii="Times New Roman" w:eastAsia="Times New Roman" w:hAnsi="Times New Roman" w:cs="Times New Roman"/>
          <w:bCs/>
          <w:i/>
          <w:sz w:val="24"/>
          <w:szCs w:val="24"/>
          <w:lang w:val="sq-AL"/>
        </w:rPr>
        <w:t xml:space="preserve"> </w:t>
      </w:r>
      <w:r w:rsidRPr="004E19E0">
        <w:rPr>
          <w:rFonts w:ascii="Times New Roman" w:eastAsia="Times New Roman" w:hAnsi="Times New Roman" w:cs="Times New Roman"/>
          <w:i/>
          <w:sz w:val="24"/>
          <w:szCs w:val="24"/>
          <w:lang w:val="sq-AL"/>
        </w:rPr>
        <w:t>për</w:t>
      </w:r>
      <w:r w:rsidRPr="004E19E0">
        <w:rPr>
          <w:rFonts w:ascii="Times New Roman" w:eastAsia="Times New Roman" w:hAnsi="Times New Roman" w:cs="Times New Roman"/>
          <w:bCs/>
          <w:i/>
          <w:sz w:val="24"/>
          <w:szCs w:val="24"/>
          <w:lang w:val="sq-AL"/>
        </w:rPr>
        <w:t xml:space="preserve"> njehsimin, sigurinë dhe/ose </w:t>
      </w:r>
      <w:r w:rsidRPr="004E19E0">
        <w:rPr>
          <w:rFonts w:ascii="Times New Roman" w:eastAsia="Times New Roman" w:hAnsi="Times New Roman" w:cs="Times New Roman"/>
          <w:i/>
          <w:sz w:val="24"/>
          <w:szCs w:val="24"/>
          <w:lang w:val="sq-AL"/>
        </w:rPr>
        <w:t>zhvillimin e praktikës gjyqësore</w:t>
      </w:r>
      <w:r w:rsidRPr="004E19E0">
        <w:rPr>
          <w:rFonts w:ascii="Times New Roman" w:eastAsia="Times New Roman" w:hAnsi="Times New Roman" w:cs="Times New Roman"/>
          <w:bCs/>
          <w:i/>
          <w:sz w:val="24"/>
          <w:szCs w:val="24"/>
          <w:lang w:val="sq-AL"/>
        </w:rPr>
        <w:t xml:space="preserve">; b) kur vendimi i ankimuar është i ndryshëm nga praktika e Kolegjit Administrativ ose e Kolegjeve të Bashkuara të Gjykatës së Lartë; </w:t>
      </w:r>
      <w:r w:rsidRPr="004E19E0">
        <w:rPr>
          <w:rFonts w:ascii="Times New Roman" w:eastAsia="Times New Roman" w:hAnsi="Times New Roman" w:cs="Times New Roman"/>
          <w:i/>
          <w:sz w:val="24"/>
          <w:szCs w:val="24"/>
          <w:lang w:val="sq-AL"/>
        </w:rPr>
        <w:t>c)</w:t>
      </w:r>
      <w:r w:rsidRPr="004E19E0">
        <w:rPr>
          <w:rFonts w:ascii="Times New Roman" w:eastAsia="Times New Roman" w:hAnsi="Times New Roman" w:cs="Times New Roman"/>
          <w:bCs/>
          <w:i/>
          <w:sz w:val="24"/>
          <w:szCs w:val="24"/>
          <w:lang w:val="sq-AL"/>
        </w:rPr>
        <w:t xml:space="preserve"> ka shkelje të rënda të normave procedurale, me pasojë pavlefshmërinë e vendimit ose të procedurës së gjykimit</w:t>
      </w:r>
      <w:r>
        <w:rPr>
          <w:rFonts w:ascii="Times New Roman" w:eastAsia="Times New Roman" w:hAnsi="Times New Roman" w:cs="Times New Roman"/>
          <w:bCs/>
          <w:i/>
          <w:sz w:val="24"/>
          <w:szCs w:val="24"/>
          <w:lang w:val="sq-AL"/>
        </w:rPr>
        <w:t>.</w:t>
      </w:r>
      <w:r w:rsidRPr="004E19E0">
        <w:rPr>
          <w:rFonts w:ascii="Times New Roman" w:eastAsia="Times New Roman" w:hAnsi="Times New Roman" w:cs="Times New Roman"/>
          <w:sz w:val="24"/>
          <w:szCs w:val="24"/>
          <w:lang w:val="sq-AL"/>
        </w:rPr>
        <w:t>”</w:t>
      </w:r>
    </w:p>
    <w:p w14:paraId="5E0F4A6F" w14:textId="77777777" w:rsidR="00F02E92" w:rsidRDefault="004E19E0">
      <w:pPr>
        <w:pStyle w:val="ListParagraph"/>
        <w:numPr>
          <w:ilvl w:val="0"/>
          <w:numId w:val="27"/>
        </w:numPr>
        <w:tabs>
          <w:tab w:val="left" w:pos="0"/>
          <w:tab w:val="left" w:pos="360"/>
          <w:tab w:val="left" w:pos="851"/>
          <w:tab w:val="left" w:pos="7920"/>
          <w:tab w:val="left" w:pos="8640"/>
          <w:tab w:val="left" w:pos="9360"/>
          <w:tab w:val="left" w:pos="10080"/>
          <w:tab w:val="left" w:pos="10800"/>
          <w:tab w:val="left" w:pos="11520"/>
          <w:tab w:val="left" w:pos="12240"/>
          <w:tab w:val="left" w:pos="12960"/>
        </w:tabs>
        <w:spacing w:after="0" w:line="240" w:lineRule="auto"/>
        <w:ind w:left="0" w:firstLine="360"/>
        <w:jc w:val="both"/>
        <w:rPr>
          <w:rFonts w:ascii="Times New Roman" w:hAnsi="Times New Roman" w:cs="Times New Roman"/>
          <w:sz w:val="24"/>
          <w:szCs w:val="24"/>
          <w:bdr w:val="none" w:sz="0" w:space="0" w:color="auto" w:frame="1"/>
          <w:shd w:val="clear" w:color="auto" w:fill="FFFFFF"/>
          <w:lang w:val="sq-AL"/>
        </w:rPr>
      </w:pPr>
      <w:r w:rsidRPr="004E19E0">
        <w:rPr>
          <w:rFonts w:ascii="Times New Roman" w:hAnsi="Times New Roman" w:cs="Times New Roman"/>
          <w:sz w:val="24"/>
          <w:szCs w:val="24"/>
          <w:bdr w:val="none" w:sz="0" w:space="0" w:color="auto" w:frame="1"/>
          <w:shd w:val="clear" w:color="auto" w:fill="FFFFFF"/>
          <w:lang w:val="sq-AL"/>
        </w:rPr>
        <w:t>Për këtë arsye, Kolegji vlerëson se qëndrimi i mbajtur nga Gjykata Administrative e Apelit dhe Gjykata Administrative e Shkallës së Parë Tiranë janë në një linjë të gabuar arsyetimi që nuk përputhen me parashikimet e ligjit material dhe procedural</w:t>
      </w:r>
      <w:r w:rsidR="008B63A9">
        <w:rPr>
          <w:rFonts w:ascii="Times New Roman" w:hAnsi="Times New Roman" w:cs="Times New Roman"/>
          <w:sz w:val="24"/>
          <w:szCs w:val="24"/>
          <w:bdr w:val="none" w:sz="0" w:space="0" w:color="auto" w:frame="1"/>
          <w:shd w:val="clear" w:color="auto" w:fill="FFFFFF"/>
          <w:lang w:val="sq-AL"/>
        </w:rPr>
        <w:t xml:space="preserve"> dhe </w:t>
      </w:r>
      <w:r w:rsidRPr="004E19E0">
        <w:rPr>
          <w:rFonts w:ascii="Times New Roman" w:hAnsi="Times New Roman" w:cs="Times New Roman"/>
          <w:sz w:val="24"/>
          <w:szCs w:val="24"/>
          <w:bdr w:val="none" w:sz="0" w:space="0" w:color="auto" w:frame="1"/>
          <w:shd w:val="clear" w:color="auto" w:fill="FFFFFF"/>
          <w:lang w:val="sq-AL"/>
        </w:rPr>
        <w:t>për këtë arsye vendimi nr. 184, datë 23.05.2017 i Gjykatës Administrative të Apelit dhe vendimi nr.</w:t>
      </w:r>
      <w:r w:rsidR="008B63A9">
        <w:rPr>
          <w:rFonts w:ascii="Times New Roman" w:hAnsi="Times New Roman" w:cs="Times New Roman"/>
          <w:sz w:val="24"/>
          <w:szCs w:val="24"/>
          <w:bdr w:val="none" w:sz="0" w:space="0" w:color="auto" w:frame="1"/>
          <w:shd w:val="clear" w:color="auto" w:fill="FFFFFF"/>
          <w:lang w:val="sq-AL"/>
        </w:rPr>
        <w:t xml:space="preserve"> </w:t>
      </w:r>
      <w:r w:rsidRPr="004E19E0">
        <w:rPr>
          <w:rFonts w:ascii="Times New Roman" w:hAnsi="Times New Roman" w:cs="Times New Roman"/>
          <w:sz w:val="24"/>
          <w:szCs w:val="24"/>
          <w:bdr w:val="none" w:sz="0" w:space="0" w:color="auto" w:frame="1"/>
          <w:shd w:val="clear" w:color="auto" w:fill="FFFFFF"/>
          <w:lang w:val="sq-AL"/>
        </w:rPr>
        <w:t>15 akti, datë 01.03.2017 i Gjykatës Administrative të Shkallës së Parë Tiranë duhet të ndryshohen dhe kërkesa për rivendosje në afat të ankimit kundër vendimit nr.</w:t>
      </w:r>
      <w:r w:rsidR="008B63A9">
        <w:rPr>
          <w:rFonts w:ascii="Times New Roman" w:hAnsi="Times New Roman" w:cs="Times New Roman"/>
          <w:sz w:val="24"/>
          <w:szCs w:val="24"/>
          <w:bdr w:val="none" w:sz="0" w:space="0" w:color="auto" w:frame="1"/>
          <w:shd w:val="clear" w:color="auto" w:fill="FFFFFF"/>
          <w:lang w:val="sq-AL"/>
        </w:rPr>
        <w:t xml:space="preserve"> </w:t>
      </w:r>
      <w:r w:rsidRPr="004E19E0">
        <w:rPr>
          <w:rFonts w:ascii="Times New Roman" w:hAnsi="Times New Roman" w:cs="Times New Roman"/>
          <w:sz w:val="24"/>
          <w:szCs w:val="24"/>
          <w:bdr w:val="none" w:sz="0" w:space="0" w:color="auto" w:frame="1"/>
          <w:shd w:val="clear" w:color="auto" w:fill="FFFFFF"/>
          <w:lang w:val="sq-AL"/>
        </w:rPr>
        <w:t>5220</w:t>
      </w:r>
      <w:r w:rsidR="008B63A9">
        <w:rPr>
          <w:rFonts w:ascii="Times New Roman" w:hAnsi="Times New Roman" w:cs="Times New Roman"/>
          <w:sz w:val="24"/>
          <w:szCs w:val="24"/>
          <w:bdr w:val="none" w:sz="0" w:space="0" w:color="auto" w:frame="1"/>
          <w:shd w:val="clear" w:color="auto" w:fill="FFFFFF"/>
          <w:lang w:val="sq-AL"/>
        </w:rPr>
        <w:t>,</w:t>
      </w:r>
      <w:r w:rsidRPr="004E19E0">
        <w:rPr>
          <w:rFonts w:ascii="Times New Roman" w:hAnsi="Times New Roman" w:cs="Times New Roman"/>
          <w:sz w:val="24"/>
          <w:szCs w:val="24"/>
          <w:bdr w:val="none" w:sz="0" w:space="0" w:color="auto" w:frame="1"/>
          <w:shd w:val="clear" w:color="auto" w:fill="FFFFFF"/>
          <w:lang w:val="sq-AL"/>
        </w:rPr>
        <w:t xml:space="preserve"> datë 08.11.2016 të Gjykatës Administrative të Shkallës së Parë Tiranë</w:t>
      </w:r>
      <w:r w:rsidR="008B63A9">
        <w:rPr>
          <w:rFonts w:ascii="Times New Roman" w:hAnsi="Times New Roman" w:cs="Times New Roman"/>
          <w:sz w:val="24"/>
          <w:szCs w:val="24"/>
          <w:bdr w:val="none" w:sz="0" w:space="0" w:color="auto" w:frame="1"/>
          <w:shd w:val="clear" w:color="auto" w:fill="FFFFFF"/>
          <w:lang w:val="sq-AL"/>
        </w:rPr>
        <w:t xml:space="preserve"> duhet</w:t>
      </w:r>
      <w:r w:rsidRPr="004E19E0">
        <w:rPr>
          <w:rFonts w:ascii="Times New Roman" w:hAnsi="Times New Roman" w:cs="Times New Roman"/>
          <w:sz w:val="24"/>
          <w:szCs w:val="24"/>
          <w:bdr w:val="none" w:sz="0" w:space="0" w:color="auto" w:frame="1"/>
          <w:shd w:val="clear" w:color="auto" w:fill="FFFFFF"/>
          <w:lang w:val="sq-AL"/>
        </w:rPr>
        <w:t xml:space="preserve"> të rrëzohet, në referim të nenit 63, pika 1, shkronja “dh” të ligjit nr. 49/2012. </w:t>
      </w:r>
    </w:p>
    <w:p w14:paraId="0BA76283" w14:textId="77777777" w:rsidR="00F02E92" w:rsidRDefault="004E19E0">
      <w:pPr>
        <w:pStyle w:val="ListParagraph"/>
        <w:numPr>
          <w:ilvl w:val="0"/>
          <w:numId w:val="27"/>
        </w:numPr>
        <w:tabs>
          <w:tab w:val="left" w:pos="0"/>
          <w:tab w:val="left" w:pos="360"/>
          <w:tab w:val="left" w:pos="851"/>
          <w:tab w:val="left" w:pos="7920"/>
          <w:tab w:val="left" w:pos="8640"/>
          <w:tab w:val="left" w:pos="9360"/>
          <w:tab w:val="left" w:pos="10080"/>
          <w:tab w:val="left" w:pos="10800"/>
          <w:tab w:val="left" w:pos="11520"/>
          <w:tab w:val="left" w:pos="12240"/>
          <w:tab w:val="left" w:pos="12960"/>
        </w:tabs>
        <w:spacing w:after="0" w:line="240" w:lineRule="auto"/>
        <w:ind w:left="0" w:firstLine="360"/>
        <w:jc w:val="both"/>
        <w:rPr>
          <w:rFonts w:ascii="Times New Roman" w:hAnsi="Times New Roman" w:cs="Times New Roman"/>
          <w:i/>
          <w:sz w:val="24"/>
          <w:szCs w:val="24"/>
          <w:bdr w:val="none" w:sz="0" w:space="0" w:color="auto" w:frame="1"/>
          <w:shd w:val="clear" w:color="auto" w:fill="FFFFFF"/>
          <w:lang w:val="sq-AL"/>
        </w:rPr>
      </w:pPr>
      <w:r w:rsidRPr="004E19E0">
        <w:rPr>
          <w:rFonts w:ascii="Times New Roman" w:hAnsi="Times New Roman" w:cs="Times New Roman"/>
          <w:sz w:val="24"/>
          <w:szCs w:val="24"/>
          <w:bdr w:val="none" w:sz="0" w:space="0" w:color="auto" w:frame="1"/>
          <w:shd w:val="clear" w:color="auto" w:fill="FFFFFF"/>
          <w:lang w:val="sq-AL"/>
        </w:rPr>
        <w:t>Kolegji vlerëson se</w:t>
      </w:r>
      <w:r w:rsidR="008B63A9">
        <w:rPr>
          <w:rFonts w:ascii="Times New Roman" w:hAnsi="Times New Roman" w:cs="Times New Roman"/>
          <w:sz w:val="24"/>
          <w:szCs w:val="24"/>
          <w:bdr w:val="none" w:sz="0" w:space="0" w:color="auto" w:frame="1"/>
          <w:shd w:val="clear" w:color="auto" w:fill="FFFFFF"/>
          <w:lang w:val="sq-AL"/>
        </w:rPr>
        <w:t>, siç wshtw theksuar nw praktikwn e njësuar tw këtij Kolegji,</w:t>
      </w:r>
      <w:r w:rsidRPr="004E19E0">
        <w:rPr>
          <w:rFonts w:ascii="Times New Roman" w:hAnsi="Times New Roman" w:cs="Times New Roman"/>
          <w:sz w:val="24"/>
          <w:szCs w:val="24"/>
          <w:bdr w:val="none" w:sz="0" w:space="0" w:color="auto" w:frame="1"/>
          <w:shd w:val="clear" w:color="auto" w:fill="FFFFFF"/>
          <w:lang w:val="sq-AL"/>
        </w:rPr>
        <w:t xml:space="preserve"> instituti procedural i rivendosjes në afat, është i lidhur ngushtësisht dhe është pjesë përbërëse e konceptit juridik të afateve procedurale. Instituti procedural i rivendosjes në afat të ankimit është aspekti ekuilibrues i ngurtësisë që shoqëron në vetvete ekzistencën e afateve procedurale dhe përbën përjashtimin nga rregulli, i cili ndikon në përforcimin e vetë rregullit. Ky institut i jep elasticitetin e nevojshëm procedurave gjyqësore dhe shërben për mbrojtjen dhe garantimin e procesit të rregullt ligjor. Rivendosja në afat e cila parashikohet nga nenet 151, 152 e 458 të Kodit të Procedurës Civile, është mjeti i mbrojtjes për palën që, pa fajin e saj, humb formalisht një afat ankimi. Kjo, si në rastin kur ajo vetë apo përfaqësuesi i saj për shkaqe të arsyeshme </w:t>
      </w:r>
      <w:r w:rsidRPr="004E19E0">
        <w:rPr>
          <w:rFonts w:ascii="Times New Roman" w:hAnsi="Times New Roman" w:cs="Times New Roman"/>
          <w:sz w:val="24"/>
          <w:szCs w:val="24"/>
          <w:bdr w:val="none" w:sz="0" w:space="0" w:color="auto" w:frame="1"/>
          <w:shd w:val="clear" w:color="auto" w:fill="FFFFFF"/>
          <w:lang w:val="sq-AL"/>
        </w:rPr>
        <w:lastRenderedPageBreak/>
        <w:t>ndodhen në kushtet e pamundësisë absolute për paraqitjen e ankimit, që nuk varet nga rrethana që mund të parashikoheshin prej tyre, ashtu edhe në rastin kur afati humbet për shkak të pavlefshmërisë së njoftimeve, të cilat formalisht janë kryer nga gjykata, por që në thelb janë të vesuara në atë masë, sa ligji i quan të pavlefshme. Në këtë rast, pala e interesuar, e cila dëshiron të paraqesë ankim, do që të zhbëjë cilësinë e formës së prerë të vendimit gjyqësor, dhe kjo realizohet vetëm nëpërmjet procedurës së posaçme të rivendosjes në afat, e cila sipas neneve 152 e 458 të Kodit të Procedurës Civile, është një procedurë që zhvillohet në prani edhe të palës tjetër kundërshtare, pasi është zgjatim natyral i institutit procedural të ankimit dhe vlerësimit gjyqësor të respektimit apo jo të afatit të ankimit nga palët e interesuara</w:t>
      </w:r>
      <w:r w:rsidR="008B63A9">
        <w:rPr>
          <w:rFonts w:ascii="Times New Roman" w:hAnsi="Times New Roman" w:cs="Times New Roman"/>
          <w:sz w:val="24"/>
          <w:szCs w:val="24"/>
          <w:bdr w:val="none" w:sz="0" w:space="0" w:color="auto" w:frame="1"/>
          <w:shd w:val="clear" w:color="auto" w:fill="FFFFFF"/>
          <w:lang w:val="sq-AL"/>
        </w:rPr>
        <w:t xml:space="preserve"> </w:t>
      </w:r>
      <w:r w:rsidRPr="004E19E0">
        <w:rPr>
          <w:rFonts w:ascii="Times New Roman" w:hAnsi="Times New Roman" w:cs="Times New Roman"/>
          <w:sz w:val="24"/>
          <w:szCs w:val="24"/>
          <w:bdr w:val="none" w:sz="0" w:space="0" w:color="auto" w:frame="1"/>
          <w:shd w:val="clear" w:color="auto" w:fill="FFFFFF"/>
          <w:lang w:val="sq-AL"/>
        </w:rPr>
        <w:t>(</w:t>
      </w:r>
      <w:r w:rsidRPr="004E19E0">
        <w:rPr>
          <w:rFonts w:ascii="Times New Roman" w:hAnsi="Times New Roman" w:cs="Times New Roman"/>
          <w:i/>
          <w:sz w:val="24"/>
          <w:szCs w:val="24"/>
          <w:bdr w:val="none" w:sz="0" w:space="0" w:color="auto" w:frame="1"/>
          <w:shd w:val="clear" w:color="auto" w:fill="FFFFFF"/>
          <w:lang w:val="sq-AL"/>
        </w:rPr>
        <w:t>shih vendimin njësues nr. 00-2023- 4279 i Vendimit (259) datë 07.07.2023 të Kolegjit Administrativ të Gjykatës së Lartë).</w:t>
      </w:r>
    </w:p>
    <w:p w14:paraId="2F7AFB6E" w14:textId="77777777" w:rsidR="00FB14AE" w:rsidRPr="003A3461" w:rsidRDefault="004E19E0" w:rsidP="00FB14AE">
      <w:pPr>
        <w:pStyle w:val="ListParagraph"/>
        <w:numPr>
          <w:ilvl w:val="0"/>
          <w:numId w:val="24"/>
        </w:numPr>
        <w:tabs>
          <w:tab w:val="left" w:pos="0"/>
          <w:tab w:val="left" w:pos="360"/>
          <w:tab w:val="left" w:pos="851"/>
          <w:tab w:val="left" w:pos="7920"/>
          <w:tab w:val="left" w:pos="8640"/>
          <w:tab w:val="left" w:pos="9360"/>
          <w:tab w:val="left" w:pos="10080"/>
          <w:tab w:val="left" w:pos="10800"/>
          <w:tab w:val="left" w:pos="11520"/>
          <w:tab w:val="left" w:pos="12240"/>
          <w:tab w:val="left" w:pos="12960"/>
        </w:tabs>
        <w:spacing w:after="0" w:line="240" w:lineRule="auto"/>
        <w:ind w:left="0" w:firstLine="426"/>
        <w:jc w:val="both"/>
        <w:rPr>
          <w:rFonts w:ascii="Times New Roman" w:hAnsi="Times New Roman" w:cs="Times New Roman"/>
          <w:i/>
          <w:sz w:val="24"/>
          <w:szCs w:val="24"/>
          <w:bdr w:val="none" w:sz="0" w:space="0" w:color="auto" w:frame="1"/>
          <w:shd w:val="clear" w:color="auto" w:fill="FFFFFF"/>
          <w:lang w:val="sq-AL"/>
        </w:rPr>
      </w:pPr>
      <w:r>
        <w:rPr>
          <w:rFonts w:ascii="Times New Roman" w:hAnsi="Times New Roman" w:cs="Times New Roman"/>
          <w:sz w:val="24"/>
          <w:szCs w:val="24"/>
          <w:lang w:val="sq-AL"/>
        </w:rPr>
        <w:t>Kolegji vlerëson se, përfundimi i arritur nga gjykata e faktit</w:t>
      </w:r>
      <w:r>
        <w:rPr>
          <w:rFonts w:ascii="Times New Roman" w:hAnsi="Times New Roman" w:cs="Times New Roman"/>
          <w:sz w:val="24"/>
          <w:szCs w:val="24"/>
          <w:bdr w:val="none" w:sz="0" w:space="0" w:color="auto" w:frame="1"/>
          <w:shd w:val="clear" w:color="auto" w:fill="FFFFFF"/>
          <w:lang w:val="sq-AL"/>
        </w:rPr>
        <w:t xml:space="preserve"> duke pranuar rivendosjen në afat, të paraqitur nga BOE “Curri” SHPK dhe “Geci” SHPK është një përfundim i gabuar në shkelje të normave procedurale që normojnë njoftimin e akteve procedurale dhe kuptimin e institutit të rivendosjes në afat. Neni 130 i Kodit të Procedurës Civile përcakton rregullat për bërjen e njoftimeve të akteve procedurale personave juridike privatë, ku parashikohet se: </w:t>
      </w:r>
      <w:r>
        <w:rPr>
          <w:rFonts w:ascii="Times New Roman" w:hAnsi="Times New Roman" w:cs="Times New Roman"/>
          <w:i/>
          <w:sz w:val="24"/>
          <w:szCs w:val="24"/>
          <w:bdr w:val="none" w:sz="0" w:space="0" w:color="auto" w:frame="1"/>
          <w:shd w:val="clear" w:color="auto" w:fill="FFFFFF"/>
          <w:lang w:val="sq-AL"/>
        </w:rPr>
        <w:t>“Në rastin e personave juridikë privatë njoftimi bëhet në qendrën e tij dhe i dorëzohet përfaqësuesit ose personit të ngarkuar për të marrë aktet dhe, në mungesë të tyre, një personi tjetër që punon në këtë qendër të personit juridik</w:t>
      </w:r>
      <w:r w:rsidR="008B63A9">
        <w:rPr>
          <w:rFonts w:ascii="Times New Roman" w:hAnsi="Times New Roman" w:cs="Times New Roman"/>
          <w:i/>
          <w:sz w:val="24"/>
          <w:szCs w:val="24"/>
          <w:bdr w:val="none" w:sz="0" w:space="0" w:color="auto" w:frame="1"/>
          <w:shd w:val="clear" w:color="auto" w:fill="FFFFFF"/>
          <w:lang w:val="sq-AL"/>
        </w:rPr>
        <w:t>.</w:t>
      </w:r>
      <w:r>
        <w:rPr>
          <w:rFonts w:ascii="Times New Roman" w:hAnsi="Times New Roman" w:cs="Times New Roman"/>
          <w:i/>
          <w:sz w:val="24"/>
          <w:szCs w:val="24"/>
          <w:bdr w:val="none" w:sz="0" w:space="0" w:color="auto" w:frame="1"/>
          <w:shd w:val="clear" w:color="auto" w:fill="FFFFFF"/>
          <w:lang w:val="sq-AL"/>
        </w:rPr>
        <w:t>”</w:t>
      </w:r>
      <w:r>
        <w:rPr>
          <w:rFonts w:ascii="Times New Roman" w:hAnsi="Times New Roman" w:cs="Times New Roman"/>
          <w:sz w:val="24"/>
          <w:szCs w:val="24"/>
          <w:bdr w:val="none" w:sz="0" w:space="0" w:color="auto" w:frame="1"/>
          <w:shd w:val="clear" w:color="auto" w:fill="FFFFFF"/>
          <w:lang w:val="sq-AL"/>
        </w:rPr>
        <w:t xml:space="preserve"> </w:t>
      </w:r>
      <w:r w:rsidR="008B63A9">
        <w:rPr>
          <w:rFonts w:ascii="Times New Roman" w:hAnsi="Times New Roman" w:cs="Times New Roman"/>
          <w:sz w:val="24"/>
          <w:szCs w:val="24"/>
          <w:bdr w:val="none" w:sz="0" w:space="0" w:color="auto" w:frame="1"/>
          <w:shd w:val="clear" w:color="auto" w:fill="FFFFFF"/>
          <w:lang w:val="sq-AL"/>
        </w:rPr>
        <w:t>Sipas fakteve të pranuara prej gjykatave më të ulta, k</w:t>
      </w:r>
      <w:r>
        <w:rPr>
          <w:rFonts w:ascii="Times New Roman" w:hAnsi="Times New Roman" w:cs="Times New Roman"/>
          <w:sz w:val="24"/>
          <w:szCs w:val="24"/>
          <w:bdr w:val="none" w:sz="0" w:space="0" w:color="auto" w:frame="1"/>
          <w:shd w:val="clear" w:color="auto" w:fill="FFFFFF"/>
          <w:lang w:val="sq-AL"/>
        </w:rPr>
        <w:t xml:space="preserve">a rezultuar e pranuar </w:t>
      </w:r>
      <w:r w:rsidR="008B63A9">
        <w:rPr>
          <w:rFonts w:ascii="Times New Roman" w:hAnsi="Times New Roman" w:cs="Times New Roman"/>
          <w:sz w:val="24"/>
          <w:szCs w:val="24"/>
          <w:bdr w:val="none" w:sz="0" w:space="0" w:color="auto" w:frame="1"/>
          <w:shd w:val="clear" w:color="auto" w:fill="FFFFFF"/>
          <w:lang w:val="sq-AL"/>
        </w:rPr>
        <w:t>prej tyre se</w:t>
      </w:r>
      <w:r>
        <w:rPr>
          <w:rFonts w:ascii="Times New Roman" w:hAnsi="Times New Roman" w:cs="Times New Roman"/>
          <w:sz w:val="24"/>
          <w:szCs w:val="24"/>
          <w:bdr w:val="none" w:sz="0" w:space="0" w:color="auto" w:frame="1"/>
          <w:shd w:val="clear" w:color="auto" w:fill="FFFFFF"/>
          <w:lang w:val="sq-AL"/>
        </w:rPr>
        <w:t xml:space="preserve"> njoftimi i vendimit gjyqësor nr. 5220, datë 08.11.2016 nga gjykata i është bërë një punonjësi që punon në shoqërinë “Curri” SHPK, në mungesë të administratorit apo përfaqësuesit apo personit të ngarkuar për të marrë këtë akt. Në këto kushte, Kolegji vlerëson se njoftimi i aktit procedural vendim gjykate, është konform rregullave të njoftimit të përcaktuar në Kodin e Procedurës Civile. Në zbatim të kësaj dispozite, punonjësi i gjykatës ose shërbimit postar bën njoftimin në qendrën e personit jurIdik privat sipas adresës në kërkesëpadi. Dorëzimi i njoftimit një punonjësi tjetër që punon për personin juridik është alternativa pas mosgjetjes së përfaqësuesit (administratorit) apo personit të ngarkuar për këtë qëllim. Në zbatim dhe interpretim të drejtë të normës, çdo person që gjendet në ambientet e personit juridik dhe deklaron se punon aty, për efekt të dorëzimit të njoftimit prezumohet se punon aty. Për më tepër në rastin objekt gjykimi rezultoi se punonjësit të cilit i është dorëzuar vendimi gjykatës, ishte punonjës me kontratë pune pranë palës kërkuese, fakt ky i pranuar edhe nga gjykatat e faktit. Në përputhje me këtë përcaktim nuk ka asnjë logjikë, se për sa kohë në qendrën e personit juridik mungon përfaqësuesi apo punonjësi i ngarkuar për të marrë akte, atëherë gjykata nuk mund të mos bëjë njoftimin e aktit procedural </w:t>
      </w:r>
      <w:r w:rsidR="008B63A9">
        <w:rPr>
          <w:rFonts w:ascii="Times New Roman" w:hAnsi="Times New Roman" w:cs="Times New Roman"/>
          <w:sz w:val="24"/>
          <w:szCs w:val="24"/>
          <w:bdr w:val="none" w:sz="0" w:space="0" w:color="auto" w:frame="1"/>
          <w:shd w:val="clear" w:color="auto" w:fill="FFFFFF"/>
          <w:lang w:val="sq-AL"/>
        </w:rPr>
        <w:t>(</w:t>
      </w:r>
      <w:r>
        <w:rPr>
          <w:rFonts w:ascii="Times New Roman" w:hAnsi="Times New Roman" w:cs="Times New Roman"/>
          <w:sz w:val="24"/>
          <w:szCs w:val="24"/>
          <w:bdr w:val="none" w:sz="0" w:space="0" w:color="auto" w:frame="1"/>
          <w:shd w:val="clear" w:color="auto" w:fill="FFFFFF"/>
          <w:lang w:val="sq-AL"/>
        </w:rPr>
        <w:t>vendim</w:t>
      </w:r>
      <w:r w:rsidR="008B63A9">
        <w:rPr>
          <w:rFonts w:ascii="Times New Roman" w:hAnsi="Times New Roman" w:cs="Times New Roman"/>
          <w:sz w:val="24"/>
          <w:szCs w:val="24"/>
          <w:bdr w:val="none" w:sz="0" w:space="0" w:color="auto" w:frame="1"/>
          <w:shd w:val="clear" w:color="auto" w:fill="FFFFFF"/>
          <w:lang w:val="sq-AL"/>
        </w:rPr>
        <w:t>it)</w:t>
      </w:r>
      <w:r>
        <w:rPr>
          <w:rFonts w:ascii="Times New Roman" w:hAnsi="Times New Roman" w:cs="Times New Roman"/>
          <w:sz w:val="24"/>
          <w:szCs w:val="24"/>
          <w:bdr w:val="none" w:sz="0" w:space="0" w:color="auto" w:frame="1"/>
          <w:shd w:val="clear" w:color="auto" w:fill="FFFFFF"/>
          <w:lang w:val="sq-AL"/>
        </w:rPr>
        <w:t>, për sa kohë mund t’ia dorëzojë atë një punonjësi që punon pranë personit juridik, kjo në përputhje me “ration” e ligjvënësit sikurse rezulton nga vet autorizimi i ligjit procedural, neni 130 i K.Pr.Civile.</w:t>
      </w:r>
    </w:p>
    <w:p w14:paraId="1C0C7B83" w14:textId="77777777" w:rsidR="00BF402E" w:rsidRPr="003A3461" w:rsidRDefault="004E19E0" w:rsidP="00474069">
      <w:pPr>
        <w:pStyle w:val="ListParagraph"/>
        <w:numPr>
          <w:ilvl w:val="0"/>
          <w:numId w:val="24"/>
        </w:numPr>
        <w:tabs>
          <w:tab w:val="left" w:pos="0"/>
          <w:tab w:val="left" w:pos="360"/>
          <w:tab w:val="left" w:pos="851"/>
          <w:tab w:val="left" w:pos="7920"/>
          <w:tab w:val="left" w:pos="8640"/>
          <w:tab w:val="left" w:pos="9360"/>
          <w:tab w:val="left" w:pos="10080"/>
          <w:tab w:val="left" w:pos="10800"/>
          <w:tab w:val="left" w:pos="11520"/>
          <w:tab w:val="left" w:pos="12240"/>
          <w:tab w:val="left" w:pos="12960"/>
        </w:tabs>
        <w:spacing w:after="0" w:line="240" w:lineRule="auto"/>
        <w:ind w:left="0" w:firstLine="426"/>
        <w:jc w:val="both"/>
        <w:rPr>
          <w:rFonts w:ascii="Times New Roman" w:hAnsi="Times New Roman" w:cs="Times New Roman"/>
          <w:i/>
          <w:sz w:val="24"/>
          <w:szCs w:val="24"/>
          <w:bdr w:val="none" w:sz="0" w:space="0" w:color="auto" w:frame="1"/>
          <w:shd w:val="clear" w:color="auto" w:fill="FFFFFF"/>
          <w:lang w:val="sq-AL"/>
        </w:rPr>
      </w:pPr>
      <w:r>
        <w:rPr>
          <w:rFonts w:ascii="Times New Roman" w:hAnsi="Times New Roman" w:cs="Times New Roman"/>
          <w:sz w:val="24"/>
          <w:szCs w:val="24"/>
          <w:bdr w:val="none" w:sz="0" w:space="0" w:color="auto" w:frame="1"/>
          <w:shd w:val="clear" w:color="auto" w:fill="FFFFFF"/>
          <w:lang w:val="sq-AL"/>
        </w:rPr>
        <w:t xml:space="preserve">Nga ana tjetër Kolegji vlerëson të marrë në konsideratë çështjen tjetër ligjore të ngritur si të tillë edhe në arsyetimet e gjykatave të faktit por edhe në ankimet/rekurset e palëve respektive, nëse për efekt të bashkimit të operatorëve ekonomikë në një procedurë prokurimi referuar një marrëveshje/kontrate bashkëpunimi, a konsiderohet njoftimi i përfaqësuesit, si njoftim edhe i operatorit tjetër pjesë e Bashkimit Ekonomik? Kolegji vlerëson se në kuptim të ligjit material nr. 9643 datë 20.11.2006 “Për prokurimin Publik”, i ndryshuar si dhe VKM nr. 914, datë 29.12.2014 “Për rregullat e prokurimit Publik” i ndryshuar parashikohen rregullat procedurale në lidhje me mënyrën e përfaqësimit të dy apo më shumë operatorëve ekonomikë kur këta të fundit vendosin të bashkohen në kuadër të një procedure prokurimi. Në nenin 74 të ligjit të sipërcituar të titulluar “Bashkimi i operatorëve ekonomikë” parashikohet se: </w:t>
      </w:r>
      <w:r>
        <w:rPr>
          <w:rFonts w:ascii="Times New Roman" w:hAnsi="Times New Roman" w:cs="Times New Roman"/>
          <w:i/>
          <w:sz w:val="24"/>
          <w:szCs w:val="24"/>
          <w:bdr w:val="none" w:sz="0" w:space="0" w:color="auto" w:frame="1"/>
          <w:shd w:val="clear" w:color="auto" w:fill="FFFFFF"/>
          <w:lang w:val="sq-AL"/>
        </w:rPr>
        <w:t xml:space="preserve">“1. Oferta mund të paraqitet nga një bashkim operatorësh ekonomikë, </w:t>
      </w:r>
      <w:r w:rsidRPr="004E19E0">
        <w:rPr>
          <w:rFonts w:ascii="Times New Roman" w:hAnsi="Times New Roman" w:cs="Times New Roman"/>
          <w:i/>
          <w:sz w:val="24"/>
          <w:szCs w:val="24"/>
          <w:bdr w:val="none" w:sz="0" w:space="0" w:color="auto" w:frame="1"/>
          <w:shd w:val="clear" w:color="auto" w:fill="FFFFFF"/>
          <w:lang w:val="sq-AL"/>
        </w:rPr>
        <w:t xml:space="preserve">ku njëri prej të cilëve i përfaqëson të tjerët gjatë procedurës dhe në rast përzgjedhjeje edhe gjatë zbatimit të kontratës. Në ofertë duhet të përcaktohet pjesa e shërbimit, punës ose furnizimit që do të kryejë secili nga anëtarët e këtij bashkimi. 2. Para dorëzimit të ofertës, bashkimi duhet të krijohet zyrtarisht, me një </w:t>
      </w:r>
      <w:r w:rsidRPr="004E19E0">
        <w:rPr>
          <w:rFonts w:ascii="Times New Roman" w:hAnsi="Times New Roman" w:cs="Times New Roman"/>
          <w:i/>
          <w:sz w:val="24"/>
          <w:szCs w:val="24"/>
          <w:bdr w:val="none" w:sz="0" w:space="0" w:color="auto" w:frame="1"/>
          <w:shd w:val="clear" w:color="auto" w:fill="FFFFFF"/>
          <w:lang w:val="sq-AL"/>
        </w:rPr>
        <w:lastRenderedPageBreak/>
        <w:t>marrëveshje të noterizuar, ku të përcaktohen përfaqësuesi i grupit, përqindja e pjesëmarrjes se bashkimit punës/shërbimit/furnizimit dhe elementet konkrete, që do të kryejë secili nga anëtarët e këtij bashkimi. Pas krijimit bashkimit të operatorëve ekonomikë, anëtarët caktojnë me prokurë përfaqësuesin e tyre</w:t>
      </w:r>
      <w:r>
        <w:rPr>
          <w:rFonts w:ascii="Times New Roman" w:hAnsi="Times New Roman" w:cs="Times New Roman"/>
          <w:i/>
          <w:sz w:val="24"/>
          <w:szCs w:val="24"/>
          <w:bdr w:val="none" w:sz="0" w:space="0" w:color="auto" w:frame="1"/>
          <w:shd w:val="clear" w:color="auto" w:fill="FFFFFF"/>
          <w:lang w:val="sq-AL"/>
        </w:rPr>
        <w:t xml:space="preserve"> për dorëzimin e ofertës. Kjo marrëveshje e shkruar dhe prokura duhet të dërgohen së bashku me kualifikimet dhe ofertën ekonomike, e cila duhet të nënshkruhet nga përfaqësuesi. Përfaqësuesi duhet të bëjë edhe sigurimin e ofertës, nëse kërkohet, duke specifikuar pjesëmarrjen në bashkimin e operatorëve ekonomikë. Në rast se bashkimi i operatorëve ekonomikë shpallet fitues, kontrata duhet të nënshkruhet nga secili prej anëtarëve të këtij bashkimi.</w:t>
      </w:r>
    </w:p>
    <w:p w14:paraId="25EB0E2F" w14:textId="77777777" w:rsidR="00D916B7" w:rsidRPr="003A3461" w:rsidRDefault="004E19E0" w:rsidP="00D916B7">
      <w:pPr>
        <w:pStyle w:val="ListParagraph"/>
        <w:numPr>
          <w:ilvl w:val="0"/>
          <w:numId w:val="24"/>
        </w:numPr>
        <w:tabs>
          <w:tab w:val="left" w:pos="0"/>
          <w:tab w:val="left" w:pos="360"/>
          <w:tab w:val="left" w:pos="851"/>
          <w:tab w:val="left" w:pos="7920"/>
          <w:tab w:val="left" w:pos="8640"/>
          <w:tab w:val="left" w:pos="9360"/>
          <w:tab w:val="left" w:pos="10080"/>
          <w:tab w:val="left" w:pos="10800"/>
          <w:tab w:val="left" w:pos="11520"/>
          <w:tab w:val="left" w:pos="12240"/>
          <w:tab w:val="left" w:pos="12960"/>
        </w:tabs>
        <w:spacing w:after="0" w:line="240" w:lineRule="auto"/>
        <w:ind w:left="0" w:firstLine="426"/>
        <w:jc w:val="both"/>
        <w:rPr>
          <w:rFonts w:ascii="Times New Roman" w:hAnsi="Times New Roman" w:cs="Times New Roman"/>
          <w:i/>
          <w:sz w:val="24"/>
          <w:szCs w:val="24"/>
          <w:bdr w:val="none" w:sz="0" w:space="0" w:color="auto" w:frame="1"/>
          <w:shd w:val="clear" w:color="auto" w:fill="FFFFFF"/>
          <w:lang w:val="sq-AL"/>
        </w:rPr>
      </w:pPr>
      <w:r>
        <w:rPr>
          <w:rFonts w:ascii="Times New Roman" w:hAnsi="Times New Roman" w:cs="Times New Roman"/>
          <w:sz w:val="24"/>
          <w:szCs w:val="24"/>
          <w:bdr w:val="none" w:sz="0" w:space="0" w:color="auto" w:frame="1"/>
          <w:shd w:val="clear" w:color="auto" w:fill="FFFFFF"/>
          <w:lang w:val="sq-AL"/>
        </w:rPr>
        <w:t>Kolegji vlerëson se, në interpretim literal por edhe teleologjik të normës në përputhje me rrethanat e çështjes objekt gjykimi rezulton se palët me vullnet të lirë, në bazë të një marrëveshje bashkëpunimi kanë përcaktuar si përfaqësues të Bashkimit të Operatorëve Ekonomikë “Curri” dhe “Geci” SHPK, shoqërinë “Curri” SHPK.</w:t>
      </w:r>
      <w:r>
        <w:rPr>
          <w:rFonts w:ascii="Times New Roman" w:hAnsi="Times New Roman" w:cs="Times New Roman"/>
          <w:lang w:val="sq-AL"/>
        </w:rPr>
        <w:t xml:space="preserve"> </w:t>
      </w:r>
      <w:r>
        <w:rPr>
          <w:rFonts w:ascii="Times New Roman" w:hAnsi="Times New Roman" w:cs="Times New Roman"/>
          <w:sz w:val="24"/>
          <w:szCs w:val="24"/>
          <w:lang w:val="sq-AL"/>
        </w:rPr>
        <w:t>Ky fakt si sipërcituar rezulton nga kontrata e bashkëpunimit me nr. 492 rep. dhe nr. 69 kol, datë 16.09.2015, sipas së cilës, ndër të tjera përcaktohet</w:t>
      </w:r>
      <w:r>
        <w:rPr>
          <w:rFonts w:ascii="Times New Roman" w:hAnsi="Times New Roman" w:cs="Times New Roman"/>
          <w:i/>
          <w:sz w:val="24"/>
          <w:szCs w:val="24"/>
          <w:lang w:val="sq-AL"/>
        </w:rPr>
        <w:t>: “Përfaqësues i këtij bashkimi operatorësh do të jetë shoqëria  “Curri” SHPK dhe konkretisht administratori i cili do të ketë të drejtën e</w:t>
      </w:r>
      <w:r w:rsidR="008B63A9">
        <w:rPr>
          <w:rFonts w:ascii="Times New Roman" w:hAnsi="Times New Roman" w:cs="Times New Roman"/>
          <w:i/>
          <w:sz w:val="24"/>
          <w:szCs w:val="24"/>
          <w:lang w:val="sq-AL"/>
        </w:rPr>
        <w:t xml:space="preserve"> [</w:t>
      </w:r>
      <w:r>
        <w:rPr>
          <w:rFonts w:ascii="Times New Roman" w:hAnsi="Times New Roman" w:cs="Times New Roman"/>
          <w:i/>
          <w:sz w:val="24"/>
          <w:szCs w:val="24"/>
          <w:lang w:val="sq-AL"/>
        </w:rPr>
        <w:t>...</w:t>
      </w:r>
      <w:r w:rsidR="008B63A9">
        <w:rPr>
          <w:rFonts w:ascii="Times New Roman" w:hAnsi="Times New Roman" w:cs="Times New Roman"/>
          <w:i/>
          <w:sz w:val="24"/>
          <w:szCs w:val="24"/>
          <w:lang w:val="sq-AL"/>
        </w:rPr>
        <w:t xml:space="preserve">] </w:t>
      </w:r>
      <w:r>
        <w:rPr>
          <w:rFonts w:ascii="Times New Roman" w:hAnsi="Times New Roman" w:cs="Times New Roman"/>
          <w:i/>
          <w:sz w:val="24"/>
          <w:szCs w:val="24"/>
          <w:lang w:val="sq-AL"/>
        </w:rPr>
        <w:t xml:space="preserve">të paraqesë kërkesa apo ankesa ndaj institucioneve përkatëse apo autoritetit kontraktor në lidhje me këtë procedurë prokurimi si dhe të ndjekë të gjitha </w:t>
      </w:r>
      <w:r w:rsidRPr="004E19E0">
        <w:rPr>
          <w:rFonts w:ascii="Times New Roman" w:hAnsi="Times New Roman" w:cs="Times New Roman"/>
          <w:i/>
          <w:sz w:val="24"/>
          <w:szCs w:val="24"/>
          <w:lang w:val="sq-AL"/>
        </w:rPr>
        <w:t>ankimimet administrative apo gjyqësore.</w:t>
      </w:r>
      <w:r>
        <w:rPr>
          <w:rFonts w:ascii="Times New Roman" w:hAnsi="Times New Roman" w:cs="Times New Roman"/>
          <w:i/>
          <w:sz w:val="24"/>
          <w:szCs w:val="24"/>
          <w:lang w:val="sq-AL"/>
        </w:rPr>
        <w:t xml:space="preserve"> Secila prej tagrave të dhëna nga ana e këtij Bashkimi Operatorësh Ekonomikë, administratori i shoqërisë “Curri”SHPK Z. Faik Curri, mund ta ushtrojë vet apo nëpërmjet autorizimit të personave të tretë, sipas vullnetit të tij, të shprehur konform ligjit.</w:t>
      </w:r>
      <w:r w:rsidR="008B63A9">
        <w:rPr>
          <w:rFonts w:ascii="Times New Roman" w:hAnsi="Times New Roman" w:cs="Times New Roman"/>
          <w:i/>
          <w:sz w:val="24"/>
          <w:szCs w:val="24"/>
          <w:lang w:val="sq-AL"/>
        </w:rPr>
        <w:t>”</w:t>
      </w:r>
      <w:r>
        <w:rPr>
          <w:rFonts w:ascii="Times New Roman" w:hAnsi="Times New Roman" w:cs="Times New Roman"/>
          <w:sz w:val="24"/>
          <w:szCs w:val="24"/>
          <w:lang w:val="sq-AL"/>
        </w:rPr>
        <w:t xml:space="preserve"> </w:t>
      </w:r>
      <w:r>
        <w:rPr>
          <w:rFonts w:ascii="Times New Roman" w:hAnsi="Times New Roman" w:cs="Times New Roman"/>
          <w:sz w:val="24"/>
          <w:szCs w:val="24"/>
          <w:bdr w:val="none" w:sz="0" w:space="0" w:color="auto" w:frame="1"/>
          <w:shd w:val="clear" w:color="auto" w:fill="FFFFFF"/>
          <w:lang w:val="sq-AL"/>
        </w:rPr>
        <w:t>Rezulton nga rrethanat e faktit të pranuara nga gjykatat më të ulta se, depozitimi në gjykatë i kërkesëpadisë është bërë nga Bashkimi Operatorëve Ekonomikë (BOE), përfaqësuar nga shoqëria “Curri” SHPK. Vetë paditësi e ka ngritur padinë si BOE e përfaqësuar nga Shoqëria “Curri” SHPK duke bërë pjesë të dosjes gjyqësore prokurën e posaçme ku shoqëria “Geci” SHPK i jep të gjitha tagrat shoqërisë “Curri” SHPK, për të ngritur kërkesëpadi, për ta përfaqësuar në gjykatë dhe në të gjitha shkallët e gjykimit si dhe të kryejë çdo veprim procedural në emër dhe llogari të këtij bashkimi operatorësh. Në këto kushte Kolegji arrin në përfundimin se me prokurë të posaçme të lëshuar nga shoqëria “Geci” SHPK, në emër të shoqërisë “Curri” SHPK, kjo e fundit ka patur të gjitha tagrat dhe të drejtat për të vijuar hapat e nevojshëm procedural në mbrojtje të interesave të këtij bashkimi operatorësh. Në këto kushte edhe në referim të nenit 97 të K.Pr.Civile që përcakton se : “</w:t>
      </w:r>
      <w:r>
        <w:rPr>
          <w:rFonts w:ascii="Times New Roman" w:hAnsi="Times New Roman" w:cs="Times New Roman"/>
          <w:i/>
          <w:sz w:val="24"/>
          <w:szCs w:val="24"/>
          <w:bdr w:val="none" w:sz="0" w:space="0" w:color="auto" w:frame="1"/>
          <w:shd w:val="clear" w:color="auto" w:fill="FFFFFF"/>
          <w:lang w:val="sq-AL"/>
        </w:rPr>
        <w:t xml:space="preserve">Kur palët përfaqësohen në gjykim nga përfaqësuesi, ky mund të kryejë dhe të marrë në interes të  palës së vet të gjitha aktet që i nevojiten procesit, që ligji nuk e ndalon. Në çdo rast nuk mund të kryejë akte që sjellin disponim të së drejtës, </w:t>
      </w:r>
      <w:r w:rsidRPr="004E19E0">
        <w:rPr>
          <w:rFonts w:ascii="Times New Roman" w:hAnsi="Times New Roman" w:cs="Times New Roman"/>
          <w:i/>
          <w:sz w:val="24"/>
          <w:szCs w:val="24"/>
          <w:bdr w:val="none" w:sz="0" w:space="0" w:color="auto" w:frame="1"/>
          <w:shd w:val="clear" w:color="auto" w:fill="FFFFFF"/>
          <w:lang w:val="sq-AL"/>
        </w:rPr>
        <w:t>përveç rasteve kur ka fituar tagër në mënyrë të shprehur.</w:t>
      </w:r>
      <w:r>
        <w:rPr>
          <w:rFonts w:ascii="Times New Roman" w:hAnsi="Times New Roman" w:cs="Times New Roman"/>
          <w:sz w:val="24"/>
          <w:szCs w:val="24"/>
          <w:bdr w:val="none" w:sz="0" w:space="0" w:color="auto" w:frame="1"/>
          <w:shd w:val="clear" w:color="auto" w:fill="FFFFFF"/>
          <w:lang w:val="sq-AL"/>
        </w:rPr>
        <w:t xml:space="preserve">” Për sa më sipër, rezultoi e provuar nga faktet e pranuara si të tilla nga gjykatat e faktit se shoqëria “Curri” SHPK është përfaqësuese e shoqërisë “Geci” SHPK, në kuadër të procedurës së prokurimit, me të gjitha tagrat, ku njoftimi i aktit procedural, në rastin konkret vendimi, vetëm përfaqësuesit të bashkimit të operatorëve, ezauron për efekt njoftimi edhe njoftimin për operatorin tjetër pjesë e bashkimit. </w:t>
      </w:r>
    </w:p>
    <w:p w14:paraId="458BE063" w14:textId="77777777" w:rsidR="00D916B7" w:rsidRPr="003A3461" w:rsidRDefault="004E19E0" w:rsidP="00D916B7">
      <w:pPr>
        <w:pStyle w:val="ListParagraph"/>
        <w:numPr>
          <w:ilvl w:val="0"/>
          <w:numId w:val="24"/>
        </w:numPr>
        <w:tabs>
          <w:tab w:val="left" w:pos="0"/>
          <w:tab w:val="left" w:pos="360"/>
          <w:tab w:val="left" w:pos="851"/>
          <w:tab w:val="left" w:pos="7920"/>
          <w:tab w:val="left" w:pos="8640"/>
          <w:tab w:val="left" w:pos="9360"/>
          <w:tab w:val="left" w:pos="10080"/>
          <w:tab w:val="left" w:pos="10800"/>
          <w:tab w:val="left" w:pos="11520"/>
          <w:tab w:val="left" w:pos="12240"/>
          <w:tab w:val="left" w:pos="12960"/>
        </w:tabs>
        <w:spacing w:after="0" w:line="240" w:lineRule="auto"/>
        <w:ind w:left="0" w:firstLine="426"/>
        <w:jc w:val="both"/>
        <w:rPr>
          <w:rFonts w:ascii="Times New Roman" w:hAnsi="Times New Roman" w:cs="Times New Roman"/>
          <w:i/>
          <w:sz w:val="24"/>
          <w:szCs w:val="24"/>
          <w:bdr w:val="none" w:sz="0" w:space="0" w:color="auto" w:frame="1"/>
          <w:shd w:val="clear" w:color="auto" w:fill="FFFFFF"/>
          <w:lang w:val="sq-AL"/>
        </w:rPr>
      </w:pPr>
      <w:r>
        <w:rPr>
          <w:rFonts w:ascii="Times New Roman" w:hAnsi="Times New Roman" w:cs="Times New Roman"/>
          <w:sz w:val="24"/>
          <w:szCs w:val="24"/>
          <w:bdr w:val="none" w:sz="0" w:space="0" w:color="auto" w:frame="1"/>
          <w:shd w:val="clear" w:color="auto" w:fill="FFFFFF"/>
          <w:lang w:val="sq-AL"/>
        </w:rPr>
        <w:t>Kolegji konkludon se referuar arsyetimit të sipërcituar, nuk përmbushen kushtet e përcaktuara në nenin 152 të K.Pr.Civile për tu rivendosur në afat. Pala kërkuese edhe pse e ka humbur afatin e ankimit nuk ka patur shkak të arsyeshëm për humbjen e këtij afati dhe si rrjedhojë nuk mund të përfitojë nga e drejta për tu rivendosur në afat, sepse njoftimi është kryer konform dispozitave procedurale duke iu njoftuar përfaqësuesit të bashkimit të operatorëve.</w:t>
      </w:r>
    </w:p>
    <w:p w14:paraId="222C2277" w14:textId="77777777" w:rsidR="0040238B" w:rsidRPr="003A3461" w:rsidRDefault="004E19E0" w:rsidP="005069D0">
      <w:pPr>
        <w:pStyle w:val="ListParagraph"/>
        <w:numPr>
          <w:ilvl w:val="0"/>
          <w:numId w:val="24"/>
        </w:numPr>
        <w:tabs>
          <w:tab w:val="left" w:pos="0"/>
          <w:tab w:val="left" w:pos="360"/>
          <w:tab w:val="left" w:pos="851"/>
          <w:tab w:val="left" w:pos="7920"/>
          <w:tab w:val="left" w:pos="8640"/>
          <w:tab w:val="left" w:pos="9360"/>
          <w:tab w:val="left" w:pos="10080"/>
          <w:tab w:val="left" w:pos="10800"/>
          <w:tab w:val="left" w:pos="11520"/>
          <w:tab w:val="left" w:pos="12240"/>
          <w:tab w:val="left" w:pos="12960"/>
        </w:tabs>
        <w:spacing w:after="0" w:line="240" w:lineRule="auto"/>
        <w:ind w:left="0" w:firstLine="426"/>
        <w:jc w:val="both"/>
        <w:rPr>
          <w:rFonts w:ascii="Times New Roman" w:hAnsi="Times New Roman" w:cs="Times New Roman"/>
          <w:i/>
          <w:sz w:val="24"/>
          <w:szCs w:val="24"/>
          <w:bdr w:val="none" w:sz="0" w:space="0" w:color="auto" w:frame="1"/>
          <w:shd w:val="clear" w:color="auto" w:fill="FFFFFF"/>
          <w:lang w:val="sq-AL"/>
        </w:rPr>
      </w:pPr>
      <w:r>
        <w:rPr>
          <w:rFonts w:ascii="Times New Roman" w:hAnsi="Times New Roman" w:cs="Times New Roman"/>
          <w:bCs/>
          <w:sz w:val="24"/>
          <w:szCs w:val="24"/>
          <w:bdr w:val="none" w:sz="0" w:space="0" w:color="auto" w:frame="1"/>
          <w:shd w:val="clear" w:color="auto" w:fill="FFFFFF"/>
          <w:lang w:val="sq-AL"/>
        </w:rPr>
        <w:t>Kolegji mban në konsideratë</w:t>
      </w:r>
      <w:r>
        <w:rPr>
          <w:rFonts w:ascii="Times New Roman" w:hAnsi="Times New Roman" w:cs="Times New Roman"/>
          <w:sz w:val="24"/>
          <w:szCs w:val="24"/>
          <w:bdr w:val="none" w:sz="0" w:space="0" w:color="auto" w:frame="1"/>
          <w:shd w:val="clear" w:color="auto" w:fill="FFFFFF"/>
          <w:lang w:val="sq-AL"/>
        </w:rPr>
        <w:t xml:space="preserve"> respektimin e parimit të gjykatës së caktuar me ligj, në pajtim me jurisprudencën e konsoliduar të Gjykatës Kushtetuese, që ka mbajtur qëndrimin se në ushtrim të funksionit të saj si gjykatë ligji, </w:t>
      </w:r>
      <w:r>
        <w:rPr>
          <w:rFonts w:ascii="Times New Roman" w:hAnsi="Times New Roman" w:cs="Times New Roman"/>
          <w:bCs/>
          <w:sz w:val="24"/>
          <w:szCs w:val="24"/>
          <w:bdr w:val="none" w:sz="0" w:space="0" w:color="auto" w:frame="1"/>
          <w:shd w:val="clear" w:color="auto" w:fill="FFFFFF"/>
          <w:lang w:val="sq-AL"/>
        </w:rPr>
        <w:t xml:space="preserve">Gjykata e Lartë mund të vendos mbi themelin e çështjes vetëm nëse mosmarrëveshja mund të zgjidhet mbi bazën e të njëjtave fakte e të njëjtave prova të vlerësuara nga gjyqtari i faktit dhe përbëjnë bazën e vendimit, mbi të cilin është bërë një interpretim i gabuar i ligjit </w:t>
      </w:r>
      <w:r>
        <w:rPr>
          <w:rFonts w:ascii="Times New Roman" w:hAnsi="Times New Roman" w:cs="Times New Roman"/>
          <w:i/>
          <w:sz w:val="24"/>
          <w:szCs w:val="24"/>
          <w:bdr w:val="none" w:sz="0" w:space="0" w:color="auto" w:frame="1"/>
          <w:shd w:val="clear" w:color="auto" w:fill="FFFFFF"/>
          <w:lang w:val="sq-AL"/>
        </w:rPr>
        <w:t>(shih vendimin nr.7 datë 09.03.2009).</w:t>
      </w:r>
      <w:r>
        <w:rPr>
          <w:rFonts w:ascii="Times New Roman" w:hAnsi="Times New Roman" w:cs="Times New Roman"/>
          <w:sz w:val="24"/>
          <w:szCs w:val="24"/>
          <w:bdr w:val="none" w:sz="0" w:space="0" w:color="auto" w:frame="1"/>
          <w:shd w:val="clear" w:color="auto" w:fill="FFFFFF"/>
          <w:lang w:val="sq-AL"/>
        </w:rPr>
        <w:t xml:space="preserve"> Gjykata e Lartë nuk mund </w:t>
      </w:r>
      <w:r>
        <w:rPr>
          <w:rFonts w:ascii="Times New Roman" w:hAnsi="Times New Roman" w:cs="Times New Roman"/>
          <w:sz w:val="24"/>
          <w:szCs w:val="24"/>
          <w:bdr w:val="none" w:sz="0" w:space="0" w:color="auto" w:frame="1"/>
          <w:shd w:val="clear" w:color="auto" w:fill="FFFFFF"/>
          <w:lang w:val="sq-AL"/>
        </w:rPr>
        <w:lastRenderedPageBreak/>
        <w:t>të ndryshojë faktet e çështjes apo të merret me vlerësimin e provave. Në çdo rast konstatimi i fakteve përmes procesit të të provuarit në gjykim është një atribut që i përket juridiksionit gjyqësor të gjykatave të faktit. Por çmuarja që bën Gjykata e Lartë, të asaj çfarë konstatohet si e provuar në gjykim nga gjykatat e faktit, është një çështje që lidhet me mënyrën si zbatohet ligji</w:t>
      </w:r>
      <w:r>
        <w:rPr>
          <w:rFonts w:ascii="Times New Roman" w:hAnsi="Times New Roman" w:cs="Times New Roman"/>
          <w:iCs/>
          <w:sz w:val="24"/>
          <w:szCs w:val="24"/>
          <w:bdr w:val="none" w:sz="0" w:space="0" w:color="auto" w:frame="1"/>
          <w:shd w:val="clear" w:color="auto" w:fill="FFFFFF"/>
          <w:lang w:val="sq-AL"/>
        </w:rPr>
        <w:t xml:space="preserve">. </w:t>
      </w:r>
      <w:r>
        <w:rPr>
          <w:rFonts w:ascii="Times New Roman" w:hAnsi="Times New Roman" w:cs="Times New Roman"/>
          <w:bCs/>
          <w:sz w:val="24"/>
          <w:szCs w:val="24"/>
          <w:bdr w:val="none" w:sz="0" w:space="0" w:color="auto" w:frame="1"/>
          <w:shd w:val="clear" w:color="auto" w:fill="FFFFFF"/>
          <w:lang w:val="sq-AL"/>
        </w:rPr>
        <w:t>Në çdo rast kontrolli i Gjykatës së Lartë duhet të fokusohet vetëm në drejtim të ligjshmërisë dhe bazueshmërisë së vendimit të ankimuar, pra mbi mënyrën e zbatimit të ligjit nga gjykatat më të ulëta</w:t>
      </w:r>
      <w:r>
        <w:rPr>
          <w:rFonts w:ascii="Times New Roman" w:hAnsi="Times New Roman" w:cs="Times New Roman"/>
          <w:sz w:val="24"/>
          <w:szCs w:val="24"/>
          <w:bdr w:val="none" w:sz="0" w:space="0" w:color="auto" w:frame="1"/>
          <w:shd w:val="clear" w:color="auto" w:fill="FFFFFF"/>
          <w:lang w:val="sq-AL"/>
        </w:rPr>
        <w:t xml:space="preserve"> (</w:t>
      </w:r>
      <w:r>
        <w:rPr>
          <w:rFonts w:ascii="Times New Roman" w:hAnsi="Times New Roman" w:cs="Times New Roman"/>
          <w:i/>
          <w:sz w:val="24"/>
          <w:szCs w:val="24"/>
          <w:bdr w:val="none" w:sz="0" w:space="0" w:color="auto" w:frame="1"/>
          <w:shd w:val="clear" w:color="auto" w:fill="FFFFFF"/>
          <w:lang w:val="sq-AL"/>
        </w:rPr>
        <w:t xml:space="preserve">shih vendimin nr.10 datë 03.04.2007 të Gjykatës Kushtetuese). </w:t>
      </w:r>
      <w:r>
        <w:rPr>
          <w:rFonts w:ascii="Times New Roman" w:hAnsi="Times New Roman" w:cs="Times New Roman"/>
          <w:bCs/>
          <w:sz w:val="24"/>
          <w:szCs w:val="24"/>
          <w:bdr w:val="none" w:sz="0" w:space="0" w:color="auto" w:frame="1"/>
          <w:shd w:val="clear" w:color="auto" w:fill="FFFFFF"/>
          <w:lang w:val="sq-AL"/>
        </w:rPr>
        <w:t xml:space="preserve">Ndaj, brenda kompetencës funksionale të Kolegjit çmohet dhe arrihet në përfundimin se, vlerësimi ligjor mbi faktet, bërë prej Gjykatës Administrative të shkallës së parë dhe asaj të Apelit është i mbështetur në zbatimin jo korrekt të ligjit dhe </w:t>
      </w:r>
      <w:r>
        <w:rPr>
          <w:rFonts w:ascii="Times New Roman" w:hAnsi="Times New Roman" w:cs="Times New Roman"/>
          <w:sz w:val="24"/>
          <w:szCs w:val="24"/>
          <w:bdr w:val="none" w:sz="0" w:space="0" w:color="auto" w:frame="1"/>
          <w:shd w:val="clear" w:color="auto" w:fill="FFFFFF"/>
          <w:lang w:val="sq-AL"/>
        </w:rPr>
        <w:t>në rastin në shqyrtim, zbatimi i ligjit procedural apo material nuk diktohet nga nevoja për rivlerësimin e fakteve apo të provave të çështjes.</w:t>
      </w:r>
    </w:p>
    <w:p w14:paraId="1232E34F" w14:textId="77777777" w:rsidR="00811659" w:rsidRPr="003A3461" w:rsidRDefault="00811659" w:rsidP="00811659">
      <w:pPr>
        <w:shd w:val="clear" w:color="auto" w:fill="FFFFFF"/>
        <w:tabs>
          <w:tab w:val="left" w:pos="540"/>
        </w:tabs>
        <w:spacing w:after="0" w:line="240" w:lineRule="auto"/>
        <w:jc w:val="both"/>
        <w:rPr>
          <w:rFonts w:ascii="Times New Roman" w:hAnsi="Times New Roman" w:cs="Times New Roman"/>
          <w:b/>
          <w:sz w:val="24"/>
          <w:szCs w:val="24"/>
          <w:lang w:val="sq-AL"/>
        </w:rPr>
      </w:pPr>
    </w:p>
    <w:p w14:paraId="45470A64" w14:textId="77777777" w:rsidR="0075627B" w:rsidRPr="003A3461" w:rsidRDefault="004E19E0" w:rsidP="00CF7F67">
      <w:pPr>
        <w:spacing w:after="0" w:line="240" w:lineRule="auto"/>
        <w:ind w:left="2880" w:firstLine="720"/>
        <w:rPr>
          <w:rFonts w:ascii="Times New Roman" w:hAnsi="Times New Roman" w:cs="Times New Roman"/>
          <w:b/>
          <w:sz w:val="24"/>
          <w:szCs w:val="24"/>
          <w:lang w:val="sq-AL"/>
        </w:rPr>
      </w:pPr>
      <w:r>
        <w:rPr>
          <w:rFonts w:ascii="Times New Roman" w:hAnsi="Times New Roman" w:cs="Times New Roman"/>
          <w:b/>
          <w:sz w:val="24"/>
          <w:szCs w:val="24"/>
          <w:lang w:val="sq-AL"/>
        </w:rPr>
        <w:t>PËR KËTO ARSYE,</w:t>
      </w:r>
    </w:p>
    <w:p w14:paraId="51667D1D" w14:textId="77777777" w:rsidR="00811A0E" w:rsidRPr="003A3461" w:rsidRDefault="00811A0E" w:rsidP="00CF7F67">
      <w:pPr>
        <w:spacing w:after="0" w:line="240" w:lineRule="auto"/>
        <w:ind w:left="2880" w:firstLine="720"/>
        <w:rPr>
          <w:rFonts w:ascii="Times New Roman" w:hAnsi="Times New Roman" w:cs="Times New Roman"/>
          <w:b/>
          <w:sz w:val="24"/>
          <w:szCs w:val="24"/>
          <w:lang w:val="sq-AL"/>
        </w:rPr>
      </w:pPr>
    </w:p>
    <w:p w14:paraId="63DA92C1" w14:textId="77777777" w:rsidR="00C67BAF" w:rsidRPr="003A3461" w:rsidRDefault="004E19E0" w:rsidP="0075627B">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cs="Times New Roman"/>
          <w:bCs/>
          <w:sz w:val="24"/>
          <w:szCs w:val="24"/>
          <w:lang w:val="sq-AL"/>
        </w:rPr>
      </w:pPr>
      <w:r>
        <w:rPr>
          <w:rFonts w:ascii="Times New Roman" w:eastAsia="Times New Roman" w:hAnsi="Times New Roman" w:cs="Times New Roman"/>
          <w:sz w:val="24"/>
          <w:szCs w:val="24"/>
          <w:lang w:val="sq-AL"/>
        </w:rPr>
        <w:t xml:space="preserve">       Kolegji Administrativ i Gjykatës së Lartë, </w:t>
      </w:r>
      <w:r>
        <w:rPr>
          <w:rFonts w:ascii="Times New Roman" w:hAnsi="Times New Roman" w:cs="Times New Roman"/>
          <w:bCs/>
          <w:sz w:val="24"/>
          <w:szCs w:val="24"/>
          <w:lang w:val="sq-AL"/>
        </w:rPr>
        <w:t>mbështetur në nenin 63(1)(dh) të ligjit nr. 49/2012 “Për gjykatat administrative dhe gjykimin e mosmarrëveshjeve administrative” (</w:t>
      </w:r>
      <w:r>
        <w:rPr>
          <w:rFonts w:ascii="Times New Roman" w:hAnsi="Times New Roman" w:cs="Times New Roman"/>
          <w:bCs/>
          <w:i/>
          <w:sz w:val="24"/>
          <w:szCs w:val="24"/>
          <w:lang w:val="sq-AL"/>
        </w:rPr>
        <w:t>i ndryshuar</w:t>
      </w:r>
      <w:r>
        <w:rPr>
          <w:rFonts w:ascii="Times New Roman" w:hAnsi="Times New Roman" w:cs="Times New Roman"/>
          <w:bCs/>
          <w:sz w:val="24"/>
          <w:szCs w:val="24"/>
          <w:lang w:val="sq-AL"/>
        </w:rPr>
        <w:t>),</w:t>
      </w:r>
    </w:p>
    <w:p w14:paraId="533CF26B" w14:textId="77777777" w:rsidR="003A7640" w:rsidRPr="003A3461" w:rsidRDefault="003A7640" w:rsidP="0075627B">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cs="Times New Roman"/>
          <w:bCs/>
          <w:sz w:val="24"/>
          <w:szCs w:val="24"/>
          <w:lang w:val="sq-AL"/>
        </w:rPr>
      </w:pPr>
    </w:p>
    <w:p w14:paraId="642CD9D2" w14:textId="6223B613" w:rsidR="0086320E" w:rsidRPr="003A3461" w:rsidRDefault="004E19E0" w:rsidP="0075627B">
      <w:pP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cs="Times New Roman"/>
          <w:b/>
          <w:bCs/>
          <w:sz w:val="24"/>
          <w:szCs w:val="24"/>
          <w:lang w:val="sq-AL"/>
        </w:rPr>
      </w:pPr>
      <w:r>
        <w:rPr>
          <w:rFonts w:ascii="Times New Roman" w:hAnsi="Times New Roman" w:cs="Times New Roman"/>
          <w:b/>
          <w:bCs/>
          <w:sz w:val="24"/>
          <w:szCs w:val="24"/>
          <w:lang w:val="sq-AL"/>
        </w:rPr>
        <w:tab/>
      </w:r>
      <w:r w:rsidR="008E50AD">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VENDOSI:</w:t>
      </w:r>
    </w:p>
    <w:p w14:paraId="27AD3D29" w14:textId="77777777" w:rsidR="00C7669D" w:rsidRPr="003A3461" w:rsidRDefault="004E19E0" w:rsidP="0075627B">
      <w:pPr>
        <w:spacing w:after="0" w:line="240" w:lineRule="auto"/>
        <w:jc w:val="both"/>
        <w:rPr>
          <w:rFonts w:ascii="Times New Roman" w:hAnsi="Times New Roman" w:cs="Times New Roman"/>
          <w:sz w:val="24"/>
          <w:szCs w:val="24"/>
          <w:shd w:val="clear" w:color="auto" w:fill="FFFFFF"/>
          <w:lang w:val="sq-AL"/>
        </w:rPr>
      </w:pPr>
      <w:r>
        <w:rPr>
          <w:rFonts w:ascii="Times New Roman" w:hAnsi="Times New Roman" w:cs="Times New Roman"/>
          <w:sz w:val="24"/>
          <w:szCs w:val="24"/>
          <w:lang w:val="sq-AL"/>
        </w:rPr>
        <w:t xml:space="preserve">       </w:t>
      </w:r>
    </w:p>
    <w:p w14:paraId="3C1008A4" w14:textId="0147BB3F" w:rsidR="00CF7F67" w:rsidRPr="003A3461" w:rsidRDefault="004E19E0" w:rsidP="00CF7F67">
      <w:pPr>
        <w:spacing w:after="0" w:line="240" w:lineRule="auto"/>
        <w:ind w:firstLine="360"/>
        <w:jc w:val="both"/>
        <w:rPr>
          <w:rFonts w:ascii="Times New Roman" w:hAnsi="Times New Roman" w:cs="Times New Roman"/>
          <w:sz w:val="24"/>
          <w:szCs w:val="24"/>
          <w:shd w:val="clear" w:color="auto" w:fill="FFFFFF"/>
          <w:lang w:val="sq-AL"/>
        </w:rPr>
      </w:pPr>
      <w:bookmarkStart w:id="3" w:name="_Hlk182812599"/>
      <w:bookmarkStart w:id="4" w:name="_Hlk173390864"/>
      <w:r>
        <w:rPr>
          <w:rFonts w:ascii="Times New Roman" w:hAnsi="Times New Roman" w:cs="Times New Roman"/>
          <w:sz w:val="24"/>
          <w:szCs w:val="24"/>
          <w:lang w:val="sq-AL"/>
        </w:rPr>
        <w:t xml:space="preserve">Ndryshimin e vendimit nr.184 datë 23.05.2017 të Gjykatës Administrative të Apelit dhe vendimit nr.15 akti datë 01.03.2017 të </w:t>
      </w:r>
      <w:r w:rsidR="00EF58A8">
        <w:rPr>
          <w:rFonts w:ascii="Times New Roman" w:hAnsi="Times New Roman" w:cs="Times New Roman"/>
          <w:sz w:val="24"/>
          <w:szCs w:val="24"/>
          <w:lang w:val="sq-AL"/>
        </w:rPr>
        <w:t>G</w:t>
      </w:r>
      <w:r>
        <w:rPr>
          <w:rFonts w:ascii="Times New Roman" w:hAnsi="Times New Roman" w:cs="Times New Roman"/>
          <w:sz w:val="24"/>
          <w:szCs w:val="24"/>
          <w:lang w:val="sq-AL"/>
        </w:rPr>
        <w:t xml:space="preserve">jykatës </w:t>
      </w:r>
      <w:r w:rsidR="00EF58A8">
        <w:rPr>
          <w:rFonts w:ascii="Times New Roman" w:hAnsi="Times New Roman" w:cs="Times New Roman"/>
          <w:sz w:val="24"/>
          <w:szCs w:val="24"/>
          <w:lang w:val="sq-AL"/>
        </w:rPr>
        <w:t>A</w:t>
      </w:r>
      <w:r>
        <w:rPr>
          <w:rFonts w:ascii="Times New Roman" w:hAnsi="Times New Roman" w:cs="Times New Roman"/>
          <w:sz w:val="24"/>
          <w:szCs w:val="24"/>
          <w:lang w:val="sq-AL"/>
        </w:rPr>
        <w:t xml:space="preserve">dministrative të </w:t>
      </w:r>
      <w:r w:rsidR="00EF58A8">
        <w:rPr>
          <w:rFonts w:ascii="Times New Roman" w:hAnsi="Times New Roman" w:cs="Times New Roman"/>
          <w:sz w:val="24"/>
          <w:szCs w:val="24"/>
          <w:lang w:val="sq-AL"/>
        </w:rPr>
        <w:t>S</w:t>
      </w:r>
      <w:r>
        <w:rPr>
          <w:rFonts w:ascii="Times New Roman" w:hAnsi="Times New Roman" w:cs="Times New Roman"/>
          <w:sz w:val="24"/>
          <w:szCs w:val="24"/>
          <w:lang w:val="sq-AL"/>
        </w:rPr>
        <w:t xml:space="preserve">hkallës së </w:t>
      </w:r>
      <w:r w:rsidR="00EF58A8">
        <w:rPr>
          <w:rFonts w:ascii="Times New Roman" w:hAnsi="Times New Roman" w:cs="Times New Roman"/>
          <w:sz w:val="24"/>
          <w:szCs w:val="24"/>
          <w:lang w:val="sq-AL"/>
        </w:rPr>
        <w:t>P</w:t>
      </w:r>
      <w:r>
        <w:rPr>
          <w:rFonts w:ascii="Times New Roman" w:hAnsi="Times New Roman" w:cs="Times New Roman"/>
          <w:sz w:val="24"/>
          <w:szCs w:val="24"/>
          <w:lang w:val="sq-AL"/>
        </w:rPr>
        <w:t>arë Tiranë dhe rrëzimin e kërkesës për rivendosje në afat të ankimit kundër vendimit nr.5220 (80-2016-5245) datë 08.11.2016 të Gjykatës Administrative të Shkallës së Parë Tiranë.</w:t>
      </w:r>
      <w:bookmarkEnd w:id="3"/>
    </w:p>
    <w:bookmarkEnd w:id="4"/>
    <w:p w14:paraId="4E283EA3" w14:textId="77777777" w:rsidR="00CF7F67" w:rsidRPr="003A3461" w:rsidRDefault="00CF7F67" w:rsidP="0075627B">
      <w:pPr>
        <w:spacing w:after="0" w:line="240" w:lineRule="auto"/>
        <w:jc w:val="both"/>
        <w:rPr>
          <w:rFonts w:ascii="Times New Roman" w:hAnsi="Times New Roman" w:cs="Times New Roman"/>
          <w:sz w:val="24"/>
          <w:szCs w:val="24"/>
          <w:shd w:val="clear" w:color="auto" w:fill="FFFFFF"/>
          <w:lang w:val="sq-AL"/>
        </w:rPr>
      </w:pPr>
    </w:p>
    <w:p w14:paraId="78F7E2DB" w14:textId="77777777" w:rsidR="000337F2" w:rsidRPr="00EF58A8" w:rsidRDefault="004E19E0" w:rsidP="002879A0">
      <w:pPr>
        <w:spacing w:after="0" w:line="240" w:lineRule="auto"/>
        <w:jc w:val="right"/>
        <w:rPr>
          <w:rFonts w:ascii="Times New Roman" w:hAnsi="Times New Roman" w:cs="Times New Roman"/>
          <w:b/>
          <w:sz w:val="24"/>
          <w:szCs w:val="24"/>
          <w:lang w:val="sq-AL"/>
        </w:rPr>
      </w:pP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sidRPr="00EF58A8">
        <w:rPr>
          <w:rFonts w:ascii="Times New Roman" w:hAnsi="Times New Roman" w:cs="Times New Roman"/>
          <w:b/>
          <w:sz w:val="24"/>
          <w:szCs w:val="24"/>
          <w:lang w:val="sq-AL"/>
        </w:rPr>
        <w:t>Tiranë më 07.11.2024</w:t>
      </w:r>
    </w:p>
    <w:p w14:paraId="58C6DE1F" w14:textId="77777777" w:rsidR="00D06A05" w:rsidRPr="003A3461" w:rsidRDefault="00D06A05" w:rsidP="002879A0">
      <w:pPr>
        <w:spacing w:after="0" w:line="240" w:lineRule="auto"/>
        <w:jc w:val="right"/>
        <w:rPr>
          <w:rFonts w:ascii="Times New Roman" w:hAnsi="Times New Roman" w:cs="Times New Roman"/>
          <w:b/>
          <w:bCs/>
          <w:sz w:val="24"/>
          <w:szCs w:val="24"/>
          <w:lang w:val="sq-AL"/>
        </w:rPr>
      </w:pPr>
    </w:p>
    <w:p w14:paraId="04FB8CC0" w14:textId="77777777" w:rsidR="008E50AD" w:rsidRDefault="008E50AD" w:rsidP="00D06A05">
      <w:pPr>
        <w:spacing w:after="0" w:line="240" w:lineRule="auto"/>
        <w:rPr>
          <w:rFonts w:ascii="Times New Roman" w:eastAsia="Times New Roman" w:hAnsi="Times New Roman" w:cs="Times New Roman"/>
          <w:b/>
          <w:sz w:val="24"/>
          <w:szCs w:val="20"/>
          <w:lang w:val="sq-AL"/>
        </w:rPr>
      </w:pPr>
    </w:p>
    <w:p w14:paraId="638EBAC3" w14:textId="3B8FEAD7" w:rsidR="00EF58A8" w:rsidRDefault="00EF58A8" w:rsidP="00D06A05">
      <w:pPr>
        <w:spacing w:after="0" w:line="240" w:lineRule="auto"/>
        <w:rPr>
          <w:rFonts w:ascii="Times New Roman" w:eastAsia="Times New Roman" w:hAnsi="Times New Roman" w:cs="Times New Roman"/>
          <w:b/>
          <w:sz w:val="24"/>
          <w:szCs w:val="20"/>
          <w:lang w:val="sq-AL"/>
        </w:rPr>
      </w:pPr>
    </w:p>
    <w:p w14:paraId="0AE49D36" w14:textId="7F6FD417" w:rsidR="00EF58A8" w:rsidRDefault="00EF58A8" w:rsidP="00D06A05">
      <w:pPr>
        <w:spacing w:after="0" w:line="240" w:lineRule="auto"/>
        <w:rPr>
          <w:rFonts w:ascii="Times New Roman" w:eastAsia="Times New Roman" w:hAnsi="Times New Roman" w:cs="Times New Roman"/>
          <w:b/>
          <w:sz w:val="24"/>
          <w:szCs w:val="20"/>
          <w:lang w:val="sq-AL"/>
        </w:rPr>
      </w:pPr>
    </w:p>
    <w:sectPr w:rsidR="00EF58A8" w:rsidSect="009F469B">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C75A" w14:textId="77777777" w:rsidR="00A964D3" w:rsidRDefault="00A964D3">
      <w:pPr>
        <w:spacing w:after="0" w:line="240" w:lineRule="auto"/>
      </w:pPr>
      <w:r>
        <w:separator/>
      </w:r>
    </w:p>
  </w:endnote>
  <w:endnote w:type="continuationSeparator" w:id="0">
    <w:p w14:paraId="6332AF55" w14:textId="77777777" w:rsidR="00A964D3" w:rsidRDefault="00A96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69CC" w14:textId="77777777" w:rsidR="006E3BF3" w:rsidRDefault="00EE0BE7">
    <w:pPr>
      <w:pStyle w:val="Footer"/>
      <w:jc w:val="right"/>
    </w:pPr>
    <w:r>
      <w:fldChar w:fldCharType="begin"/>
    </w:r>
    <w:r>
      <w:instrText xml:space="preserve"> PAGE   \* MERGEFORMAT </w:instrText>
    </w:r>
    <w:r>
      <w:fldChar w:fldCharType="separate"/>
    </w:r>
    <w:r w:rsidR="00EE2111">
      <w:rPr>
        <w:noProof/>
      </w:rPr>
      <w:t>10</w:t>
    </w:r>
    <w:r>
      <w:rPr>
        <w:noProof/>
      </w:rPr>
      <w:fldChar w:fldCharType="end"/>
    </w:r>
  </w:p>
  <w:p w14:paraId="72B09BA9" w14:textId="77777777" w:rsidR="006E3BF3" w:rsidRDefault="006E3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B3AD" w14:textId="77777777" w:rsidR="00A964D3" w:rsidRDefault="00A964D3">
      <w:pPr>
        <w:spacing w:after="0" w:line="240" w:lineRule="auto"/>
      </w:pPr>
      <w:r>
        <w:separator/>
      </w:r>
    </w:p>
  </w:footnote>
  <w:footnote w:type="continuationSeparator" w:id="0">
    <w:p w14:paraId="07B53BBE" w14:textId="77777777" w:rsidR="00A964D3" w:rsidRDefault="00A96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AE0"/>
    <w:multiLevelType w:val="multilevel"/>
    <w:tmpl w:val="56F8EF5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844CA6"/>
    <w:multiLevelType w:val="hybridMultilevel"/>
    <w:tmpl w:val="0EE263F4"/>
    <w:lvl w:ilvl="0" w:tplc="26563A02">
      <w:start w:val="1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B20C0"/>
    <w:multiLevelType w:val="hybridMultilevel"/>
    <w:tmpl w:val="9C2837CC"/>
    <w:lvl w:ilvl="0" w:tplc="4C06F744">
      <w:numFmt w:val="bullet"/>
      <w:lvlText w:val="-"/>
      <w:lvlJc w:val="left"/>
      <w:pPr>
        <w:ind w:left="720" w:hanging="360"/>
      </w:pPr>
      <w:rPr>
        <w:rFonts w:ascii="Times New Roman" w:eastAsia="Times New Roman" w:hAnsi="Times New Roman"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A30D9"/>
    <w:multiLevelType w:val="hybridMultilevel"/>
    <w:tmpl w:val="632287AA"/>
    <w:lvl w:ilvl="0" w:tplc="8EA827E4">
      <w:start w:val="3"/>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1247719B"/>
    <w:multiLevelType w:val="multilevel"/>
    <w:tmpl w:val="54A4866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42C044E"/>
    <w:multiLevelType w:val="hybridMultilevel"/>
    <w:tmpl w:val="AF92FB60"/>
    <w:lvl w:ilvl="0" w:tplc="8EA827E4">
      <w:start w:val="3"/>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14E83642"/>
    <w:multiLevelType w:val="hybridMultilevel"/>
    <w:tmpl w:val="8528E5DA"/>
    <w:lvl w:ilvl="0" w:tplc="74288CA0">
      <w:start w:val="1"/>
      <w:numFmt w:val="upperRoman"/>
      <w:lvlText w:val="%1."/>
      <w:lvlJc w:val="left"/>
      <w:pPr>
        <w:ind w:left="721" w:hanging="720"/>
      </w:pPr>
      <w:rPr>
        <w:b/>
      </w:rPr>
    </w:lvl>
    <w:lvl w:ilvl="1" w:tplc="5FF6F6EC">
      <w:start w:val="1"/>
      <w:numFmt w:val="decimal"/>
      <w:lvlText w:val="%2."/>
      <w:lvlJc w:val="left"/>
      <w:pPr>
        <w:tabs>
          <w:tab w:val="num" w:pos="5310"/>
        </w:tabs>
        <w:ind w:left="531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EAE38DB"/>
    <w:multiLevelType w:val="hybridMultilevel"/>
    <w:tmpl w:val="DEA044E2"/>
    <w:lvl w:ilvl="0" w:tplc="75F4B340">
      <w:start w:val="1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C0044"/>
    <w:multiLevelType w:val="multilevel"/>
    <w:tmpl w:val="A77CC6F6"/>
    <w:lvl w:ilvl="0">
      <w:start w:val="12"/>
      <w:numFmt w:val="decimal"/>
      <w:lvlText w:val="%1."/>
      <w:lvlJc w:val="left"/>
      <w:pPr>
        <w:ind w:left="480" w:hanging="480"/>
      </w:pPr>
      <w:rPr>
        <w:rFonts w:hint="default"/>
        <w:i/>
        <w:color w:val="222222"/>
      </w:rPr>
    </w:lvl>
    <w:lvl w:ilvl="1">
      <w:start w:val="1"/>
      <w:numFmt w:val="decimal"/>
      <w:lvlText w:val="%1.%2."/>
      <w:lvlJc w:val="left"/>
      <w:pPr>
        <w:ind w:left="480" w:hanging="480"/>
      </w:pPr>
      <w:rPr>
        <w:rFonts w:hint="default"/>
        <w:i w:val="0"/>
        <w:color w:val="222222"/>
      </w:rPr>
    </w:lvl>
    <w:lvl w:ilvl="2">
      <w:start w:val="1"/>
      <w:numFmt w:val="decimal"/>
      <w:lvlText w:val="%1.%2.%3."/>
      <w:lvlJc w:val="left"/>
      <w:pPr>
        <w:ind w:left="720" w:hanging="720"/>
      </w:pPr>
      <w:rPr>
        <w:rFonts w:hint="default"/>
        <w:i/>
        <w:color w:val="222222"/>
      </w:rPr>
    </w:lvl>
    <w:lvl w:ilvl="3">
      <w:start w:val="1"/>
      <w:numFmt w:val="decimal"/>
      <w:lvlText w:val="%1.%2.%3.%4."/>
      <w:lvlJc w:val="left"/>
      <w:pPr>
        <w:ind w:left="720" w:hanging="720"/>
      </w:pPr>
      <w:rPr>
        <w:rFonts w:hint="default"/>
        <w:i/>
        <w:color w:val="222222"/>
      </w:rPr>
    </w:lvl>
    <w:lvl w:ilvl="4">
      <w:start w:val="1"/>
      <w:numFmt w:val="decimal"/>
      <w:lvlText w:val="%1.%2.%3.%4.%5."/>
      <w:lvlJc w:val="left"/>
      <w:pPr>
        <w:ind w:left="1080" w:hanging="1080"/>
      </w:pPr>
      <w:rPr>
        <w:rFonts w:hint="default"/>
        <w:i/>
        <w:color w:val="222222"/>
      </w:rPr>
    </w:lvl>
    <w:lvl w:ilvl="5">
      <w:start w:val="1"/>
      <w:numFmt w:val="decimal"/>
      <w:lvlText w:val="%1.%2.%3.%4.%5.%6."/>
      <w:lvlJc w:val="left"/>
      <w:pPr>
        <w:ind w:left="1080" w:hanging="1080"/>
      </w:pPr>
      <w:rPr>
        <w:rFonts w:hint="default"/>
        <w:i/>
        <w:color w:val="222222"/>
      </w:rPr>
    </w:lvl>
    <w:lvl w:ilvl="6">
      <w:start w:val="1"/>
      <w:numFmt w:val="decimal"/>
      <w:lvlText w:val="%1.%2.%3.%4.%5.%6.%7."/>
      <w:lvlJc w:val="left"/>
      <w:pPr>
        <w:ind w:left="1440" w:hanging="1440"/>
      </w:pPr>
      <w:rPr>
        <w:rFonts w:hint="default"/>
        <w:i/>
        <w:color w:val="222222"/>
      </w:rPr>
    </w:lvl>
    <w:lvl w:ilvl="7">
      <w:start w:val="1"/>
      <w:numFmt w:val="decimal"/>
      <w:lvlText w:val="%1.%2.%3.%4.%5.%6.%7.%8."/>
      <w:lvlJc w:val="left"/>
      <w:pPr>
        <w:ind w:left="1440" w:hanging="1440"/>
      </w:pPr>
      <w:rPr>
        <w:rFonts w:hint="default"/>
        <w:i/>
        <w:color w:val="222222"/>
      </w:rPr>
    </w:lvl>
    <w:lvl w:ilvl="8">
      <w:start w:val="1"/>
      <w:numFmt w:val="decimal"/>
      <w:lvlText w:val="%1.%2.%3.%4.%5.%6.%7.%8.%9."/>
      <w:lvlJc w:val="left"/>
      <w:pPr>
        <w:ind w:left="1800" w:hanging="1800"/>
      </w:pPr>
      <w:rPr>
        <w:rFonts w:hint="default"/>
        <w:i/>
        <w:color w:val="222222"/>
      </w:rPr>
    </w:lvl>
  </w:abstractNum>
  <w:abstractNum w:abstractNumId="9" w15:restartNumberingAfterBreak="0">
    <w:nsid w:val="3AED633B"/>
    <w:multiLevelType w:val="hybridMultilevel"/>
    <w:tmpl w:val="FDC8A824"/>
    <w:lvl w:ilvl="0" w:tplc="B4C4673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37005"/>
    <w:multiLevelType w:val="hybridMultilevel"/>
    <w:tmpl w:val="2F646BF8"/>
    <w:lvl w:ilvl="0" w:tplc="AA64690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55A64"/>
    <w:multiLevelType w:val="hybridMultilevel"/>
    <w:tmpl w:val="DBB6844A"/>
    <w:lvl w:ilvl="0" w:tplc="0E029F2A">
      <w:start w:val="1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67A61"/>
    <w:multiLevelType w:val="hybridMultilevel"/>
    <w:tmpl w:val="B16649C4"/>
    <w:lvl w:ilvl="0" w:tplc="A9B65F24">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4CA478ED"/>
    <w:multiLevelType w:val="multilevel"/>
    <w:tmpl w:val="DAA0D97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0A35301"/>
    <w:multiLevelType w:val="multilevel"/>
    <w:tmpl w:val="0D04A2D0"/>
    <w:lvl w:ilvl="0">
      <w:start w:val="7"/>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5" w15:restartNumberingAfterBreak="0">
    <w:nsid w:val="550C65E6"/>
    <w:multiLevelType w:val="multilevel"/>
    <w:tmpl w:val="D7186542"/>
    <w:lvl w:ilvl="0">
      <w:start w:val="1"/>
      <w:numFmt w:val="decimal"/>
      <w:lvlText w:val="%1."/>
      <w:lvlJc w:val="left"/>
      <w:pPr>
        <w:ind w:left="720" w:hanging="360"/>
      </w:pPr>
      <w:rPr>
        <w:i w:val="0"/>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6" w15:restartNumberingAfterBreak="0">
    <w:nsid w:val="5B407E51"/>
    <w:multiLevelType w:val="hybridMultilevel"/>
    <w:tmpl w:val="7F6A9E08"/>
    <w:lvl w:ilvl="0" w:tplc="1F86B144">
      <w:start w:val="16"/>
      <w:numFmt w:val="decimal"/>
      <w:lvlText w:val="%1."/>
      <w:lvlJc w:val="left"/>
      <w:pPr>
        <w:ind w:left="1070" w:hanging="360"/>
      </w:pPr>
      <w:rPr>
        <w:rFonts w:hint="default"/>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5CFF600C"/>
    <w:multiLevelType w:val="multilevel"/>
    <w:tmpl w:val="C7DCDB1C"/>
    <w:lvl w:ilvl="0">
      <w:start w:val="10"/>
      <w:numFmt w:val="decimal"/>
      <w:lvlText w:val="%1."/>
      <w:lvlJc w:val="left"/>
      <w:pPr>
        <w:ind w:left="480" w:hanging="480"/>
      </w:pPr>
      <w:rPr>
        <w:rFonts w:hint="default"/>
        <w:i w:val="0"/>
        <w:color w:val="000000"/>
      </w:rPr>
    </w:lvl>
    <w:lvl w:ilvl="1">
      <w:start w:val="1"/>
      <w:numFmt w:val="decimal"/>
      <w:lvlText w:val="%1.%2."/>
      <w:lvlJc w:val="left"/>
      <w:pPr>
        <w:ind w:left="840" w:hanging="480"/>
      </w:pPr>
      <w:rPr>
        <w:rFonts w:hint="default"/>
        <w:i w:val="0"/>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i w:val="0"/>
        <w:color w:val="000000"/>
      </w:rPr>
    </w:lvl>
    <w:lvl w:ilvl="4">
      <w:start w:val="1"/>
      <w:numFmt w:val="decimal"/>
      <w:lvlText w:val="%1.%2.%3.%4.%5."/>
      <w:lvlJc w:val="left"/>
      <w:pPr>
        <w:ind w:left="2520" w:hanging="1080"/>
      </w:pPr>
      <w:rPr>
        <w:rFonts w:hint="default"/>
        <w:i w:val="0"/>
        <w:color w:val="000000"/>
      </w:rPr>
    </w:lvl>
    <w:lvl w:ilvl="5">
      <w:start w:val="1"/>
      <w:numFmt w:val="decimal"/>
      <w:lvlText w:val="%1.%2.%3.%4.%5.%6."/>
      <w:lvlJc w:val="left"/>
      <w:pPr>
        <w:ind w:left="2880" w:hanging="1080"/>
      </w:pPr>
      <w:rPr>
        <w:rFonts w:hint="default"/>
        <w:i w:val="0"/>
        <w:color w:val="000000"/>
      </w:rPr>
    </w:lvl>
    <w:lvl w:ilvl="6">
      <w:start w:val="1"/>
      <w:numFmt w:val="decimal"/>
      <w:lvlText w:val="%1.%2.%3.%4.%5.%6.%7."/>
      <w:lvlJc w:val="left"/>
      <w:pPr>
        <w:ind w:left="3600" w:hanging="1440"/>
      </w:pPr>
      <w:rPr>
        <w:rFonts w:hint="default"/>
        <w:i w:val="0"/>
        <w:color w:val="000000"/>
      </w:rPr>
    </w:lvl>
    <w:lvl w:ilvl="7">
      <w:start w:val="1"/>
      <w:numFmt w:val="decimal"/>
      <w:lvlText w:val="%1.%2.%3.%4.%5.%6.%7.%8."/>
      <w:lvlJc w:val="left"/>
      <w:pPr>
        <w:ind w:left="3960" w:hanging="1440"/>
      </w:pPr>
      <w:rPr>
        <w:rFonts w:hint="default"/>
        <w:i w:val="0"/>
        <w:color w:val="000000"/>
      </w:rPr>
    </w:lvl>
    <w:lvl w:ilvl="8">
      <w:start w:val="1"/>
      <w:numFmt w:val="decimal"/>
      <w:lvlText w:val="%1.%2.%3.%4.%5.%6.%7.%8.%9."/>
      <w:lvlJc w:val="left"/>
      <w:pPr>
        <w:ind w:left="4680" w:hanging="1800"/>
      </w:pPr>
      <w:rPr>
        <w:rFonts w:hint="default"/>
        <w:i w:val="0"/>
        <w:color w:val="000000"/>
      </w:rPr>
    </w:lvl>
  </w:abstractNum>
  <w:abstractNum w:abstractNumId="18" w15:restartNumberingAfterBreak="0">
    <w:nsid w:val="5FA637AE"/>
    <w:multiLevelType w:val="hybridMultilevel"/>
    <w:tmpl w:val="92E26B90"/>
    <w:lvl w:ilvl="0" w:tplc="041C000F">
      <w:start w:val="16"/>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65204A5E"/>
    <w:multiLevelType w:val="multilevel"/>
    <w:tmpl w:val="362A628E"/>
    <w:lvl w:ilvl="0">
      <w:start w:val="13"/>
      <w:numFmt w:val="decimal"/>
      <w:lvlText w:val="%1."/>
      <w:lvlJc w:val="left"/>
      <w:pPr>
        <w:ind w:left="480" w:hanging="480"/>
      </w:pPr>
      <w:rPr>
        <w:rFonts w:hint="default"/>
        <w:b/>
        <w:i w:val="0"/>
        <w:color w:val="auto"/>
      </w:rPr>
    </w:lvl>
    <w:lvl w:ilvl="1">
      <w:start w:val="1"/>
      <w:numFmt w:val="decimal"/>
      <w:lvlText w:val="%1.%2."/>
      <w:lvlJc w:val="left"/>
      <w:pPr>
        <w:ind w:left="840" w:hanging="480"/>
      </w:pPr>
      <w:rPr>
        <w:rFonts w:hint="default"/>
        <w:b w:val="0"/>
        <w:i w:val="0"/>
        <w:color w:val="auto"/>
      </w:rPr>
    </w:lvl>
    <w:lvl w:ilvl="2">
      <w:start w:val="1"/>
      <w:numFmt w:val="decimal"/>
      <w:lvlText w:val="%1.%2.%3."/>
      <w:lvlJc w:val="left"/>
      <w:pPr>
        <w:ind w:left="1440" w:hanging="720"/>
      </w:pPr>
      <w:rPr>
        <w:rFonts w:hint="default"/>
        <w:b/>
        <w:i w:val="0"/>
        <w:color w:val="auto"/>
      </w:rPr>
    </w:lvl>
    <w:lvl w:ilvl="3">
      <w:start w:val="1"/>
      <w:numFmt w:val="decimal"/>
      <w:lvlText w:val="%1.%2.%3.%4."/>
      <w:lvlJc w:val="left"/>
      <w:pPr>
        <w:ind w:left="1800" w:hanging="720"/>
      </w:pPr>
      <w:rPr>
        <w:rFonts w:hint="default"/>
        <w:b/>
        <w:i w:val="0"/>
        <w:color w:val="auto"/>
      </w:rPr>
    </w:lvl>
    <w:lvl w:ilvl="4">
      <w:start w:val="1"/>
      <w:numFmt w:val="decimal"/>
      <w:lvlText w:val="%1.%2.%3.%4.%5."/>
      <w:lvlJc w:val="left"/>
      <w:pPr>
        <w:ind w:left="2520" w:hanging="1080"/>
      </w:pPr>
      <w:rPr>
        <w:rFonts w:hint="default"/>
        <w:b/>
        <w:i w:val="0"/>
        <w:color w:val="auto"/>
      </w:rPr>
    </w:lvl>
    <w:lvl w:ilvl="5">
      <w:start w:val="1"/>
      <w:numFmt w:val="decimal"/>
      <w:lvlText w:val="%1.%2.%3.%4.%5.%6."/>
      <w:lvlJc w:val="left"/>
      <w:pPr>
        <w:ind w:left="2880" w:hanging="1080"/>
      </w:pPr>
      <w:rPr>
        <w:rFonts w:hint="default"/>
        <w:b/>
        <w:i w:val="0"/>
        <w:color w:val="auto"/>
      </w:rPr>
    </w:lvl>
    <w:lvl w:ilvl="6">
      <w:start w:val="1"/>
      <w:numFmt w:val="decimal"/>
      <w:lvlText w:val="%1.%2.%3.%4.%5.%6.%7."/>
      <w:lvlJc w:val="left"/>
      <w:pPr>
        <w:ind w:left="3600" w:hanging="1440"/>
      </w:pPr>
      <w:rPr>
        <w:rFonts w:hint="default"/>
        <w:b/>
        <w:i w:val="0"/>
        <w:color w:val="auto"/>
      </w:rPr>
    </w:lvl>
    <w:lvl w:ilvl="7">
      <w:start w:val="1"/>
      <w:numFmt w:val="decimal"/>
      <w:lvlText w:val="%1.%2.%3.%4.%5.%6.%7.%8."/>
      <w:lvlJc w:val="left"/>
      <w:pPr>
        <w:ind w:left="3960" w:hanging="1440"/>
      </w:pPr>
      <w:rPr>
        <w:rFonts w:hint="default"/>
        <w:b/>
        <w:i w:val="0"/>
        <w:color w:val="auto"/>
      </w:rPr>
    </w:lvl>
    <w:lvl w:ilvl="8">
      <w:start w:val="1"/>
      <w:numFmt w:val="decimal"/>
      <w:lvlText w:val="%1.%2.%3.%4.%5.%6.%7.%8.%9."/>
      <w:lvlJc w:val="left"/>
      <w:pPr>
        <w:ind w:left="4680" w:hanging="1800"/>
      </w:pPr>
      <w:rPr>
        <w:rFonts w:hint="default"/>
        <w:b/>
        <w:i w:val="0"/>
        <w:color w:val="auto"/>
      </w:rPr>
    </w:lvl>
  </w:abstractNum>
  <w:abstractNum w:abstractNumId="20" w15:restartNumberingAfterBreak="0">
    <w:nsid w:val="66AE646D"/>
    <w:multiLevelType w:val="multilevel"/>
    <w:tmpl w:val="5906AAC2"/>
    <w:lvl w:ilvl="0">
      <w:start w:val="11"/>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FF0A23"/>
    <w:multiLevelType w:val="hybridMultilevel"/>
    <w:tmpl w:val="D1CC11F8"/>
    <w:lvl w:ilvl="0" w:tplc="8EA827E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377358"/>
    <w:multiLevelType w:val="hybridMultilevel"/>
    <w:tmpl w:val="8B3025EA"/>
    <w:lvl w:ilvl="0" w:tplc="EBFA68D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D04D6A"/>
    <w:multiLevelType w:val="hybridMultilevel"/>
    <w:tmpl w:val="76063188"/>
    <w:lvl w:ilvl="0" w:tplc="A2C02A24">
      <w:start w:val="15"/>
      <w:numFmt w:val="decimal"/>
      <w:lvlText w:val="%1."/>
      <w:lvlJc w:val="left"/>
      <w:pPr>
        <w:ind w:left="720" w:hanging="360"/>
      </w:pPr>
      <w:rPr>
        <w:rFonts w:hint="default"/>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793A765D"/>
    <w:multiLevelType w:val="multilevel"/>
    <w:tmpl w:val="3948EC3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D7C6504"/>
    <w:multiLevelType w:val="multilevel"/>
    <w:tmpl w:val="3D82191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4"/>
  </w:num>
  <w:num w:numId="5">
    <w:abstractNumId w:val="10"/>
  </w:num>
  <w:num w:numId="6">
    <w:abstractNumId w:val="4"/>
  </w:num>
  <w:num w:numId="7">
    <w:abstractNumId w:val="0"/>
  </w:num>
  <w:num w:numId="8">
    <w:abstractNumId w:val="22"/>
  </w:num>
  <w:num w:numId="9">
    <w:abstractNumId w:val="20"/>
  </w:num>
  <w:num w:numId="10">
    <w:abstractNumId w:val="19"/>
  </w:num>
  <w:num w:numId="11">
    <w:abstractNumId w:val="2"/>
  </w:num>
  <w:num w:numId="12">
    <w:abstractNumId w:val="17"/>
  </w:num>
  <w:num w:numId="13">
    <w:abstractNumId w:val="8"/>
  </w:num>
  <w:num w:numId="14">
    <w:abstractNumId w:val="9"/>
  </w:num>
  <w:num w:numId="15">
    <w:abstractNumId w:val="23"/>
  </w:num>
  <w:num w:numId="16">
    <w:abstractNumId w:val="6"/>
  </w:num>
  <w:num w:numId="17">
    <w:abstractNumId w:val="7"/>
  </w:num>
  <w:num w:numId="18">
    <w:abstractNumId w:val="15"/>
  </w:num>
  <w:num w:numId="19">
    <w:abstractNumId w:val="11"/>
  </w:num>
  <w:num w:numId="20">
    <w:abstractNumId w:val="21"/>
  </w:num>
  <w:num w:numId="21">
    <w:abstractNumId w:val="3"/>
  </w:num>
  <w:num w:numId="22">
    <w:abstractNumId w:val="5"/>
  </w:num>
  <w:num w:numId="23">
    <w:abstractNumId w:val="18"/>
  </w:num>
  <w:num w:numId="24">
    <w:abstractNumId w:val="16"/>
  </w:num>
  <w:num w:numId="25">
    <w:abstractNumId w:val="13"/>
  </w:num>
  <w:num w:numId="26">
    <w:abstractNumId w:val="25"/>
  </w:num>
  <w:num w:numId="2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56"/>
    <w:rsid w:val="00004441"/>
    <w:rsid w:val="00005E2A"/>
    <w:rsid w:val="000147B7"/>
    <w:rsid w:val="000160DE"/>
    <w:rsid w:val="000337F2"/>
    <w:rsid w:val="00036702"/>
    <w:rsid w:val="00037C64"/>
    <w:rsid w:val="0004788E"/>
    <w:rsid w:val="00050919"/>
    <w:rsid w:val="00054A75"/>
    <w:rsid w:val="00055695"/>
    <w:rsid w:val="00060E61"/>
    <w:rsid w:val="000629C2"/>
    <w:rsid w:val="00066ED9"/>
    <w:rsid w:val="000727B6"/>
    <w:rsid w:val="00077027"/>
    <w:rsid w:val="0008011B"/>
    <w:rsid w:val="000A4059"/>
    <w:rsid w:val="000C385B"/>
    <w:rsid w:val="000C6D11"/>
    <w:rsid w:val="000D194F"/>
    <w:rsid w:val="000D4653"/>
    <w:rsid w:val="000D7CDF"/>
    <w:rsid w:val="000E6C19"/>
    <w:rsid w:val="000F1446"/>
    <w:rsid w:val="000F7CD0"/>
    <w:rsid w:val="0010421F"/>
    <w:rsid w:val="00106DF4"/>
    <w:rsid w:val="0010772E"/>
    <w:rsid w:val="0011116A"/>
    <w:rsid w:val="00114646"/>
    <w:rsid w:val="00120152"/>
    <w:rsid w:val="0012643C"/>
    <w:rsid w:val="0014139E"/>
    <w:rsid w:val="00144088"/>
    <w:rsid w:val="00152379"/>
    <w:rsid w:val="00155737"/>
    <w:rsid w:val="00175850"/>
    <w:rsid w:val="00176AFA"/>
    <w:rsid w:val="00177E3E"/>
    <w:rsid w:val="00186C19"/>
    <w:rsid w:val="00187516"/>
    <w:rsid w:val="00191BEB"/>
    <w:rsid w:val="001A3F04"/>
    <w:rsid w:val="001B4B64"/>
    <w:rsid w:val="001B4D7A"/>
    <w:rsid w:val="001D6A06"/>
    <w:rsid w:val="001D71FE"/>
    <w:rsid w:val="00203558"/>
    <w:rsid w:val="00203BF0"/>
    <w:rsid w:val="0020567E"/>
    <w:rsid w:val="00213449"/>
    <w:rsid w:val="00215839"/>
    <w:rsid w:val="00223A32"/>
    <w:rsid w:val="0022567E"/>
    <w:rsid w:val="00225ADE"/>
    <w:rsid w:val="00227FB0"/>
    <w:rsid w:val="00230E57"/>
    <w:rsid w:val="00232F0A"/>
    <w:rsid w:val="0023563D"/>
    <w:rsid w:val="002368C7"/>
    <w:rsid w:val="0025331B"/>
    <w:rsid w:val="002614BE"/>
    <w:rsid w:val="00271C85"/>
    <w:rsid w:val="00284472"/>
    <w:rsid w:val="002879A0"/>
    <w:rsid w:val="00290664"/>
    <w:rsid w:val="002A36DB"/>
    <w:rsid w:val="002A6E72"/>
    <w:rsid w:val="002B5BA9"/>
    <w:rsid w:val="002C3400"/>
    <w:rsid w:val="002D2451"/>
    <w:rsid w:val="002D31A1"/>
    <w:rsid w:val="002D42DE"/>
    <w:rsid w:val="002D545D"/>
    <w:rsid w:val="002D6ED5"/>
    <w:rsid w:val="002F021E"/>
    <w:rsid w:val="002F4099"/>
    <w:rsid w:val="002F4CFA"/>
    <w:rsid w:val="002F640E"/>
    <w:rsid w:val="0030255B"/>
    <w:rsid w:val="003041D8"/>
    <w:rsid w:val="00307BF3"/>
    <w:rsid w:val="00317B64"/>
    <w:rsid w:val="00321A42"/>
    <w:rsid w:val="00330574"/>
    <w:rsid w:val="003358EF"/>
    <w:rsid w:val="00335D6F"/>
    <w:rsid w:val="003420C3"/>
    <w:rsid w:val="00345837"/>
    <w:rsid w:val="003462FB"/>
    <w:rsid w:val="003513AB"/>
    <w:rsid w:val="003578B1"/>
    <w:rsid w:val="003578DC"/>
    <w:rsid w:val="003756FC"/>
    <w:rsid w:val="0037613A"/>
    <w:rsid w:val="003815DB"/>
    <w:rsid w:val="00392179"/>
    <w:rsid w:val="003A26DE"/>
    <w:rsid w:val="003A3461"/>
    <w:rsid w:val="003A73AD"/>
    <w:rsid w:val="003A7640"/>
    <w:rsid w:val="003C46E9"/>
    <w:rsid w:val="003C5839"/>
    <w:rsid w:val="003D7890"/>
    <w:rsid w:val="003E25B2"/>
    <w:rsid w:val="003E5A74"/>
    <w:rsid w:val="003F5425"/>
    <w:rsid w:val="003F5EAF"/>
    <w:rsid w:val="0040238B"/>
    <w:rsid w:val="00414756"/>
    <w:rsid w:val="004151AB"/>
    <w:rsid w:val="00421190"/>
    <w:rsid w:val="00425015"/>
    <w:rsid w:val="004302AB"/>
    <w:rsid w:val="004305EB"/>
    <w:rsid w:val="00432EF7"/>
    <w:rsid w:val="004448CB"/>
    <w:rsid w:val="00444CF8"/>
    <w:rsid w:val="00474069"/>
    <w:rsid w:val="00481C75"/>
    <w:rsid w:val="00483954"/>
    <w:rsid w:val="00486E97"/>
    <w:rsid w:val="004879FC"/>
    <w:rsid w:val="00487A28"/>
    <w:rsid w:val="00490687"/>
    <w:rsid w:val="004916A4"/>
    <w:rsid w:val="0049221E"/>
    <w:rsid w:val="004943BB"/>
    <w:rsid w:val="0049531A"/>
    <w:rsid w:val="00497D24"/>
    <w:rsid w:val="004A506A"/>
    <w:rsid w:val="004A5B34"/>
    <w:rsid w:val="004A5FAC"/>
    <w:rsid w:val="004B11A6"/>
    <w:rsid w:val="004C121E"/>
    <w:rsid w:val="004C2940"/>
    <w:rsid w:val="004C3259"/>
    <w:rsid w:val="004C59E7"/>
    <w:rsid w:val="004C67DA"/>
    <w:rsid w:val="004E16AF"/>
    <w:rsid w:val="004E19E0"/>
    <w:rsid w:val="004E563C"/>
    <w:rsid w:val="0050323A"/>
    <w:rsid w:val="005069D0"/>
    <w:rsid w:val="00511CD2"/>
    <w:rsid w:val="00514AFA"/>
    <w:rsid w:val="00523EB4"/>
    <w:rsid w:val="0052610B"/>
    <w:rsid w:val="0053570D"/>
    <w:rsid w:val="005361DF"/>
    <w:rsid w:val="00552587"/>
    <w:rsid w:val="00555556"/>
    <w:rsid w:val="005651E6"/>
    <w:rsid w:val="005653F4"/>
    <w:rsid w:val="00574214"/>
    <w:rsid w:val="0059092A"/>
    <w:rsid w:val="005A0ADA"/>
    <w:rsid w:val="005A3182"/>
    <w:rsid w:val="005A5199"/>
    <w:rsid w:val="005B1B86"/>
    <w:rsid w:val="005B3131"/>
    <w:rsid w:val="005B49E2"/>
    <w:rsid w:val="005B55A4"/>
    <w:rsid w:val="005E4E48"/>
    <w:rsid w:val="005F038B"/>
    <w:rsid w:val="005F4C50"/>
    <w:rsid w:val="00600DDC"/>
    <w:rsid w:val="006025DE"/>
    <w:rsid w:val="00602965"/>
    <w:rsid w:val="00606979"/>
    <w:rsid w:val="00611FC5"/>
    <w:rsid w:val="00633CCE"/>
    <w:rsid w:val="00636A68"/>
    <w:rsid w:val="00641953"/>
    <w:rsid w:val="00660096"/>
    <w:rsid w:val="00661432"/>
    <w:rsid w:val="00665672"/>
    <w:rsid w:val="00666E95"/>
    <w:rsid w:val="00685379"/>
    <w:rsid w:val="00685BFF"/>
    <w:rsid w:val="006A4E13"/>
    <w:rsid w:val="006B0F87"/>
    <w:rsid w:val="006B1171"/>
    <w:rsid w:val="006B15C8"/>
    <w:rsid w:val="006B28A6"/>
    <w:rsid w:val="006B4750"/>
    <w:rsid w:val="006B5127"/>
    <w:rsid w:val="006B675B"/>
    <w:rsid w:val="006D329E"/>
    <w:rsid w:val="006E1F09"/>
    <w:rsid w:val="006E3BF3"/>
    <w:rsid w:val="006F00EF"/>
    <w:rsid w:val="006F535D"/>
    <w:rsid w:val="00702968"/>
    <w:rsid w:val="00704F35"/>
    <w:rsid w:val="00714483"/>
    <w:rsid w:val="00714D5D"/>
    <w:rsid w:val="00715818"/>
    <w:rsid w:val="007168D8"/>
    <w:rsid w:val="007175BE"/>
    <w:rsid w:val="007229D8"/>
    <w:rsid w:val="00730186"/>
    <w:rsid w:val="00741467"/>
    <w:rsid w:val="0075627B"/>
    <w:rsid w:val="0075716B"/>
    <w:rsid w:val="00761DCF"/>
    <w:rsid w:val="00773308"/>
    <w:rsid w:val="007752AD"/>
    <w:rsid w:val="00777425"/>
    <w:rsid w:val="00783B97"/>
    <w:rsid w:val="0078526C"/>
    <w:rsid w:val="0079577C"/>
    <w:rsid w:val="00796D29"/>
    <w:rsid w:val="0079734A"/>
    <w:rsid w:val="007B7527"/>
    <w:rsid w:val="007B79B1"/>
    <w:rsid w:val="007D1345"/>
    <w:rsid w:val="007D3797"/>
    <w:rsid w:val="007D6EB5"/>
    <w:rsid w:val="007E35CF"/>
    <w:rsid w:val="007E435E"/>
    <w:rsid w:val="007E7854"/>
    <w:rsid w:val="00802685"/>
    <w:rsid w:val="00803722"/>
    <w:rsid w:val="00811659"/>
    <w:rsid w:val="00811A0E"/>
    <w:rsid w:val="00821B7B"/>
    <w:rsid w:val="00826887"/>
    <w:rsid w:val="0083272C"/>
    <w:rsid w:val="00835B9A"/>
    <w:rsid w:val="008360D9"/>
    <w:rsid w:val="008424EF"/>
    <w:rsid w:val="00842F9A"/>
    <w:rsid w:val="0085203A"/>
    <w:rsid w:val="008607B9"/>
    <w:rsid w:val="0086320E"/>
    <w:rsid w:val="00887552"/>
    <w:rsid w:val="00890FC1"/>
    <w:rsid w:val="008A129C"/>
    <w:rsid w:val="008A690C"/>
    <w:rsid w:val="008B3E02"/>
    <w:rsid w:val="008B63A9"/>
    <w:rsid w:val="008C005D"/>
    <w:rsid w:val="008D462B"/>
    <w:rsid w:val="008D6105"/>
    <w:rsid w:val="008E50AD"/>
    <w:rsid w:val="008F42F1"/>
    <w:rsid w:val="008F75C9"/>
    <w:rsid w:val="00903E86"/>
    <w:rsid w:val="009318F7"/>
    <w:rsid w:val="009377CD"/>
    <w:rsid w:val="00942989"/>
    <w:rsid w:val="009437A2"/>
    <w:rsid w:val="00957F48"/>
    <w:rsid w:val="00961583"/>
    <w:rsid w:val="00964828"/>
    <w:rsid w:val="00970386"/>
    <w:rsid w:val="00971701"/>
    <w:rsid w:val="009731BB"/>
    <w:rsid w:val="00973810"/>
    <w:rsid w:val="009763CC"/>
    <w:rsid w:val="00976A0A"/>
    <w:rsid w:val="0097760B"/>
    <w:rsid w:val="00980729"/>
    <w:rsid w:val="00981ACA"/>
    <w:rsid w:val="00991466"/>
    <w:rsid w:val="009970EF"/>
    <w:rsid w:val="00997424"/>
    <w:rsid w:val="009A2AA9"/>
    <w:rsid w:val="009A2DA2"/>
    <w:rsid w:val="009A506F"/>
    <w:rsid w:val="009A5C8A"/>
    <w:rsid w:val="009B543D"/>
    <w:rsid w:val="009B6484"/>
    <w:rsid w:val="009C43E4"/>
    <w:rsid w:val="009C5042"/>
    <w:rsid w:val="009E7EEB"/>
    <w:rsid w:val="009F469B"/>
    <w:rsid w:val="00A0172F"/>
    <w:rsid w:val="00A11026"/>
    <w:rsid w:val="00A15564"/>
    <w:rsid w:val="00A15C6A"/>
    <w:rsid w:val="00A22F2B"/>
    <w:rsid w:val="00A517D3"/>
    <w:rsid w:val="00A60899"/>
    <w:rsid w:val="00A61281"/>
    <w:rsid w:val="00A65B85"/>
    <w:rsid w:val="00A66A24"/>
    <w:rsid w:val="00A66DB9"/>
    <w:rsid w:val="00A84E54"/>
    <w:rsid w:val="00A8676B"/>
    <w:rsid w:val="00A87E2C"/>
    <w:rsid w:val="00A90A00"/>
    <w:rsid w:val="00A91C11"/>
    <w:rsid w:val="00A93B4F"/>
    <w:rsid w:val="00A964D3"/>
    <w:rsid w:val="00AA0522"/>
    <w:rsid w:val="00AA3F9B"/>
    <w:rsid w:val="00AA50D4"/>
    <w:rsid w:val="00AB018F"/>
    <w:rsid w:val="00AB5AC7"/>
    <w:rsid w:val="00AB68DC"/>
    <w:rsid w:val="00AB7042"/>
    <w:rsid w:val="00AC2DFF"/>
    <w:rsid w:val="00AD7520"/>
    <w:rsid w:val="00AF70B0"/>
    <w:rsid w:val="00B00AEE"/>
    <w:rsid w:val="00B115DE"/>
    <w:rsid w:val="00B17E8E"/>
    <w:rsid w:val="00B205E3"/>
    <w:rsid w:val="00B23670"/>
    <w:rsid w:val="00B24600"/>
    <w:rsid w:val="00B33402"/>
    <w:rsid w:val="00B363EF"/>
    <w:rsid w:val="00B4296D"/>
    <w:rsid w:val="00B52D23"/>
    <w:rsid w:val="00B53101"/>
    <w:rsid w:val="00B53A63"/>
    <w:rsid w:val="00B60043"/>
    <w:rsid w:val="00B61E46"/>
    <w:rsid w:val="00B6246B"/>
    <w:rsid w:val="00B667DE"/>
    <w:rsid w:val="00B7199A"/>
    <w:rsid w:val="00B73564"/>
    <w:rsid w:val="00B73A64"/>
    <w:rsid w:val="00B73DA2"/>
    <w:rsid w:val="00B875F7"/>
    <w:rsid w:val="00B931D2"/>
    <w:rsid w:val="00B96813"/>
    <w:rsid w:val="00BB0AD2"/>
    <w:rsid w:val="00BF402E"/>
    <w:rsid w:val="00C00D6E"/>
    <w:rsid w:val="00C063A5"/>
    <w:rsid w:val="00C0722B"/>
    <w:rsid w:val="00C17D6C"/>
    <w:rsid w:val="00C2125D"/>
    <w:rsid w:val="00C21461"/>
    <w:rsid w:val="00C333E8"/>
    <w:rsid w:val="00C41068"/>
    <w:rsid w:val="00C657E6"/>
    <w:rsid w:val="00C67BAF"/>
    <w:rsid w:val="00C72B78"/>
    <w:rsid w:val="00C73FBB"/>
    <w:rsid w:val="00C74A24"/>
    <w:rsid w:val="00C7669D"/>
    <w:rsid w:val="00C93BF9"/>
    <w:rsid w:val="00CB1150"/>
    <w:rsid w:val="00CB2141"/>
    <w:rsid w:val="00CC2055"/>
    <w:rsid w:val="00CD628E"/>
    <w:rsid w:val="00CE22DC"/>
    <w:rsid w:val="00CE248D"/>
    <w:rsid w:val="00CE7A70"/>
    <w:rsid w:val="00CF3C52"/>
    <w:rsid w:val="00CF7F67"/>
    <w:rsid w:val="00D06A05"/>
    <w:rsid w:val="00D1224D"/>
    <w:rsid w:val="00D272B1"/>
    <w:rsid w:val="00D403FA"/>
    <w:rsid w:val="00D46036"/>
    <w:rsid w:val="00D47AEA"/>
    <w:rsid w:val="00D52EAD"/>
    <w:rsid w:val="00D56CEF"/>
    <w:rsid w:val="00D606ED"/>
    <w:rsid w:val="00D659C4"/>
    <w:rsid w:val="00D65FE2"/>
    <w:rsid w:val="00D75179"/>
    <w:rsid w:val="00D760F2"/>
    <w:rsid w:val="00D809B9"/>
    <w:rsid w:val="00D823BB"/>
    <w:rsid w:val="00D87C62"/>
    <w:rsid w:val="00D87D28"/>
    <w:rsid w:val="00D916B7"/>
    <w:rsid w:val="00D9305C"/>
    <w:rsid w:val="00D944ED"/>
    <w:rsid w:val="00D9487E"/>
    <w:rsid w:val="00D94AEE"/>
    <w:rsid w:val="00DA305E"/>
    <w:rsid w:val="00DB644A"/>
    <w:rsid w:val="00DB6804"/>
    <w:rsid w:val="00DD2F10"/>
    <w:rsid w:val="00DD4A3E"/>
    <w:rsid w:val="00DE2CE1"/>
    <w:rsid w:val="00DE4610"/>
    <w:rsid w:val="00DF5C94"/>
    <w:rsid w:val="00E03CAC"/>
    <w:rsid w:val="00E063A5"/>
    <w:rsid w:val="00E11D07"/>
    <w:rsid w:val="00E211BF"/>
    <w:rsid w:val="00E21F34"/>
    <w:rsid w:val="00E23BAF"/>
    <w:rsid w:val="00E40F34"/>
    <w:rsid w:val="00E4264F"/>
    <w:rsid w:val="00E53181"/>
    <w:rsid w:val="00E5676A"/>
    <w:rsid w:val="00E712FA"/>
    <w:rsid w:val="00E73155"/>
    <w:rsid w:val="00E806A2"/>
    <w:rsid w:val="00E85A6D"/>
    <w:rsid w:val="00E9344E"/>
    <w:rsid w:val="00EA0A83"/>
    <w:rsid w:val="00EA7520"/>
    <w:rsid w:val="00EB2EB3"/>
    <w:rsid w:val="00EB6309"/>
    <w:rsid w:val="00EB70FB"/>
    <w:rsid w:val="00EC71F3"/>
    <w:rsid w:val="00EC79CA"/>
    <w:rsid w:val="00EE0BE7"/>
    <w:rsid w:val="00EE1444"/>
    <w:rsid w:val="00EE2111"/>
    <w:rsid w:val="00EF0C77"/>
    <w:rsid w:val="00EF0E66"/>
    <w:rsid w:val="00EF58A8"/>
    <w:rsid w:val="00F02D29"/>
    <w:rsid w:val="00F02E92"/>
    <w:rsid w:val="00F42B5A"/>
    <w:rsid w:val="00F639FE"/>
    <w:rsid w:val="00F70CB6"/>
    <w:rsid w:val="00F75BF2"/>
    <w:rsid w:val="00F817E8"/>
    <w:rsid w:val="00F83261"/>
    <w:rsid w:val="00F84A62"/>
    <w:rsid w:val="00F86E51"/>
    <w:rsid w:val="00FA6077"/>
    <w:rsid w:val="00FB14AE"/>
    <w:rsid w:val="00FB657E"/>
    <w:rsid w:val="00FC302A"/>
    <w:rsid w:val="00FC49BC"/>
    <w:rsid w:val="00FD4316"/>
    <w:rsid w:val="00FF76A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019D"/>
  <w15:docId w15:val="{7B4589D5-020F-4EE7-8638-7C57A0B1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46"/>
    <w:pPr>
      <w:spacing w:after="200" w:line="276" w:lineRule="auto"/>
    </w:pPr>
    <w:rPr>
      <w:sz w:val="22"/>
      <w:szCs w:val="22"/>
    </w:rPr>
  </w:style>
  <w:style w:type="paragraph" w:styleId="Heading1">
    <w:name w:val="heading 1"/>
    <w:basedOn w:val="Normal"/>
    <w:next w:val="Normal"/>
    <w:link w:val="Heading1Char"/>
    <w:uiPriority w:val="9"/>
    <w:qFormat/>
    <w:rsid w:val="00B61E46"/>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7E35CF"/>
    <w:pPr>
      <w:keepNext/>
      <w:keepLines/>
      <w:spacing w:before="200" w:after="0" w:line="240" w:lineRule="auto"/>
      <w:outlineLvl w:val="1"/>
    </w:pPr>
    <w:rPr>
      <w:rFonts w:ascii="Calibri Light" w:eastAsia="Times New Roman" w:hAnsi="Calibri Light" w:cs="Times New Roman"/>
      <w:b/>
      <w:bCs/>
      <w:color w:val="4472C4"/>
      <w:sz w:val="26"/>
      <w:szCs w:val="26"/>
    </w:rPr>
  </w:style>
  <w:style w:type="paragraph" w:styleId="Heading3">
    <w:name w:val="heading 3"/>
    <w:basedOn w:val="Normal"/>
    <w:next w:val="Normal"/>
    <w:link w:val="Heading3Char"/>
    <w:uiPriority w:val="9"/>
    <w:unhideWhenUsed/>
    <w:qFormat/>
    <w:rsid w:val="00B61E46"/>
    <w:pPr>
      <w:keepNext/>
      <w:spacing w:before="240" w:after="60" w:line="240" w:lineRule="auto"/>
      <w:outlineLvl w:val="2"/>
    </w:pPr>
    <w:rPr>
      <w:rFonts w:ascii="Cambria" w:eastAsia="MS Mincho" w:hAnsi="Cambria" w:cs="Times New Roman"/>
      <w:b/>
      <w:bCs/>
      <w:sz w:val="26"/>
      <w:szCs w:val="26"/>
      <w:lang w:val="sq-AL" w:bidi="en-US"/>
    </w:rPr>
  </w:style>
  <w:style w:type="paragraph" w:styleId="Heading5">
    <w:name w:val="heading 5"/>
    <w:basedOn w:val="Normal"/>
    <w:next w:val="Normal"/>
    <w:link w:val="Heading5Char"/>
    <w:uiPriority w:val="9"/>
    <w:unhideWhenUsed/>
    <w:qFormat/>
    <w:rsid w:val="00B61E46"/>
    <w:pPr>
      <w:keepNext/>
      <w:keepLines/>
      <w:spacing w:before="40" w:after="0"/>
      <w:outlineLvl w:val="4"/>
    </w:pPr>
    <w:rPr>
      <w:rFonts w:ascii="Calibri Light" w:eastAsia="Times New Roman" w:hAnsi="Calibri Light" w:cs="Times New Roman"/>
      <w:color w:val="2F5496"/>
    </w:rPr>
  </w:style>
  <w:style w:type="paragraph" w:styleId="Heading6">
    <w:name w:val="heading 6"/>
    <w:basedOn w:val="Normal"/>
    <w:next w:val="Normal"/>
    <w:link w:val="Heading6Char"/>
    <w:uiPriority w:val="9"/>
    <w:semiHidden/>
    <w:unhideWhenUsed/>
    <w:qFormat/>
    <w:rsid w:val="000337F2"/>
    <w:pPr>
      <w:keepNext/>
      <w:keepLines/>
      <w:spacing w:before="40" w:after="0" w:line="240" w:lineRule="auto"/>
      <w:outlineLvl w:val="5"/>
    </w:pPr>
    <w:rPr>
      <w:rFonts w:ascii="Cambria" w:eastAsia="Times New Roman" w:hAnsi="Cambria" w:cs="Times New Roman"/>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E46"/>
    <w:rPr>
      <w:rFonts w:ascii="Calibri Light" w:eastAsia="Times New Roman" w:hAnsi="Calibri Light" w:cs="Times New Roman"/>
      <w:color w:val="2F5496"/>
      <w:sz w:val="32"/>
      <w:szCs w:val="32"/>
      <w:lang w:val="en-US"/>
    </w:rPr>
  </w:style>
  <w:style w:type="character" w:customStyle="1" w:styleId="Heading3Char">
    <w:name w:val="Heading 3 Char"/>
    <w:link w:val="Heading3"/>
    <w:uiPriority w:val="9"/>
    <w:rsid w:val="00B61E46"/>
    <w:rPr>
      <w:rFonts w:ascii="Cambria" w:eastAsia="MS Mincho" w:hAnsi="Cambria" w:cs="Times New Roman"/>
      <w:b/>
      <w:bCs/>
      <w:sz w:val="26"/>
      <w:szCs w:val="26"/>
      <w:lang w:bidi="en-US"/>
    </w:rPr>
  </w:style>
  <w:style w:type="character" w:customStyle="1" w:styleId="Heading5Char">
    <w:name w:val="Heading 5 Char"/>
    <w:link w:val="Heading5"/>
    <w:uiPriority w:val="9"/>
    <w:rsid w:val="00B61E46"/>
    <w:rPr>
      <w:rFonts w:ascii="Calibri Light" w:eastAsia="Times New Roman" w:hAnsi="Calibri Light" w:cs="Times New Roman"/>
      <w:color w:val="2F5496"/>
      <w:lang w:val="en-US"/>
    </w:rPr>
  </w:style>
  <w:style w:type="paragraph" w:styleId="Footer">
    <w:name w:val="footer"/>
    <w:basedOn w:val="Normal"/>
    <w:link w:val="FooterChar"/>
    <w:uiPriority w:val="99"/>
    <w:unhideWhenUsed/>
    <w:qFormat/>
    <w:rsid w:val="00B61E46"/>
    <w:pPr>
      <w:tabs>
        <w:tab w:val="center" w:pos="4680"/>
        <w:tab w:val="right" w:pos="9360"/>
      </w:tabs>
      <w:spacing w:after="0" w:line="240" w:lineRule="auto"/>
    </w:pPr>
  </w:style>
  <w:style w:type="character" w:customStyle="1" w:styleId="FooterChar">
    <w:name w:val="Footer Char"/>
    <w:link w:val="Footer"/>
    <w:uiPriority w:val="99"/>
    <w:rsid w:val="00B61E46"/>
    <w:rPr>
      <w:lang w:val="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B61E46"/>
    <w:pPr>
      <w:ind w:left="720"/>
      <w:contextualSpacing/>
    </w:p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B61E46"/>
    <w:rPr>
      <w:lang w:val="en-US"/>
    </w:rPr>
  </w:style>
  <w:style w:type="paragraph" w:styleId="Title">
    <w:name w:val="Title"/>
    <w:basedOn w:val="Normal"/>
    <w:link w:val="TitleChar"/>
    <w:qFormat/>
    <w:rsid w:val="00B61E46"/>
    <w:pPr>
      <w:spacing w:after="0" w:line="240" w:lineRule="auto"/>
      <w:jc w:val="center"/>
    </w:pPr>
    <w:rPr>
      <w:rFonts w:ascii="Times New Roman" w:eastAsia="Times New Roman" w:hAnsi="Times New Roman" w:cs="Times New Roman"/>
      <w:sz w:val="28"/>
      <w:szCs w:val="28"/>
    </w:rPr>
  </w:style>
  <w:style w:type="character" w:customStyle="1" w:styleId="TitleChar">
    <w:name w:val="Title Char"/>
    <w:link w:val="Title"/>
    <w:rsid w:val="00B61E46"/>
    <w:rPr>
      <w:rFonts w:ascii="Times New Roman" w:eastAsia="Times New Roman" w:hAnsi="Times New Roman" w:cs="Times New Roman"/>
      <w:sz w:val="28"/>
      <w:szCs w:val="28"/>
      <w:lang w:val="en-US"/>
    </w:rPr>
  </w:style>
  <w:style w:type="paragraph" w:styleId="NoSpacing">
    <w:name w:val="No Spacing"/>
    <w:link w:val="NoSpacingChar"/>
    <w:uiPriority w:val="99"/>
    <w:qFormat/>
    <w:rsid w:val="00B61E46"/>
    <w:rPr>
      <w:rFonts w:cs="Times New Roman"/>
      <w:sz w:val="22"/>
      <w:szCs w:val="22"/>
      <w:lang w:val="sq-AL"/>
    </w:rPr>
  </w:style>
  <w:style w:type="character" w:customStyle="1" w:styleId="NoSpacingChar">
    <w:name w:val="No Spacing Char"/>
    <w:link w:val="NoSpacing"/>
    <w:uiPriority w:val="1"/>
    <w:locked/>
    <w:rsid w:val="00335D6F"/>
    <w:rPr>
      <w:rFonts w:ascii="Calibri" w:eastAsia="Calibri" w:hAnsi="Calibri" w:cs="Times New Roman"/>
    </w:rPr>
  </w:style>
  <w:style w:type="character" w:customStyle="1" w:styleId="Heading2Char">
    <w:name w:val="Heading 2 Char"/>
    <w:link w:val="Heading2"/>
    <w:uiPriority w:val="9"/>
    <w:rsid w:val="007E35CF"/>
    <w:rPr>
      <w:rFonts w:ascii="Calibri Light" w:eastAsia="Times New Roman" w:hAnsi="Calibri Light" w:cs="Times New Roman"/>
      <w:b/>
      <w:bCs/>
      <w:color w:val="4472C4"/>
      <w:sz w:val="26"/>
      <w:szCs w:val="26"/>
      <w:lang w:val="en-US"/>
    </w:rPr>
  </w:style>
  <w:style w:type="paragraph" w:styleId="BodyText2">
    <w:name w:val="Body Text 2"/>
    <w:basedOn w:val="Normal"/>
    <w:link w:val="BodyText2Char"/>
    <w:uiPriority w:val="99"/>
    <w:semiHidden/>
    <w:unhideWhenUsed/>
    <w:rsid w:val="007E35CF"/>
    <w:pPr>
      <w:spacing w:after="120" w:line="480" w:lineRule="auto"/>
    </w:pPr>
    <w:rPr>
      <w:rFonts w:eastAsia="Times New Roman" w:cs="Times New Roman"/>
    </w:rPr>
  </w:style>
  <w:style w:type="character" w:customStyle="1" w:styleId="BodyText2Char">
    <w:name w:val="Body Text 2 Char"/>
    <w:link w:val="BodyText2"/>
    <w:uiPriority w:val="99"/>
    <w:semiHidden/>
    <w:rsid w:val="007E35CF"/>
    <w:rPr>
      <w:rFonts w:ascii="Calibri" w:eastAsia="Times New Roman" w:hAnsi="Calibri" w:cs="Times New Roman"/>
      <w:lang w:val="en-US"/>
    </w:rPr>
  </w:style>
  <w:style w:type="paragraph" w:styleId="Header">
    <w:name w:val="header"/>
    <w:basedOn w:val="Normal"/>
    <w:link w:val="HeaderChar"/>
    <w:uiPriority w:val="99"/>
    <w:unhideWhenUsed/>
    <w:rsid w:val="007E35CF"/>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link w:val="Header"/>
    <w:uiPriority w:val="99"/>
    <w:rsid w:val="007E35CF"/>
    <w:rPr>
      <w:rFonts w:ascii="Times New Roman" w:eastAsia="Times New Roman" w:hAnsi="Times New Roman" w:cs="Times New Roman"/>
      <w:sz w:val="20"/>
      <w:szCs w:val="20"/>
      <w:lang w:val="en-US"/>
    </w:rPr>
  </w:style>
  <w:style w:type="table" w:styleId="TableGrid">
    <w:name w:val="Table Grid"/>
    <w:basedOn w:val="TableNormal"/>
    <w:uiPriority w:val="39"/>
    <w:rsid w:val="007E35C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35CF"/>
    <w:pPr>
      <w:spacing w:after="0" w:line="240" w:lineRule="auto"/>
    </w:pPr>
    <w:rPr>
      <w:rFonts w:ascii="Segoe UI" w:eastAsia="Times New Roman" w:hAnsi="Segoe UI" w:cs="Segoe UI"/>
      <w:sz w:val="18"/>
      <w:szCs w:val="18"/>
    </w:rPr>
  </w:style>
  <w:style w:type="character" w:customStyle="1" w:styleId="BalloonTextChar">
    <w:name w:val="Balloon Text Char"/>
    <w:link w:val="BalloonText"/>
    <w:uiPriority w:val="99"/>
    <w:semiHidden/>
    <w:rsid w:val="007E35CF"/>
    <w:rPr>
      <w:rFonts w:ascii="Segoe UI" w:eastAsia="Times New Roman" w:hAnsi="Segoe UI" w:cs="Segoe UI"/>
      <w:sz w:val="18"/>
      <w:szCs w:val="18"/>
      <w:lang w:val="en-US"/>
    </w:rPr>
  </w:style>
  <w:style w:type="paragraph" w:customStyle="1" w:styleId="nospacing1">
    <w:name w:val="nospacing1"/>
    <w:basedOn w:val="Normal"/>
    <w:rsid w:val="007E35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E35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notbold">
    <w:name w:val="bodytext3notbold"/>
    <w:basedOn w:val="DefaultParagraphFont"/>
    <w:rsid w:val="00C17D6C"/>
  </w:style>
  <w:style w:type="paragraph" w:styleId="Subtitle">
    <w:name w:val="Subtitle"/>
    <w:basedOn w:val="Normal"/>
    <w:link w:val="SubtitleChar"/>
    <w:uiPriority w:val="11"/>
    <w:qFormat/>
    <w:rsid w:val="005A5199"/>
    <w:pPr>
      <w:spacing w:after="0" w:line="240" w:lineRule="auto"/>
      <w:jc w:val="center"/>
    </w:pPr>
    <w:rPr>
      <w:rFonts w:ascii="Times New Roman" w:eastAsia="Times New Roman" w:hAnsi="Times New Roman" w:cs="Times New Roman"/>
      <w:i/>
      <w:sz w:val="28"/>
      <w:szCs w:val="20"/>
      <w:lang w:val="sq-AL"/>
    </w:rPr>
  </w:style>
  <w:style w:type="character" w:customStyle="1" w:styleId="SubtitleChar">
    <w:name w:val="Subtitle Char"/>
    <w:link w:val="Subtitle"/>
    <w:uiPriority w:val="11"/>
    <w:rsid w:val="005A5199"/>
    <w:rPr>
      <w:rFonts w:ascii="Times New Roman" w:eastAsia="Times New Roman" w:hAnsi="Times New Roman" w:cs="Times New Roman"/>
      <w:i/>
      <w:sz w:val="28"/>
      <w:szCs w:val="20"/>
    </w:rPr>
  </w:style>
  <w:style w:type="paragraph" w:styleId="FootnoteText">
    <w:name w:val="footnote text"/>
    <w:aliases w:val="Footnote Text Char1 Char Char Char,Footnote Text Char Char Char Char Char, Char Char,Char Char,Char, Char1,Car,Char1,single space,footnote text,fn,FOOTNOTES,Footnote Text Char2 Char,Footnote Text Char1 Char Char"/>
    <w:basedOn w:val="Normal"/>
    <w:link w:val="FootnoteTextChar"/>
    <w:uiPriority w:val="99"/>
    <w:unhideWhenUsed/>
    <w:rsid w:val="00AA052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 Char Char Char,Footnote Text Char Char Char Char Char Char, Char Char Char,Char Char Char,Char Char1, Char1 Char,Car Char,Char1 Char,single space Char,footnote text Char,fn Char,FOOTNOTES Char"/>
    <w:link w:val="FootnoteText"/>
    <w:uiPriority w:val="99"/>
    <w:qFormat/>
    <w:rsid w:val="00AA0522"/>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
    <w:link w:val="Char2"/>
    <w:uiPriority w:val="99"/>
    <w:unhideWhenUsed/>
    <w:qFormat/>
    <w:rsid w:val="00AA0522"/>
    <w:rPr>
      <w:vertAlign w:val="superscript"/>
    </w:rPr>
  </w:style>
  <w:style w:type="character" w:customStyle="1" w:styleId="fontstyle19">
    <w:name w:val="fontstyle19"/>
    <w:basedOn w:val="DefaultParagraphFont"/>
    <w:rsid w:val="007E435E"/>
  </w:style>
  <w:style w:type="paragraph" w:styleId="z-TopofForm">
    <w:name w:val="HTML Top of Form"/>
    <w:basedOn w:val="Normal"/>
    <w:next w:val="Normal"/>
    <w:link w:val="z-TopofFormChar"/>
    <w:hidden/>
    <w:uiPriority w:val="99"/>
    <w:semiHidden/>
    <w:unhideWhenUsed/>
    <w:rsid w:val="007E435E"/>
    <w:pPr>
      <w:pBdr>
        <w:bottom w:val="single" w:sz="6" w:space="1" w:color="auto"/>
      </w:pBdr>
      <w:spacing w:after="0"/>
      <w:jc w:val="center"/>
    </w:pPr>
    <w:rPr>
      <w:rFonts w:ascii="Arial" w:hAnsi="Arial"/>
      <w:vanish/>
      <w:sz w:val="16"/>
      <w:szCs w:val="16"/>
    </w:rPr>
  </w:style>
  <w:style w:type="character" w:customStyle="1" w:styleId="z-TopofFormChar">
    <w:name w:val="z-Top of Form Char"/>
    <w:link w:val="z-TopofForm"/>
    <w:uiPriority w:val="99"/>
    <w:semiHidden/>
    <w:rsid w:val="007E435E"/>
    <w:rPr>
      <w:rFonts w:ascii="Arial" w:hAnsi="Arial"/>
      <w:vanish/>
      <w:sz w:val="16"/>
      <w:szCs w:val="16"/>
      <w:lang w:val="en-US" w:eastAsia="en-US"/>
    </w:rPr>
  </w:style>
  <w:style w:type="paragraph" w:styleId="BodyTextIndent">
    <w:name w:val="Body Text Indent"/>
    <w:basedOn w:val="Normal"/>
    <w:link w:val="BodyTextIndentChar"/>
    <w:uiPriority w:val="99"/>
    <w:semiHidden/>
    <w:unhideWhenUsed/>
    <w:rsid w:val="007E435E"/>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link w:val="BodyTextIndent"/>
    <w:uiPriority w:val="99"/>
    <w:semiHidden/>
    <w:rsid w:val="007E435E"/>
    <w:rPr>
      <w:rFonts w:ascii="Times New Roman" w:eastAsia="Times New Roman" w:hAnsi="Times New Roman" w:cs="Times New Roman"/>
      <w:lang w:val="en-US" w:eastAsia="en-US"/>
    </w:rPr>
  </w:style>
  <w:style w:type="paragraph" w:customStyle="1" w:styleId="style">
    <w:name w:val="style"/>
    <w:basedOn w:val="Normal"/>
    <w:rsid w:val="007E43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i">
    <w:name w:val="paragrafi"/>
    <w:basedOn w:val="Normal"/>
    <w:rsid w:val="007E43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879301692msonormal">
    <w:name w:val="yiv5879301692msonormal"/>
    <w:basedOn w:val="Normal"/>
    <w:rsid w:val="007E435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E435E"/>
    <w:pPr>
      <w:spacing w:after="120" w:line="240" w:lineRule="auto"/>
    </w:pPr>
    <w:rPr>
      <w:rFonts w:ascii="Times New Roman" w:eastAsia="Times New Roman" w:hAnsi="Times New Roman" w:cs="Times New Roman"/>
      <w:sz w:val="20"/>
      <w:szCs w:val="20"/>
    </w:rPr>
  </w:style>
  <w:style w:type="character" w:customStyle="1" w:styleId="BodyTextChar">
    <w:name w:val="Body Text Char"/>
    <w:link w:val="BodyText"/>
    <w:uiPriority w:val="99"/>
    <w:rsid w:val="007E435E"/>
    <w:rPr>
      <w:rFonts w:ascii="Times New Roman" w:eastAsia="Times New Roman" w:hAnsi="Times New Roman" w:cs="Times New Roman"/>
      <w:lang w:val="en-US" w:eastAsia="en-US"/>
    </w:rPr>
  </w:style>
  <w:style w:type="character" w:customStyle="1" w:styleId="bodytext20">
    <w:name w:val="bodytext2"/>
    <w:basedOn w:val="DefaultParagraphFont"/>
    <w:rsid w:val="007E435E"/>
  </w:style>
  <w:style w:type="paragraph" w:customStyle="1" w:styleId="stylejustifiedleft025hanging0251">
    <w:name w:val="stylejustifiedleft025hanging0251"/>
    <w:basedOn w:val="Normal"/>
    <w:rsid w:val="007E43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bold">
    <w:name w:val="bodytext2bold"/>
    <w:basedOn w:val="DefaultParagraphFont"/>
    <w:rsid w:val="007E435E"/>
  </w:style>
  <w:style w:type="paragraph" w:customStyle="1" w:styleId="pj">
    <w:name w:val="pj"/>
    <w:basedOn w:val="Normal"/>
    <w:rsid w:val="007E43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
    <w:name w:val="bodytext1"/>
    <w:basedOn w:val="DefaultParagraphFont"/>
    <w:rsid w:val="007E435E"/>
  </w:style>
  <w:style w:type="character" w:styleId="Hyperlink">
    <w:name w:val="Hyperlink"/>
    <w:uiPriority w:val="99"/>
    <w:unhideWhenUsed/>
    <w:rsid w:val="007E435E"/>
    <w:rPr>
      <w:color w:val="0000FF"/>
      <w:u w:val="single"/>
    </w:rPr>
  </w:style>
  <w:style w:type="character" w:customStyle="1" w:styleId="UnresolvedMention1">
    <w:name w:val="Unresolved Mention1"/>
    <w:uiPriority w:val="99"/>
    <w:semiHidden/>
    <w:unhideWhenUsed/>
    <w:rsid w:val="007E435E"/>
    <w:rPr>
      <w:color w:val="605E5C"/>
      <w:shd w:val="clear" w:color="auto" w:fill="E1DFDD"/>
    </w:rPr>
  </w:style>
  <w:style w:type="character" w:customStyle="1" w:styleId="grame">
    <w:name w:val="grame"/>
    <w:basedOn w:val="DefaultParagraphFont"/>
    <w:rsid w:val="007E435E"/>
  </w:style>
  <w:style w:type="character" w:customStyle="1" w:styleId="fontstyle34">
    <w:name w:val="fontstyle34"/>
    <w:basedOn w:val="DefaultParagraphFont"/>
    <w:rsid w:val="007E435E"/>
  </w:style>
  <w:style w:type="paragraph" w:customStyle="1" w:styleId="style10">
    <w:name w:val="style10"/>
    <w:basedOn w:val="Normal"/>
    <w:rsid w:val="007E43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Normal"/>
    <w:rsid w:val="007E43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2">
    <w:name w:val="style12"/>
    <w:basedOn w:val="Normal"/>
    <w:rsid w:val="007E43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E435E"/>
    <w:rPr>
      <w:i/>
      <w:iCs/>
    </w:rPr>
  </w:style>
  <w:style w:type="character" w:customStyle="1" w:styleId="fontstyle32">
    <w:name w:val="fontstyle32"/>
    <w:basedOn w:val="DefaultParagraphFont"/>
    <w:rsid w:val="007E435E"/>
  </w:style>
  <w:style w:type="character" w:customStyle="1" w:styleId="fontstyle35">
    <w:name w:val="fontstyle35"/>
    <w:basedOn w:val="DefaultParagraphFont"/>
    <w:rsid w:val="007E435E"/>
  </w:style>
  <w:style w:type="character" w:styleId="Strong">
    <w:name w:val="Strong"/>
    <w:uiPriority w:val="22"/>
    <w:qFormat/>
    <w:rsid w:val="007E435E"/>
    <w:rPr>
      <w:b/>
      <w:bCs/>
    </w:rPr>
  </w:style>
  <w:style w:type="character" w:styleId="SubtleEmphasis">
    <w:name w:val="Subtle Emphasis"/>
    <w:uiPriority w:val="19"/>
    <w:qFormat/>
    <w:rsid w:val="00F70CB6"/>
    <w:rPr>
      <w:i/>
      <w:iCs/>
      <w:color w:val="404040"/>
    </w:rPr>
  </w:style>
  <w:style w:type="paragraph" w:customStyle="1" w:styleId="Char2">
    <w:name w:val="Char2"/>
    <w:basedOn w:val="Normal"/>
    <w:link w:val="FootnoteReference"/>
    <w:uiPriority w:val="99"/>
    <w:rsid w:val="003041D8"/>
    <w:pPr>
      <w:spacing w:after="160" w:line="240" w:lineRule="exact"/>
    </w:pPr>
    <w:rPr>
      <w:sz w:val="20"/>
      <w:szCs w:val="20"/>
      <w:vertAlign w:val="superscript"/>
      <w:lang w:val="sq-AL" w:eastAsia="sq-AL"/>
    </w:rPr>
  </w:style>
  <w:style w:type="character" w:customStyle="1" w:styleId="Heading6Char">
    <w:name w:val="Heading 6 Char"/>
    <w:link w:val="Heading6"/>
    <w:uiPriority w:val="9"/>
    <w:semiHidden/>
    <w:rsid w:val="000337F2"/>
    <w:rPr>
      <w:rFonts w:ascii="Cambria" w:eastAsia="Times New Roman" w:hAnsi="Cambria" w:cs="Times New Roman"/>
      <w:color w:val="243F60"/>
    </w:rPr>
  </w:style>
  <w:style w:type="character" w:customStyle="1" w:styleId="Bodytext21">
    <w:name w:val="Body text (2)_"/>
    <w:link w:val="Bodytext210"/>
    <w:uiPriority w:val="99"/>
    <w:locked/>
    <w:rsid w:val="000337F2"/>
    <w:rPr>
      <w:sz w:val="17"/>
      <w:szCs w:val="17"/>
      <w:shd w:val="clear" w:color="auto" w:fill="FFFFFF"/>
    </w:rPr>
  </w:style>
  <w:style w:type="paragraph" w:customStyle="1" w:styleId="Bodytext210">
    <w:name w:val="Body text (2)1"/>
    <w:basedOn w:val="Normal"/>
    <w:link w:val="Bodytext21"/>
    <w:uiPriority w:val="99"/>
    <w:rsid w:val="000337F2"/>
    <w:pPr>
      <w:widowControl w:val="0"/>
      <w:shd w:val="clear" w:color="auto" w:fill="FFFFFF"/>
      <w:spacing w:before="180" w:after="180" w:line="264" w:lineRule="exact"/>
      <w:ind w:hanging="840"/>
    </w:pPr>
    <w:rPr>
      <w:sz w:val="17"/>
      <w:szCs w:val="17"/>
    </w:rPr>
  </w:style>
  <w:style w:type="paragraph" w:styleId="Revision">
    <w:name w:val="Revision"/>
    <w:hidden/>
    <w:uiPriority w:val="99"/>
    <w:semiHidden/>
    <w:rsid w:val="000337F2"/>
    <w:rPr>
      <w:rFonts w:ascii="Times New Roman" w:eastAsia="Times New Roman" w:hAnsi="Times New Roman" w:cs="Times New Roman"/>
    </w:rPr>
  </w:style>
  <w:style w:type="paragraph" w:styleId="IntenseQuote">
    <w:name w:val="Intense Quote"/>
    <w:basedOn w:val="Normal"/>
    <w:next w:val="Normal"/>
    <w:link w:val="IntenseQuoteChar"/>
    <w:uiPriority w:val="30"/>
    <w:qFormat/>
    <w:rsid w:val="000337F2"/>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 w:val="20"/>
      <w:szCs w:val="20"/>
    </w:rPr>
  </w:style>
  <w:style w:type="character" w:customStyle="1" w:styleId="IntenseQuoteChar">
    <w:name w:val="Intense Quote Char"/>
    <w:link w:val="IntenseQuote"/>
    <w:uiPriority w:val="30"/>
    <w:rsid w:val="000337F2"/>
    <w:rPr>
      <w:rFonts w:ascii="Times New Roman" w:eastAsia="Times New Roman" w:hAnsi="Times New Roman" w:cs="Times New Roman"/>
      <w:i/>
      <w:iCs/>
      <w:color w:val="4F81BD"/>
    </w:rPr>
  </w:style>
  <w:style w:type="character" w:styleId="FollowedHyperlink">
    <w:name w:val="FollowedHyperlink"/>
    <w:uiPriority w:val="99"/>
    <w:semiHidden/>
    <w:unhideWhenUsed/>
    <w:rsid w:val="000337F2"/>
    <w:rPr>
      <w:color w:val="800080"/>
      <w:u w:val="single"/>
    </w:rPr>
  </w:style>
  <w:style w:type="character" w:styleId="CommentReference">
    <w:name w:val="annotation reference"/>
    <w:uiPriority w:val="99"/>
    <w:semiHidden/>
    <w:unhideWhenUsed/>
    <w:rsid w:val="0083272C"/>
    <w:rPr>
      <w:sz w:val="16"/>
      <w:szCs w:val="16"/>
    </w:rPr>
  </w:style>
  <w:style w:type="paragraph" w:styleId="CommentText">
    <w:name w:val="annotation text"/>
    <w:basedOn w:val="Normal"/>
    <w:link w:val="CommentTextChar"/>
    <w:uiPriority w:val="99"/>
    <w:unhideWhenUsed/>
    <w:rsid w:val="0083272C"/>
    <w:pPr>
      <w:spacing w:after="0" w:line="240" w:lineRule="auto"/>
    </w:pPr>
    <w:rPr>
      <w:rFonts w:ascii="Times New Roman" w:eastAsia="Times New Roman" w:hAnsi="Times New Roman" w:cs="Times New Roman"/>
      <w:sz w:val="20"/>
      <w:szCs w:val="20"/>
    </w:rPr>
  </w:style>
  <w:style w:type="character" w:customStyle="1" w:styleId="CommentTextChar">
    <w:name w:val="Comment Text Char"/>
    <w:link w:val="CommentText"/>
    <w:uiPriority w:val="99"/>
    <w:rsid w:val="0083272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3272C"/>
    <w:rPr>
      <w:b/>
      <w:bCs/>
    </w:rPr>
  </w:style>
  <w:style w:type="character" w:customStyle="1" w:styleId="CommentSubjectChar">
    <w:name w:val="Comment Subject Char"/>
    <w:link w:val="CommentSubject"/>
    <w:uiPriority w:val="99"/>
    <w:semiHidden/>
    <w:rsid w:val="0083272C"/>
    <w:rPr>
      <w:rFonts w:ascii="Times New Roman" w:eastAsia="Times New Roman" w:hAnsi="Times New Roman" w:cs="Times New Roman"/>
      <w:b/>
      <w:bCs/>
    </w:rPr>
  </w:style>
  <w:style w:type="paragraph" w:customStyle="1" w:styleId="standard">
    <w:name w:val="standard"/>
    <w:basedOn w:val="Normal"/>
    <w:rsid w:val="008327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i0">
    <w:name w:val="paragrafi0"/>
    <w:basedOn w:val="Normal"/>
    <w:rsid w:val="00832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talic">
    <w:name w:val="bodytextitalic"/>
    <w:rsid w:val="0083272C"/>
  </w:style>
  <w:style w:type="character" w:customStyle="1" w:styleId="bodytextbold">
    <w:name w:val="bodytextbold"/>
    <w:rsid w:val="0083272C"/>
  </w:style>
  <w:style w:type="paragraph" w:customStyle="1" w:styleId="xmsonormal">
    <w:name w:val="xmsonormal"/>
    <w:basedOn w:val="Normal"/>
    <w:rsid w:val="00832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83272C"/>
  </w:style>
  <w:style w:type="character" w:customStyle="1" w:styleId="bodytext3">
    <w:name w:val="bodytext3"/>
    <w:rsid w:val="00832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6102</Words>
  <Characters>34788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Eranda Hysi</dc:creator>
  <cp:lastModifiedBy>User</cp:lastModifiedBy>
  <cp:revision>2</cp:revision>
  <cp:lastPrinted>2024-11-18T13:56:00Z</cp:lastPrinted>
  <dcterms:created xsi:type="dcterms:W3CDTF">2024-11-21T12:04:00Z</dcterms:created>
  <dcterms:modified xsi:type="dcterms:W3CDTF">2024-11-21T12:04:00Z</dcterms:modified>
</cp:coreProperties>
</file>